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emf" ContentType="image/x-emf"/>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EE6DCB8">
      <w:pPr>
        <w:pStyle w:val="76"/>
        <w:spacing w:line="240" w:lineRule="auto"/>
        <w:jc w:val="center"/>
        <w:outlineLvl w:val="0"/>
        <w:rPr>
          <w:rFonts w:hint="eastAsia" w:ascii="Times New Roman" w:hAnsi="Times New Roman" w:eastAsia="黑体"/>
          <w:snapToGrid w:val="0"/>
          <w:sz w:val="30"/>
          <w:szCs w:val="30"/>
          <w:lang w:eastAsia="zh-CN"/>
        </w:rPr>
        <w:sectPr>
          <w:footerReference r:id="rId3" w:type="default"/>
          <w:footerReference r:id="rId4" w:type="even"/>
          <w:pgSz w:w="11906" w:h="16838"/>
          <w:pgMar w:top="1701" w:right="1531" w:bottom="1701" w:left="1531" w:header="851" w:footer="1191" w:gutter="0"/>
          <w:pgNumType w:fmt="decimal" w:start="1"/>
          <w:cols w:space="720" w:num="1"/>
          <w:docGrid w:linePitch="312" w:charSpace="0"/>
        </w:sectPr>
      </w:pPr>
      <w:r>
        <w:rPr>
          <w:rFonts w:ascii="Times New Roman" w:hAnsi="Times New Roman" w:eastAsia="黑体"/>
          <w:snapToGrid w:val="0"/>
          <w:sz w:val="30"/>
          <w:szCs w:val="30"/>
        </w:rPr>
        <w:drawing>
          <wp:inline distT="0" distB="0" distL="114300" distR="114300">
            <wp:extent cx="5603875" cy="7470775"/>
            <wp:effectExtent l="0" t="0" r="15875" b="15875"/>
            <wp:docPr id="3" name="图片 3" descr="14b71c62f6480e885466587fdc73a4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4b71c62f6480e885466587fdc73a43b"/>
                    <pic:cNvPicPr>
                      <a:picLocks noChangeAspect="1"/>
                    </pic:cNvPicPr>
                  </pic:nvPicPr>
                  <pic:blipFill>
                    <a:blip r:embed="rId9"/>
                    <a:stretch>
                      <a:fillRect/>
                    </a:stretch>
                  </pic:blipFill>
                  <pic:spPr>
                    <a:xfrm>
                      <a:off x="0" y="0"/>
                      <a:ext cx="5603875" cy="7470775"/>
                    </a:xfrm>
                    <a:prstGeom prst="rect">
                      <a:avLst/>
                    </a:prstGeom>
                  </pic:spPr>
                </pic:pic>
              </a:graphicData>
            </a:graphic>
          </wp:inline>
        </w:drawing>
      </w:r>
      <w:r>
        <w:rPr>
          <w:rFonts w:hint="eastAsia" w:ascii="Times New Roman" w:hAnsi="Times New Roman" w:eastAsia="黑体"/>
          <w:snapToGrid w:val="0"/>
          <w:sz w:val="30"/>
          <w:szCs w:val="30"/>
          <w:lang w:eastAsia="zh-CN"/>
        </w:rPr>
        <w:drawing>
          <wp:inline distT="0" distB="0" distL="114300" distR="114300">
            <wp:extent cx="5608320" cy="8315960"/>
            <wp:effectExtent l="0" t="0" r="11430" b="8890"/>
            <wp:docPr id="8" name="图片 8" descr="1669a1f27957a366648d04e1dcbd0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1669a1f27957a366648d04e1dcbd0129"/>
                    <pic:cNvPicPr>
                      <a:picLocks noChangeAspect="1"/>
                    </pic:cNvPicPr>
                  </pic:nvPicPr>
                  <pic:blipFill>
                    <a:blip r:embed="rId10"/>
                    <a:stretch>
                      <a:fillRect/>
                    </a:stretch>
                  </pic:blipFill>
                  <pic:spPr>
                    <a:xfrm>
                      <a:off x="0" y="0"/>
                      <a:ext cx="5608320" cy="8315960"/>
                    </a:xfrm>
                    <a:prstGeom prst="rect">
                      <a:avLst/>
                    </a:prstGeom>
                  </pic:spPr>
                </pic:pic>
              </a:graphicData>
            </a:graphic>
          </wp:inline>
        </w:drawing>
      </w:r>
    </w:p>
    <w:p w14:paraId="659260A7">
      <w:pPr>
        <w:pStyle w:val="76"/>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一、建设项目基本情况</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492"/>
        <w:gridCol w:w="1472"/>
        <w:gridCol w:w="2275"/>
        <w:gridCol w:w="2112"/>
        <w:gridCol w:w="2519"/>
      </w:tblGrid>
      <w:tr w14:paraId="1F2317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10892636">
            <w:pPr>
              <w:adjustRightInd w:val="0"/>
              <w:snapToGrid w:val="0"/>
              <w:spacing w:line="420" w:lineRule="exact"/>
              <w:jc w:val="center"/>
            </w:pPr>
            <w:r>
              <w:t>建设项目名称</w:t>
            </w:r>
          </w:p>
        </w:tc>
        <w:tc>
          <w:tcPr>
            <w:tcW w:w="6906" w:type="dxa"/>
            <w:gridSpan w:val="3"/>
            <w:vAlign w:val="center"/>
          </w:tcPr>
          <w:p w14:paraId="3C642A70">
            <w:pPr>
              <w:adjustRightInd w:val="0"/>
              <w:snapToGrid w:val="0"/>
              <w:spacing w:line="420" w:lineRule="exact"/>
              <w:jc w:val="center"/>
              <w:rPr>
                <w:rFonts w:hint="eastAsia" w:eastAsia="宋体"/>
                <w:lang w:eastAsia="zh-CN"/>
              </w:rPr>
            </w:pPr>
            <w:r>
              <w:rPr>
                <w:rFonts w:hint="eastAsia"/>
                <w:lang w:eastAsia="zh-CN"/>
              </w:rPr>
              <w:t>淄博华鲁供水设备有限公司搬迁技改项目</w:t>
            </w:r>
          </w:p>
        </w:tc>
      </w:tr>
      <w:tr w14:paraId="1D8272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7B864EE4">
            <w:pPr>
              <w:adjustRightInd w:val="0"/>
              <w:snapToGrid w:val="0"/>
              <w:spacing w:line="420" w:lineRule="exact"/>
              <w:jc w:val="center"/>
            </w:pPr>
            <w:r>
              <w:t>项目代码</w:t>
            </w:r>
          </w:p>
        </w:tc>
        <w:tc>
          <w:tcPr>
            <w:tcW w:w="6906" w:type="dxa"/>
            <w:gridSpan w:val="3"/>
            <w:vAlign w:val="center"/>
          </w:tcPr>
          <w:p w14:paraId="19157925">
            <w:pPr>
              <w:adjustRightInd w:val="0"/>
              <w:snapToGrid w:val="0"/>
              <w:spacing w:line="420" w:lineRule="exact"/>
              <w:jc w:val="center"/>
              <w:rPr>
                <w:rFonts w:hint="default" w:eastAsia="宋体"/>
                <w:lang w:val="en-US" w:eastAsia="zh-CN"/>
              </w:rPr>
            </w:pPr>
            <w:r>
              <w:rPr>
                <w:rFonts w:hint="eastAsia"/>
                <w:lang w:eastAsia="zh-CN"/>
              </w:rPr>
              <w:t>2403-370302-89-02-</w:t>
            </w:r>
            <w:r>
              <w:rPr>
                <w:rFonts w:hint="eastAsia"/>
                <w:lang w:val="en-US" w:eastAsia="zh-CN"/>
              </w:rPr>
              <w:t>254574</w:t>
            </w:r>
          </w:p>
        </w:tc>
      </w:tr>
      <w:tr w14:paraId="7A5154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022F16BB">
            <w:pPr>
              <w:adjustRightInd w:val="0"/>
              <w:snapToGrid w:val="0"/>
              <w:spacing w:line="420" w:lineRule="exact"/>
              <w:jc w:val="center"/>
            </w:pPr>
            <w:r>
              <w:t>建设单位联系人</w:t>
            </w:r>
          </w:p>
        </w:tc>
        <w:tc>
          <w:tcPr>
            <w:tcW w:w="2275" w:type="dxa"/>
            <w:vAlign w:val="center"/>
          </w:tcPr>
          <w:p w14:paraId="2F4CC557">
            <w:pPr>
              <w:adjustRightInd w:val="0"/>
              <w:snapToGrid w:val="0"/>
              <w:spacing w:line="420" w:lineRule="exact"/>
              <w:jc w:val="center"/>
              <w:rPr>
                <w:rFonts w:hint="eastAsia" w:eastAsia="宋体"/>
                <w:lang w:eastAsia="zh-CN"/>
              </w:rPr>
            </w:pPr>
            <w:r>
              <w:rPr>
                <w:sz w:val="21"/>
              </w:rPr>
              <mc:AlternateContent>
                <mc:Choice Requires="wps">
                  <w:drawing>
                    <wp:anchor distT="0" distB="0" distL="114300" distR="114300" simplePos="0" relativeHeight="251670528" behindDoc="0" locked="0" layoutInCell="1" allowOverlap="1">
                      <wp:simplePos x="0" y="0"/>
                      <wp:positionH relativeFrom="column">
                        <wp:posOffset>438785</wp:posOffset>
                      </wp:positionH>
                      <wp:positionV relativeFrom="paragraph">
                        <wp:posOffset>45720</wp:posOffset>
                      </wp:positionV>
                      <wp:extent cx="592455" cy="209550"/>
                      <wp:effectExtent l="4445" t="4445" r="12700" b="14605"/>
                      <wp:wrapNone/>
                      <wp:docPr id="72" name="文本框 72"/>
                      <wp:cNvGraphicFramePr/>
                      <a:graphic xmlns:a="http://schemas.openxmlformats.org/drawingml/2006/main">
                        <a:graphicData uri="http://schemas.microsoft.com/office/word/2010/wordprocessingShape">
                          <wps:wsp>
                            <wps:cNvSpPr txBox="1"/>
                            <wps:spPr>
                              <a:xfrm>
                                <a:off x="2653030" y="2281555"/>
                                <a:ext cx="592455" cy="209550"/>
                              </a:xfrm>
                              <a:prstGeom prst="rect">
                                <a:avLst/>
                              </a:prstGeom>
                              <a:solidFill>
                                <a:schemeClr val="tx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535534D1"/>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55pt;margin-top:3.6pt;height:16.5pt;width:46.65pt;z-index:251670528;mso-width-relative:page;mso-height-relative:page;" fillcolor="#000000 [3213]" filled="t" stroked="t" coordsize="21600,21600" o:gfxdata="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CkwkBrX&#10;AAAABwEAAA8AAAAAAAAAAQAgAAAAIgAAAGRycy9kb3ducmV2LnhtbFBLAQIUABQAAAAIAIdO4kCv&#10;vZOTWgIAAMUEAAAOAAAAAAAAAAEAIAAAACYBAABkcnMvZTJvRG9jLnhtbFBLBQYAAAAABgAGAFkB&#10;AADyBQAAAAA=&#10;">
                      <v:fill on="t" focussize="0,0"/>
                      <v:stroke weight="0.5pt" color="#000000 [3213]" joinstyle="round"/>
                      <v:imagedata o:title=""/>
                      <o:lock v:ext="edit" aspectratio="f"/>
                      <v:textbox>
                        <w:txbxContent>
                          <w:p w14:paraId="535534D1"/>
                        </w:txbxContent>
                      </v:textbox>
                    </v:shape>
                  </w:pict>
                </mc:Fallback>
              </mc:AlternateContent>
            </w:r>
            <w:r>
              <w:rPr>
                <w:rFonts w:hint="eastAsia"/>
                <w:lang w:eastAsia="zh-CN"/>
              </w:rPr>
              <w:t>汪晓</w:t>
            </w:r>
          </w:p>
        </w:tc>
        <w:tc>
          <w:tcPr>
            <w:tcW w:w="2112" w:type="dxa"/>
            <w:vAlign w:val="center"/>
          </w:tcPr>
          <w:p w14:paraId="18989AA9">
            <w:pPr>
              <w:adjustRightInd w:val="0"/>
              <w:snapToGrid w:val="0"/>
              <w:spacing w:line="420" w:lineRule="exact"/>
              <w:jc w:val="center"/>
            </w:pPr>
            <w:r>
              <w:t>联系方式</w:t>
            </w:r>
          </w:p>
        </w:tc>
        <w:tc>
          <w:tcPr>
            <w:tcW w:w="2519" w:type="dxa"/>
            <w:vAlign w:val="center"/>
          </w:tcPr>
          <w:p w14:paraId="25932DA0">
            <w:pPr>
              <w:adjustRightInd w:val="0"/>
              <w:snapToGrid w:val="0"/>
              <w:spacing w:line="420" w:lineRule="exact"/>
              <w:jc w:val="center"/>
              <w:rPr>
                <w:rFonts w:hint="default" w:eastAsia="宋体"/>
                <w:lang w:val="en-US" w:eastAsia="zh-CN"/>
              </w:rPr>
            </w:pPr>
            <w:r>
              <w:rPr>
                <w:sz w:val="21"/>
              </w:rPr>
              <mc:AlternateContent>
                <mc:Choice Requires="wps">
                  <w:drawing>
                    <wp:anchor distT="0" distB="0" distL="114300" distR="114300" simplePos="0" relativeHeight="251671552" behindDoc="0" locked="0" layoutInCell="1" allowOverlap="1">
                      <wp:simplePos x="0" y="0"/>
                      <wp:positionH relativeFrom="column">
                        <wp:posOffset>352425</wp:posOffset>
                      </wp:positionH>
                      <wp:positionV relativeFrom="paragraph">
                        <wp:posOffset>57150</wp:posOffset>
                      </wp:positionV>
                      <wp:extent cx="883920" cy="209550"/>
                      <wp:effectExtent l="4445" t="5080" r="6985" b="13970"/>
                      <wp:wrapNone/>
                      <wp:docPr id="73" name="文本框 73"/>
                      <wp:cNvGraphicFramePr/>
                      <a:graphic xmlns:a="http://schemas.openxmlformats.org/drawingml/2006/main">
                        <a:graphicData uri="http://schemas.microsoft.com/office/word/2010/wordprocessingShape">
                          <wps:wsp>
                            <wps:cNvSpPr txBox="1"/>
                            <wps:spPr>
                              <a:xfrm>
                                <a:off x="0" y="0"/>
                                <a:ext cx="883920" cy="209550"/>
                              </a:xfrm>
                              <a:prstGeom prst="rect">
                                <a:avLst/>
                              </a:prstGeom>
                              <a:solidFill>
                                <a:schemeClr val="tx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45B8E7B6"/>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75pt;margin-top:4.5pt;height:16.5pt;width:69.6pt;z-index:251671552;mso-width-relative:page;mso-height-relative:page;" fillcolor="#000000 [3213]" filled="t" stroked="t" coordsize="21600,21600" o:gfxdata="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8lTpDdgAAAAHAQAADwAA&#10;AAAAAAABACAAAAAiAAAAZHJzL2Rvd25yZXYueG1sUEsBAhQAFAAAAAgAh07iQFflXaRPAgAAuQQA&#10;AA4AAAAAAAAAAQAgAAAAJwEAAGRycy9lMm9Eb2MueG1sUEsFBgAAAAAGAAYAWQEAAOgFAAAAAA==&#10;">
                      <v:fill on="t" focussize="0,0"/>
                      <v:stroke weight="0.5pt" color="#000000 [3213]" joinstyle="round"/>
                      <v:imagedata o:title=""/>
                      <o:lock v:ext="edit" aspectratio="f"/>
                      <v:textbox>
                        <w:txbxContent>
                          <w:p w14:paraId="45B8E7B6"/>
                        </w:txbxContent>
                      </v:textbox>
                    </v:shape>
                  </w:pict>
                </mc:Fallback>
              </mc:AlternateContent>
            </w:r>
            <w:r>
              <w:rPr>
                <w:rFonts w:hint="eastAsia"/>
                <w:lang w:val="en-US" w:eastAsia="zh-CN"/>
              </w:rPr>
              <w:t>0533-5410198</w:t>
            </w:r>
          </w:p>
        </w:tc>
      </w:tr>
      <w:tr w14:paraId="498B92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7EFDABC2">
            <w:pPr>
              <w:adjustRightInd w:val="0"/>
              <w:snapToGrid w:val="0"/>
              <w:spacing w:line="420" w:lineRule="exact"/>
              <w:jc w:val="center"/>
            </w:pPr>
            <w:r>
              <w:t>建设地点</w:t>
            </w:r>
          </w:p>
        </w:tc>
        <w:tc>
          <w:tcPr>
            <w:tcW w:w="6906" w:type="dxa"/>
            <w:gridSpan w:val="3"/>
            <w:vAlign w:val="center"/>
          </w:tcPr>
          <w:p w14:paraId="62B59107">
            <w:pPr>
              <w:adjustRightInd w:val="0"/>
              <w:snapToGrid w:val="0"/>
              <w:spacing w:line="420" w:lineRule="exact"/>
              <w:jc w:val="center"/>
              <w:rPr>
                <w:rFonts w:hint="default"/>
                <w:lang w:val="en-US"/>
              </w:rPr>
            </w:pPr>
            <w:r>
              <w:t>山东省淄博</w:t>
            </w:r>
            <w:r>
              <w:rPr>
                <w:rFonts w:ascii="Times New Roman" w:hAnsi="Times New Roman" w:cs="Times New Roman"/>
              </w:rPr>
              <w:t>市</w:t>
            </w:r>
            <w:r>
              <w:rPr>
                <w:rFonts w:hint="eastAsia" w:ascii="Times New Roman" w:hAnsi="Times New Roman" w:cs="Times New Roman"/>
                <w:lang w:eastAsia="zh-CN"/>
              </w:rPr>
              <w:t>淄川经济开发区中一产业</w:t>
            </w:r>
            <w:r>
              <w:rPr>
                <w:rFonts w:hint="eastAsia" w:ascii="Times New Roman" w:hAnsi="Times New Roman" w:cs="Times New Roman"/>
              </w:rPr>
              <w:t>园区</w:t>
            </w:r>
          </w:p>
        </w:tc>
      </w:tr>
      <w:tr w14:paraId="5330C6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216E5630">
            <w:pPr>
              <w:adjustRightInd w:val="0"/>
              <w:snapToGrid w:val="0"/>
              <w:spacing w:line="420" w:lineRule="exact"/>
              <w:jc w:val="center"/>
            </w:pPr>
            <w:r>
              <w:t>地理坐标</w:t>
            </w:r>
          </w:p>
        </w:tc>
        <w:tc>
          <w:tcPr>
            <w:tcW w:w="6906" w:type="dxa"/>
            <w:gridSpan w:val="3"/>
            <w:vAlign w:val="center"/>
          </w:tcPr>
          <w:p w14:paraId="166FA53C">
            <w:pPr>
              <w:spacing w:line="420" w:lineRule="exact"/>
              <w:jc w:val="center"/>
            </w:pPr>
            <w:r>
              <w:rPr>
                <w:highlight w:val="none"/>
              </w:rPr>
              <w:t>（</w:t>
            </w:r>
            <w:bookmarkStart w:id="0" w:name="_Hlk71440774"/>
            <w:r>
              <w:rPr>
                <w:rFonts w:hint="eastAsia"/>
                <w:highlight w:val="none"/>
                <w:lang w:val="en-US" w:eastAsia="zh-CN"/>
              </w:rPr>
              <w:t>北纬</w:t>
            </w:r>
            <w:r>
              <w:rPr>
                <w:highlight w:val="none"/>
                <w:u w:val="single"/>
              </w:rPr>
              <w:t>36</w:t>
            </w:r>
            <w:r>
              <w:rPr>
                <w:highlight w:val="none"/>
              </w:rPr>
              <w:t>度</w:t>
            </w:r>
            <w:r>
              <w:rPr>
                <w:rFonts w:hint="eastAsia"/>
                <w:highlight w:val="none"/>
                <w:u w:val="single"/>
                <w:lang w:val="en-US" w:eastAsia="zh-CN"/>
              </w:rPr>
              <w:t>40</w:t>
            </w:r>
            <w:r>
              <w:rPr>
                <w:highlight w:val="none"/>
              </w:rPr>
              <w:t>分</w:t>
            </w:r>
            <w:r>
              <w:rPr>
                <w:rFonts w:hint="eastAsia"/>
                <w:highlight w:val="none"/>
                <w:u w:val="single"/>
                <w:lang w:val="en-US" w:eastAsia="zh-CN"/>
              </w:rPr>
              <w:t>52.979</w:t>
            </w:r>
            <w:r>
              <w:rPr>
                <w:highlight w:val="none"/>
              </w:rPr>
              <w:t>秒，</w:t>
            </w:r>
            <w:r>
              <w:rPr>
                <w:rFonts w:hint="eastAsia"/>
                <w:highlight w:val="none"/>
                <w:lang w:val="en-US" w:eastAsia="zh-CN"/>
              </w:rPr>
              <w:t>东经</w:t>
            </w:r>
            <w:r>
              <w:rPr>
                <w:highlight w:val="none"/>
                <w:u w:val="single"/>
              </w:rPr>
              <w:t>117</w:t>
            </w:r>
            <w:r>
              <w:rPr>
                <w:highlight w:val="none"/>
              </w:rPr>
              <w:t>度</w:t>
            </w:r>
            <w:r>
              <w:rPr>
                <w:highlight w:val="none"/>
                <w:u w:val="single"/>
              </w:rPr>
              <w:t>5</w:t>
            </w:r>
            <w:r>
              <w:rPr>
                <w:rFonts w:hint="eastAsia"/>
                <w:highlight w:val="none"/>
                <w:u w:val="single"/>
                <w:lang w:val="en-US" w:eastAsia="zh-CN"/>
              </w:rPr>
              <w:t>5</w:t>
            </w:r>
            <w:r>
              <w:rPr>
                <w:highlight w:val="none"/>
              </w:rPr>
              <w:t>分</w:t>
            </w:r>
            <w:r>
              <w:rPr>
                <w:rFonts w:hint="eastAsia"/>
                <w:highlight w:val="none"/>
                <w:u w:val="single"/>
                <w:lang w:val="en-US" w:eastAsia="zh-CN"/>
              </w:rPr>
              <w:t>51.961</w:t>
            </w:r>
            <w:r>
              <w:rPr>
                <w:highlight w:val="none"/>
              </w:rPr>
              <w:t>秒</w:t>
            </w:r>
            <w:bookmarkEnd w:id="0"/>
            <w:r>
              <w:rPr>
                <w:highlight w:val="none"/>
              </w:rPr>
              <w:t>）</w:t>
            </w:r>
          </w:p>
        </w:tc>
      </w:tr>
      <w:tr w14:paraId="420FAC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964" w:type="dxa"/>
            <w:gridSpan w:val="2"/>
            <w:tcMar>
              <w:top w:w="16" w:type="dxa"/>
              <w:left w:w="16" w:type="dxa"/>
              <w:right w:w="16" w:type="dxa"/>
            </w:tcMar>
            <w:vAlign w:val="center"/>
          </w:tcPr>
          <w:p w14:paraId="79BA0C21">
            <w:pPr>
              <w:adjustRightInd w:val="0"/>
              <w:snapToGrid w:val="0"/>
              <w:spacing w:line="420" w:lineRule="exact"/>
              <w:jc w:val="center"/>
            </w:pPr>
            <w:r>
              <w:t>国民经济</w:t>
            </w:r>
          </w:p>
          <w:p w14:paraId="67AEC817">
            <w:pPr>
              <w:adjustRightInd w:val="0"/>
              <w:snapToGrid w:val="0"/>
              <w:spacing w:line="420" w:lineRule="exact"/>
              <w:jc w:val="center"/>
            </w:pPr>
            <w:r>
              <w:t>行业类别</w:t>
            </w:r>
          </w:p>
        </w:tc>
        <w:tc>
          <w:tcPr>
            <w:tcW w:w="2275" w:type="dxa"/>
            <w:vAlign w:val="center"/>
          </w:tcPr>
          <w:p w14:paraId="7E29272C">
            <w:pPr>
              <w:adjustRightInd w:val="0"/>
              <w:snapToGrid w:val="0"/>
              <w:jc w:val="center"/>
              <w:rPr>
                <w:rFonts w:hint="eastAsia" w:eastAsia="宋体"/>
                <w:lang w:val="en-US" w:eastAsia="zh-CN"/>
              </w:rPr>
            </w:pPr>
            <w:r>
              <w:rPr>
                <w:rFonts w:hint="default" w:ascii="Times New Roman" w:hAnsi="Times New Roman" w:eastAsia="宋体" w:cs="Times New Roman"/>
                <w:szCs w:val="21"/>
              </w:rPr>
              <w:t xml:space="preserve"> </w:t>
            </w:r>
            <w:r>
              <w:rPr>
                <w:rFonts w:hint="eastAsia" w:ascii="Times New Roman" w:hAnsi="Times New Roman" w:eastAsia="宋体" w:cs="Times New Roman"/>
                <w:lang w:val="en-US"/>
              </w:rPr>
              <w:t>C3</w:t>
            </w:r>
            <w:r>
              <w:rPr>
                <w:rFonts w:hint="eastAsia" w:cs="Times New Roman"/>
                <w:lang w:val="en-US" w:eastAsia="zh-CN"/>
              </w:rPr>
              <w:t>499</w:t>
            </w:r>
            <w:r>
              <w:rPr>
                <w:rFonts w:hint="eastAsia" w:ascii="Times New Roman" w:hAnsi="Times New Roman" w:eastAsia="宋体" w:cs="Times New Roman"/>
                <w:lang w:val="en-US"/>
              </w:rPr>
              <w:t>其他未列明通用设备制造业</w:t>
            </w:r>
            <w:r>
              <w:rPr>
                <w:rFonts w:hint="eastAsia" w:cs="Times New Roman"/>
                <w:lang w:val="en-US" w:eastAsia="zh-CN"/>
              </w:rPr>
              <w:t>、C2926塑料包装箱及容器制造；C3062玻璃纤维增强塑料制品制造；</w:t>
            </w:r>
            <w:r>
              <w:rPr>
                <w:rFonts w:hint="eastAsia" w:ascii="Times New Roman" w:hAnsi="Times New Roman" w:eastAsia="宋体" w:cs="Times New Roman"/>
                <w:szCs w:val="21"/>
                <w:lang w:val="en-US" w:eastAsia="zh-CN"/>
              </w:rPr>
              <w:t>C3441泵及真空设备制造</w:t>
            </w:r>
          </w:p>
        </w:tc>
        <w:tc>
          <w:tcPr>
            <w:tcW w:w="2112" w:type="dxa"/>
            <w:vAlign w:val="center"/>
          </w:tcPr>
          <w:p w14:paraId="2BB64088">
            <w:pPr>
              <w:adjustRightInd w:val="0"/>
              <w:snapToGrid w:val="0"/>
              <w:spacing w:line="420" w:lineRule="exact"/>
              <w:jc w:val="center"/>
            </w:pPr>
            <w:bookmarkStart w:id="1" w:name="_Hlk49843745"/>
            <w:r>
              <w:t>建设项目</w:t>
            </w:r>
          </w:p>
          <w:p w14:paraId="391DE637">
            <w:pPr>
              <w:adjustRightInd w:val="0"/>
              <w:snapToGrid w:val="0"/>
              <w:spacing w:line="420" w:lineRule="exact"/>
              <w:jc w:val="center"/>
            </w:pPr>
            <w:r>
              <w:t>行业类别</w:t>
            </w:r>
            <w:bookmarkEnd w:id="1"/>
          </w:p>
        </w:tc>
        <w:tc>
          <w:tcPr>
            <w:tcW w:w="2519" w:type="dxa"/>
            <w:vAlign w:val="center"/>
          </w:tcPr>
          <w:p w14:paraId="6F589248">
            <w:pPr>
              <w:adjustRightInd w:val="0"/>
              <w:snapToGrid w:val="0"/>
              <w:jc w:val="center"/>
              <w:rPr>
                <w:rFonts w:hint="default" w:eastAsia="宋体"/>
                <w:lang w:val="en-US" w:eastAsia="zh-CN"/>
              </w:rPr>
            </w:pPr>
            <w:r>
              <w:rPr>
                <w:rFonts w:hint="eastAsia" w:cs="Times New Roman"/>
                <w:szCs w:val="21"/>
                <w:lang w:val="en-US" w:eastAsia="zh-CN"/>
              </w:rPr>
              <w:t>53“</w:t>
            </w:r>
            <w:r>
              <w:rPr>
                <w:rFonts w:hint="default" w:ascii="Times New Roman" w:hAnsi="Times New Roman" w:eastAsia="宋体" w:cs="Times New Roman"/>
                <w:szCs w:val="21"/>
              </w:rPr>
              <w:t>塑料制品业 292</w:t>
            </w:r>
            <w:r>
              <w:rPr>
                <w:rFonts w:hint="eastAsia" w:cs="Times New Roman"/>
                <w:szCs w:val="21"/>
                <w:lang w:val="en-US" w:eastAsia="zh-CN"/>
              </w:rPr>
              <w:t>”中的“</w:t>
            </w:r>
            <w:r>
              <w:rPr>
                <w:rFonts w:hint="default" w:ascii="Times New Roman" w:hAnsi="Times New Roman" w:eastAsia="宋体" w:cs="Times New Roman"/>
                <w:szCs w:val="21"/>
              </w:rPr>
              <w:t>其他（年用非溶剂型低VOCs含量涂料10吨以下的除外）</w:t>
            </w:r>
            <w:r>
              <w:rPr>
                <w:rFonts w:hint="eastAsia" w:cs="Times New Roman"/>
                <w:szCs w:val="21"/>
                <w:lang w:val="en-US" w:eastAsia="zh-CN"/>
              </w:rPr>
              <w:t>”；58“</w:t>
            </w:r>
            <w:r>
              <w:rPr>
                <w:rFonts w:hint="default" w:ascii="Times New Roman" w:hAnsi="Times New Roman" w:eastAsia="宋体" w:cs="Times New Roman"/>
                <w:szCs w:val="21"/>
              </w:rPr>
              <w:t>玻璃纤维和玻璃纤维增强塑料制品制造 306</w:t>
            </w:r>
            <w:bookmarkStart w:id="10" w:name="_GoBack"/>
            <w:bookmarkEnd w:id="10"/>
            <w:r>
              <w:rPr>
                <w:rFonts w:hint="eastAsia" w:cs="Times New Roman"/>
                <w:szCs w:val="21"/>
                <w:lang w:val="en-US" w:eastAsia="zh-CN"/>
              </w:rPr>
              <w:t>”中的全部；69</w:t>
            </w:r>
            <w:r>
              <w:rPr>
                <w:rFonts w:hint="eastAsia" w:ascii="Times New Roman" w:hAnsi="Times New Roman" w:eastAsia="宋体" w:cs="Times New Roman"/>
                <w:b w:val="0"/>
                <w:bCs/>
                <w:szCs w:val="21"/>
                <w:lang w:val="en-US" w:eastAsia="zh-CN"/>
              </w:rPr>
              <w:t xml:space="preserve">  </w:t>
            </w:r>
            <w:r>
              <w:rPr>
                <w:rFonts w:hint="eastAsia" w:ascii="Times New Roman" w:hAnsi="Times New Roman" w:eastAsia="宋体" w:cs="Times New Roman"/>
                <w:b w:val="0"/>
                <w:bCs w:val="0"/>
                <w:szCs w:val="21"/>
                <w:lang w:val="en-US" w:eastAsia="zh-CN"/>
              </w:rPr>
              <w:t>“</w:t>
            </w:r>
            <w:r>
              <w:rPr>
                <w:rFonts w:hint="default" w:ascii="Times New Roman" w:hAnsi="Times New Roman" w:eastAsia="宋体" w:cs="Times New Roman"/>
                <w:szCs w:val="21"/>
              </w:rPr>
              <w:t>泵、阀门、压缩机及类似机械制造</w:t>
            </w:r>
            <w:r>
              <w:rPr>
                <w:rFonts w:hint="eastAsia" w:ascii="Times New Roman" w:hAnsi="Times New Roman" w:eastAsia="宋体" w:cs="Times New Roman"/>
                <w:szCs w:val="21"/>
                <w:lang w:val="en-US" w:eastAsia="zh-CN"/>
              </w:rPr>
              <w:t>341；</w:t>
            </w:r>
            <w:r>
              <w:rPr>
                <w:rFonts w:hint="default" w:ascii="Times New Roman" w:hAnsi="Times New Roman" w:eastAsia="宋体" w:cs="Times New Roman"/>
                <w:szCs w:val="21"/>
              </w:rPr>
              <w:t>其他通用设备制造业 349</w:t>
            </w:r>
            <w:r>
              <w:rPr>
                <w:rFonts w:hint="eastAsia" w:ascii="Times New Roman" w:hAnsi="Times New Roman" w:eastAsia="宋体" w:cs="Times New Roman"/>
                <w:b w:val="0"/>
                <w:bCs w:val="0"/>
                <w:szCs w:val="21"/>
                <w:lang w:val="en-US" w:eastAsia="zh-CN"/>
              </w:rPr>
              <w:t>”</w:t>
            </w:r>
            <w:r>
              <w:rPr>
                <w:rFonts w:hint="eastAsia" w:ascii="Times New Roman" w:hAnsi="Times New Roman" w:eastAsia="宋体" w:cs="Times New Roman"/>
                <w:szCs w:val="21"/>
                <w:lang w:val="en-US" w:eastAsia="zh-CN"/>
              </w:rPr>
              <w:t xml:space="preserve"> 中的“</w:t>
            </w:r>
            <w:r>
              <w:rPr>
                <w:rFonts w:hint="default" w:ascii="Times New Roman" w:hAnsi="Times New Roman" w:eastAsia="宋体" w:cs="Times New Roman"/>
                <w:szCs w:val="21"/>
              </w:rPr>
              <w:t>其他（仅分割、焊接、组装的除外；年用非溶剂型低VOCs含量涂料10吨以下的除外）</w:t>
            </w:r>
            <w:r>
              <w:rPr>
                <w:rFonts w:hint="eastAsia" w:ascii="Times New Roman" w:hAnsi="Times New Roman" w:eastAsia="宋体" w:cs="Times New Roman"/>
                <w:szCs w:val="21"/>
                <w:lang w:val="en-US" w:eastAsia="zh-CN"/>
              </w:rPr>
              <w:t xml:space="preserve">”  </w:t>
            </w:r>
          </w:p>
        </w:tc>
      </w:tr>
      <w:tr w14:paraId="43C969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964" w:type="dxa"/>
            <w:gridSpan w:val="2"/>
            <w:tcMar>
              <w:top w:w="16" w:type="dxa"/>
              <w:left w:w="16" w:type="dxa"/>
              <w:right w:w="16" w:type="dxa"/>
            </w:tcMar>
            <w:vAlign w:val="center"/>
          </w:tcPr>
          <w:p w14:paraId="1B12B977">
            <w:pPr>
              <w:adjustRightInd w:val="0"/>
              <w:snapToGrid w:val="0"/>
              <w:spacing w:line="420" w:lineRule="exact"/>
              <w:jc w:val="center"/>
            </w:pPr>
            <w:r>
              <w:t>建设性质</w:t>
            </w:r>
          </w:p>
        </w:tc>
        <w:tc>
          <w:tcPr>
            <w:tcW w:w="2275" w:type="dxa"/>
            <w:vAlign w:val="center"/>
          </w:tcPr>
          <w:p w14:paraId="263D9690">
            <w:pPr>
              <w:spacing w:line="420" w:lineRule="exact"/>
              <w:jc w:val="left"/>
            </w:pPr>
            <w:r>
              <w:rPr/>
              <w:sym w:font="Wingdings 2" w:char="0052"/>
            </w:r>
            <w:r>
              <w:t>新建（迁建）</w:t>
            </w:r>
          </w:p>
          <w:p w14:paraId="0B230528">
            <w:pPr>
              <w:spacing w:line="420" w:lineRule="exact"/>
              <w:jc w:val="left"/>
            </w:pPr>
            <w:r>
              <w:rPr/>
              <w:sym w:font="Wingdings 2" w:char="00A3"/>
            </w:r>
            <w:r>
              <w:t>改建</w:t>
            </w:r>
          </w:p>
          <w:p w14:paraId="7027156C">
            <w:pPr>
              <w:spacing w:line="420" w:lineRule="exact"/>
              <w:jc w:val="left"/>
            </w:pPr>
            <w:r>
              <w:rPr/>
              <w:sym w:font="Wingdings 2" w:char="00A3"/>
            </w:r>
            <w:r>
              <w:t>扩建</w:t>
            </w:r>
          </w:p>
          <w:p w14:paraId="04900A93">
            <w:pPr>
              <w:spacing w:line="420" w:lineRule="exact"/>
              <w:jc w:val="left"/>
            </w:pPr>
            <w:r>
              <w:rPr/>
              <w:sym w:font="Wingdings 2" w:char="00A3"/>
            </w:r>
            <w:r>
              <w:t>技术改造</w:t>
            </w:r>
          </w:p>
        </w:tc>
        <w:tc>
          <w:tcPr>
            <w:tcW w:w="2112" w:type="dxa"/>
            <w:vAlign w:val="center"/>
          </w:tcPr>
          <w:p w14:paraId="712B730A">
            <w:pPr>
              <w:adjustRightInd w:val="0"/>
              <w:snapToGrid w:val="0"/>
              <w:spacing w:line="420" w:lineRule="exact"/>
              <w:jc w:val="center"/>
            </w:pPr>
            <w:r>
              <w:t>建设项目</w:t>
            </w:r>
          </w:p>
          <w:p w14:paraId="7041B859">
            <w:pPr>
              <w:adjustRightInd w:val="0"/>
              <w:snapToGrid w:val="0"/>
              <w:spacing w:line="420" w:lineRule="exact"/>
              <w:jc w:val="center"/>
            </w:pPr>
            <w:r>
              <w:t>申报情形</w:t>
            </w:r>
          </w:p>
        </w:tc>
        <w:tc>
          <w:tcPr>
            <w:tcW w:w="2519" w:type="dxa"/>
            <w:vAlign w:val="center"/>
          </w:tcPr>
          <w:p w14:paraId="26CDAD01">
            <w:pPr>
              <w:spacing w:line="420" w:lineRule="exact"/>
              <w:jc w:val="left"/>
            </w:pPr>
            <w:r>
              <w:t xml:space="preserve">√首次申报项目             </w:t>
            </w:r>
          </w:p>
          <w:p w14:paraId="6BA666E7">
            <w:pPr>
              <w:spacing w:line="420" w:lineRule="exact"/>
              <w:jc w:val="left"/>
            </w:pPr>
            <w:r>
              <w:rPr/>
              <w:sym w:font="Wingdings 2" w:char="00A3"/>
            </w:r>
            <w:r>
              <w:t>不予批准后再次申报项目</w:t>
            </w:r>
          </w:p>
          <w:p w14:paraId="4D6522E8">
            <w:pPr>
              <w:spacing w:line="420" w:lineRule="exact"/>
              <w:jc w:val="left"/>
            </w:pPr>
            <w:r>
              <w:rPr/>
              <w:sym w:font="Wingdings 2" w:char="00A3"/>
            </w:r>
            <w:r>
              <w:t xml:space="preserve">超五年重新审核项目     </w:t>
            </w:r>
          </w:p>
          <w:p w14:paraId="5469A3C6">
            <w:pPr>
              <w:spacing w:line="420" w:lineRule="exact"/>
              <w:jc w:val="left"/>
            </w:pPr>
            <w:r>
              <w:rPr/>
              <w:sym w:font="Wingdings 2" w:char="00A3"/>
            </w:r>
            <w:r>
              <w:t>重大变动重新报批项目</w:t>
            </w:r>
          </w:p>
        </w:tc>
      </w:tr>
      <w:tr w14:paraId="7FF967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964" w:type="dxa"/>
            <w:gridSpan w:val="2"/>
            <w:tcMar>
              <w:top w:w="16" w:type="dxa"/>
              <w:left w:w="16" w:type="dxa"/>
              <w:right w:w="16" w:type="dxa"/>
            </w:tcMar>
            <w:vAlign w:val="center"/>
          </w:tcPr>
          <w:p w14:paraId="5822B938">
            <w:pPr>
              <w:adjustRightInd w:val="0"/>
              <w:snapToGrid w:val="0"/>
              <w:spacing w:line="420" w:lineRule="exact"/>
              <w:jc w:val="center"/>
              <w:rPr>
                <w:color w:val="FF0000"/>
              </w:rPr>
            </w:pPr>
            <w:r>
              <w:t>项目备案部门</w:t>
            </w:r>
          </w:p>
        </w:tc>
        <w:tc>
          <w:tcPr>
            <w:tcW w:w="2275" w:type="dxa"/>
            <w:vAlign w:val="center"/>
          </w:tcPr>
          <w:p w14:paraId="72F64255">
            <w:pPr>
              <w:adjustRightInd w:val="0"/>
              <w:snapToGrid w:val="0"/>
              <w:spacing w:line="420" w:lineRule="exact"/>
              <w:jc w:val="center"/>
              <w:rPr>
                <w:color w:val="FF0000"/>
              </w:rPr>
            </w:pPr>
            <w:r>
              <w:t>淄川区行政审批服务局</w:t>
            </w:r>
          </w:p>
        </w:tc>
        <w:tc>
          <w:tcPr>
            <w:tcW w:w="2112" w:type="dxa"/>
            <w:vAlign w:val="center"/>
          </w:tcPr>
          <w:p w14:paraId="43285477">
            <w:pPr>
              <w:adjustRightInd w:val="0"/>
              <w:snapToGrid w:val="0"/>
              <w:spacing w:line="420" w:lineRule="exact"/>
              <w:jc w:val="center"/>
            </w:pPr>
            <w:r>
              <w:t>项目备案文号</w:t>
            </w:r>
          </w:p>
        </w:tc>
        <w:tc>
          <w:tcPr>
            <w:tcW w:w="2519" w:type="dxa"/>
            <w:vAlign w:val="center"/>
          </w:tcPr>
          <w:p w14:paraId="6B7DA63A">
            <w:pPr>
              <w:adjustRightInd w:val="0"/>
              <w:snapToGrid w:val="0"/>
              <w:spacing w:line="420" w:lineRule="exact"/>
              <w:jc w:val="center"/>
              <w:rPr>
                <w:rFonts w:hint="eastAsia" w:eastAsia="宋体"/>
                <w:lang w:eastAsia="zh-CN"/>
              </w:rPr>
            </w:pPr>
            <w:r>
              <w:rPr>
                <w:rFonts w:hint="eastAsia"/>
                <w:lang w:val="en-US" w:eastAsia="zh-CN"/>
              </w:rPr>
              <w:t>/</w:t>
            </w:r>
          </w:p>
        </w:tc>
      </w:tr>
      <w:tr w14:paraId="34705A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3B1F67D6">
            <w:pPr>
              <w:adjustRightInd w:val="0"/>
              <w:snapToGrid w:val="0"/>
              <w:spacing w:line="420" w:lineRule="exact"/>
              <w:jc w:val="center"/>
            </w:pPr>
            <w:r>
              <w:t>总投资（万元）</w:t>
            </w:r>
          </w:p>
        </w:tc>
        <w:tc>
          <w:tcPr>
            <w:tcW w:w="2275" w:type="dxa"/>
            <w:vAlign w:val="center"/>
          </w:tcPr>
          <w:p w14:paraId="6A24905B">
            <w:pPr>
              <w:adjustRightInd w:val="0"/>
              <w:snapToGrid w:val="0"/>
              <w:spacing w:line="420" w:lineRule="exact"/>
              <w:jc w:val="center"/>
            </w:pPr>
            <w:r>
              <w:rPr>
                <w:rFonts w:hint="eastAsia"/>
                <w:lang w:val="en-US" w:eastAsia="zh-CN"/>
              </w:rPr>
              <w:t>60</w:t>
            </w:r>
            <w:r>
              <w:t>00</w:t>
            </w:r>
          </w:p>
        </w:tc>
        <w:tc>
          <w:tcPr>
            <w:tcW w:w="2112" w:type="dxa"/>
            <w:tcMar>
              <w:top w:w="16" w:type="dxa"/>
              <w:left w:w="16" w:type="dxa"/>
              <w:right w:w="16" w:type="dxa"/>
            </w:tcMar>
            <w:vAlign w:val="center"/>
          </w:tcPr>
          <w:p w14:paraId="2A7C7000">
            <w:pPr>
              <w:adjustRightInd w:val="0"/>
              <w:snapToGrid w:val="0"/>
              <w:spacing w:line="420" w:lineRule="exact"/>
              <w:jc w:val="center"/>
            </w:pPr>
            <w:r>
              <w:t>环保投资（万元）</w:t>
            </w:r>
          </w:p>
        </w:tc>
        <w:tc>
          <w:tcPr>
            <w:tcW w:w="2519" w:type="dxa"/>
            <w:vAlign w:val="center"/>
          </w:tcPr>
          <w:p w14:paraId="37827622">
            <w:pPr>
              <w:adjustRightInd w:val="0"/>
              <w:snapToGrid w:val="0"/>
              <w:spacing w:line="420" w:lineRule="exact"/>
              <w:jc w:val="center"/>
              <w:rPr>
                <w:rFonts w:hint="default" w:eastAsia="宋体"/>
                <w:lang w:val="en-US" w:eastAsia="zh-CN"/>
              </w:rPr>
            </w:pPr>
            <w:r>
              <w:rPr>
                <w:rFonts w:hint="eastAsia"/>
                <w:lang w:val="en-US" w:eastAsia="zh-CN"/>
              </w:rPr>
              <w:t>60</w:t>
            </w:r>
          </w:p>
        </w:tc>
      </w:tr>
      <w:tr w14:paraId="3DACBC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25CB8CFE">
            <w:pPr>
              <w:adjustRightInd w:val="0"/>
              <w:snapToGrid w:val="0"/>
              <w:spacing w:line="420" w:lineRule="exact"/>
              <w:jc w:val="center"/>
            </w:pPr>
            <w:r>
              <w:t>环保投资占比（%）</w:t>
            </w:r>
          </w:p>
        </w:tc>
        <w:tc>
          <w:tcPr>
            <w:tcW w:w="2275" w:type="dxa"/>
            <w:vAlign w:val="center"/>
          </w:tcPr>
          <w:p w14:paraId="2B292740">
            <w:pPr>
              <w:adjustRightInd w:val="0"/>
              <w:snapToGrid w:val="0"/>
              <w:spacing w:line="420" w:lineRule="exact"/>
              <w:jc w:val="center"/>
              <w:rPr>
                <w:rFonts w:hint="default" w:eastAsia="宋体"/>
                <w:color w:val="FF0000"/>
                <w:lang w:val="en-US" w:eastAsia="zh-CN"/>
              </w:rPr>
            </w:pPr>
            <w:r>
              <w:t>1</w:t>
            </w:r>
          </w:p>
        </w:tc>
        <w:tc>
          <w:tcPr>
            <w:tcW w:w="2112" w:type="dxa"/>
            <w:tcMar>
              <w:top w:w="16" w:type="dxa"/>
              <w:left w:w="16" w:type="dxa"/>
              <w:right w:w="16" w:type="dxa"/>
            </w:tcMar>
            <w:vAlign w:val="center"/>
          </w:tcPr>
          <w:p w14:paraId="3FDFC5ED">
            <w:pPr>
              <w:adjustRightInd w:val="0"/>
              <w:snapToGrid w:val="0"/>
              <w:spacing w:line="420" w:lineRule="exact"/>
              <w:jc w:val="center"/>
            </w:pPr>
            <w:r>
              <w:t>施工工期</w:t>
            </w:r>
          </w:p>
        </w:tc>
        <w:tc>
          <w:tcPr>
            <w:tcW w:w="2519" w:type="dxa"/>
            <w:vAlign w:val="center"/>
          </w:tcPr>
          <w:p w14:paraId="0060BEE2">
            <w:pPr>
              <w:adjustRightInd w:val="0"/>
              <w:snapToGrid w:val="0"/>
              <w:spacing w:line="420" w:lineRule="exact"/>
              <w:jc w:val="center"/>
              <w:rPr>
                <w:color w:val="FF0000"/>
              </w:rPr>
            </w:pPr>
            <w:r>
              <w:rPr>
                <w:rFonts w:hint="eastAsia"/>
                <w:lang w:val="en-US" w:eastAsia="zh-CN"/>
              </w:rPr>
              <w:t>4</w:t>
            </w:r>
            <w:r>
              <w:t>个月</w:t>
            </w:r>
          </w:p>
        </w:tc>
      </w:tr>
      <w:tr w14:paraId="0AD045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964" w:type="dxa"/>
            <w:gridSpan w:val="2"/>
            <w:tcMar>
              <w:top w:w="16" w:type="dxa"/>
              <w:left w:w="16" w:type="dxa"/>
              <w:right w:w="16" w:type="dxa"/>
            </w:tcMar>
            <w:vAlign w:val="center"/>
          </w:tcPr>
          <w:p w14:paraId="0DDD8484">
            <w:pPr>
              <w:adjustRightInd w:val="0"/>
              <w:snapToGrid w:val="0"/>
              <w:spacing w:line="420" w:lineRule="exact"/>
              <w:jc w:val="center"/>
            </w:pPr>
            <w:r>
              <w:t>是否开工建设</w:t>
            </w:r>
          </w:p>
        </w:tc>
        <w:tc>
          <w:tcPr>
            <w:tcW w:w="2275" w:type="dxa"/>
            <w:vAlign w:val="center"/>
          </w:tcPr>
          <w:p w14:paraId="096DF0B0">
            <w:pPr>
              <w:adjustRightInd w:val="0"/>
              <w:snapToGrid w:val="0"/>
              <w:spacing w:line="420" w:lineRule="exact"/>
            </w:pPr>
            <w:r>
              <w:t>√否</w:t>
            </w:r>
          </w:p>
          <w:p w14:paraId="157879D8">
            <w:pPr>
              <w:adjustRightInd w:val="0"/>
              <w:snapToGrid w:val="0"/>
              <w:spacing w:line="420" w:lineRule="exact"/>
            </w:pPr>
            <w:r>
              <w:rPr/>
              <w:sym w:font="Wingdings 2" w:char="00A3"/>
            </w:r>
            <w:r>
              <w:t>是：</w:t>
            </w:r>
            <w:r>
              <w:rPr>
                <w:u w:val="single"/>
              </w:rPr>
              <w:t xml:space="preserve">             </w:t>
            </w:r>
          </w:p>
        </w:tc>
        <w:tc>
          <w:tcPr>
            <w:tcW w:w="2112" w:type="dxa"/>
            <w:tcMar>
              <w:top w:w="16" w:type="dxa"/>
              <w:left w:w="16" w:type="dxa"/>
              <w:right w:w="16" w:type="dxa"/>
            </w:tcMar>
            <w:vAlign w:val="center"/>
          </w:tcPr>
          <w:p w14:paraId="142485DE">
            <w:pPr>
              <w:adjustRightInd w:val="0"/>
              <w:snapToGrid w:val="0"/>
              <w:spacing w:line="420" w:lineRule="exact"/>
              <w:jc w:val="center"/>
              <w:rPr>
                <w:color w:val="FF0000"/>
              </w:rPr>
            </w:pPr>
            <w:r>
              <w:rPr>
                <w:spacing w:val="-6"/>
              </w:rPr>
              <w:t>用地面积（m</w:t>
            </w:r>
            <w:r>
              <w:rPr>
                <w:spacing w:val="-6"/>
                <w:vertAlign w:val="superscript"/>
              </w:rPr>
              <w:t>2</w:t>
            </w:r>
            <w:r>
              <w:rPr>
                <w:spacing w:val="-6"/>
              </w:rPr>
              <w:t>）</w:t>
            </w:r>
          </w:p>
        </w:tc>
        <w:tc>
          <w:tcPr>
            <w:tcW w:w="2519" w:type="dxa"/>
            <w:vAlign w:val="center"/>
          </w:tcPr>
          <w:p w14:paraId="4DE63895">
            <w:pPr>
              <w:adjustRightInd w:val="0"/>
              <w:snapToGrid w:val="0"/>
              <w:spacing w:line="420" w:lineRule="exact"/>
              <w:jc w:val="center"/>
              <w:rPr>
                <w:rFonts w:hint="default" w:eastAsia="宋体"/>
                <w:color w:val="FF0000"/>
                <w:lang w:val="en-US" w:eastAsia="zh-CN"/>
              </w:rPr>
            </w:pPr>
            <w:r>
              <w:rPr>
                <w:rFonts w:hint="eastAsia" w:ascii="Times New Roman" w:hAnsi="Times New Roman" w:cs="Times New Roman"/>
                <w:lang w:val="en-US" w:eastAsia="zh-CN"/>
              </w:rPr>
              <w:t>16200</w:t>
            </w:r>
          </w:p>
        </w:tc>
      </w:tr>
      <w:tr w14:paraId="7E6FD0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67" w:hRule="atLeast"/>
          <w:jc w:val="center"/>
        </w:trPr>
        <w:tc>
          <w:tcPr>
            <w:tcW w:w="1964" w:type="dxa"/>
            <w:gridSpan w:val="2"/>
            <w:vAlign w:val="center"/>
          </w:tcPr>
          <w:p w14:paraId="288B21EC">
            <w:pPr>
              <w:autoSpaceDE w:val="0"/>
              <w:autoSpaceDN w:val="0"/>
              <w:adjustRightInd w:val="0"/>
              <w:snapToGrid w:val="0"/>
              <w:spacing w:line="420" w:lineRule="exact"/>
              <w:jc w:val="center"/>
              <w:rPr>
                <w:kern w:val="0"/>
              </w:rPr>
            </w:pPr>
            <w:r>
              <w:rPr>
                <w:kern w:val="0"/>
              </w:rPr>
              <w:t>专项评价设置情况</w:t>
            </w:r>
          </w:p>
        </w:tc>
        <w:tc>
          <w:tcPr>
            <w:tcW w:w="6906" w:type="dxa"/>
            <w:gridSpan w:val="3"/>
            <w:vAlign w:val="center"/>
          </w:tcPr>
          <w:p w14:paraId="6EA30CE0">
            <w:pPr>
              <w:spacing w:before="120" w:beforeLines="50"/>
              <w:jc w:val="center"/>
              <w:textAlignment w:val="baseline"/>
              <w:rPr>
                <w:b/>
              </w:rPr>
            </w:pPr>
            <w:r>
              <w:rPr>
                <w:b/>
              </w:rPr>
              <w:t>表1-1  专项评价设置情况判定表</w:t>
            </w:r>
          </w:p>
          <w:tbl>
            <w:tblPr>
              <w:tblStyle w:val="81"/>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2"/>
              <w:gridCol w:w="3007"/>
              <w:gridCol w:w="1890"/>
              <w:gridCol w:w="651"/>
            </w:tblGrid>
            <w:tr w14:paraId="0A2BC5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7" w:type="dxa"/>
                  <w:vAlign w:val="center"/>
                </w:tcPr>
                <w:p w14:paraId="44315179">
                  <w:pPr>
                    <w:jc w:val="center"/>
                    <w:textAlignment w:val="baseline"/>
                    <w:rPr>
                      <w:b/>
                    </w:rPr>
                  </w:pPr>
                  <w:r>
                    <w:rPr>
                      <w:b/>
                    </w:rPr>
                    <w:t>专项评价的类别</w:t>
                  </w:r>
                </w:p>
              </w:tc>
              <w:tc>
                <w:tcPr>
                  <w:tcW w:w="3145" w:type="dxa"/>
                  <w:vAlign w:val="center"/>
                </w:tcPr>
                <w:p w14:paraId="1AA4B29A">
                  <w:pPr>
                    <w:jc w:val="center"/>
                    <w:textAlignment w:val="baseline"/>
                    <w:rPr>
                      <w:b/>
                    </w:rPr>
                  </w:pPr>
                  <w:r>
                    <w:rPr>
                      <w:b/>
                    </w:rPr>
                    <w:t>设置原则</w:t>
                  </w:r>
                </w:p>
              </w:tc>
              <w:tc>
                <w:tcPr>
                  <w:tcW w:w="1950" w:type="dxa"/>
                  <w:vAlign w:val="center"/>
                </w:tcPr>
                <w:p w14:paraId="405CE54B">
                  <w:pPr>
                    <w:jc w:val="center"/>
                    <w:textAlignment w:val="baseline"/>
                    <w:rPr>
                      <w:b/>
                    </w:rPr>
                  </w:pPr>
                  <w:r>
                    <w:rPr>
                      <w:b/>
                    </w:rPr>
                    <w:t>项目情况</w:t>
                  </w:r>
                </w:p>
              </w:tc>
              <w:tc>
                <w:tcPr>
                  <w:tcW w:w="665" w:type="dxa"/>
                  <w:vAlign w:val="center"/>
                </w:tcPr>
                <w:p w14:paraId="756F8352">
                  <w:pPr>
                    <w:jc w:val="center"/>
                    <w:textAlignment w:val="baseline"/>
                    <w:rPr>
                      <w:b/>
                    </w:rPr>
                  </w:pPr>
                  <w:r>
                    <w:rPr>
                      <w:b/>
                    </w:rPr>
                    <w:t>是否设置</w:t>
                  </w:r>
                </w:p>
              </w:tc>
            </w:tr>
            <w:tr w14:paraId="3595E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7" w:type="dxa"/>
                  <w:vAlign w:val="center"/>
                </w:tcPr>
                <w:p w14:paraId="372627A4">
                  <w:pPr>
                    <w:jc w:val="center"/>
                    <w:textAlignment w:val="baseline"/>
                    <w:rPr>
                      <w:bCs/>
                    </w:rPr>
                  </w:pPr>
                  <w:r>
                    <w:rPr>
                      <w:bCs/>
                    </w:rPr>
                    <w:t>大气</w:t>
                  </w:r>
                </w:p>
              </w:tc>
              <w:tc>
                <w:tcPr>
                  <w:tcW w:w="3145" w:type="dxa"/>
                  <w:vAlign w:val="center"/>
                </w:tcPr>
                <w:p w14:paraId="770C213C">
                  <w:pPr>
                    <w:jc w:val="center"/>
                    <w:textAlignment w:val="baseline"/>
                    <w:rPr>
                      <w:bCs/>
                    </w:rPr>
                  </w:pPr>
                  <w:r>
                    <w:rPr>
                      <w:bCs/>
                    </w:rPr>
                    <w:t>排放废气含有毒有害污染物、二噁英、苯并[a]芘、氰化物、</w:t>
                  </w:r>
                  <w:r>
                    <w:rPr>
                      <w:rFonts w:hint="eastAsia"/>
                      <w:bCs/>
                      <w:lang w:val="en-US" w:eastAsia="zh-CN"/>
                    </w:rPr>
                    <w:t>氯</w:t>
                  </w:r>
                  <w:r>
                    <w:rPr>
                      <w:bCs/>
                    </w:rPr>
                    <w:t>气且厂界外500米范围内有环境空气保护目标的建设项目</w:t>
                  </w:r>
                </w:p>
              </w:tc>
              <w:tc>
                <w:tcPr>
                  <w:tcW w:w="1950" w:type="dxa"/>
                  <w:vAlign w:val="center"/>
                </w:tcPr>
                <w:p w14:paraId="0BC73548">
                  <w:pPr>
                    <w:jc w:val="center"/>
                    <w:textAlignment w:val="baseline"/>
                    <w:rPr>
                      <w:bCs/>
                    </w:rPr>
                  </w:pPr>
                  <w:r>
                    <w:rPr>
                      <w:bCs/>
                      <w:highlight w:val="none"/>
                    </w:rPr>
                    <w:t>本项目废气主要污染物为颗粒物</w:t>
                  </w:r>
                  <w:r>
                    <w:rPr>
                      <w:rFonts w:hint="eastAsia"/>
                      <w:bCs/>
                      <w:highlight w:val="none"/>
                      <w:lang w:eastAsia="zh-CN"/>
                    </w:rPr>
                    <w:t>、</w:t>
                  </w:r>
                  <w:r>
                    <w:rPr>
                      <w:rFonts w:hint="eastAsia"/>
                      <w:bCs/>
                      <w:highlight w:val="none"/>
                      <w:lang w:val="en-US" w:eastAsia="zh-CN"/>
                    </w:rPr>
                    <w:t>VOCs、苯乙烯、臭气浓度</w:t>
                  </w:r>
                  <w:r>
                    <w:rPr>
                      <w:rFonts w:hint="eastAsia"/>
                      <w:bCs/>
                      <w:highlight w:val="none"/>
                      <w:lang w:eastAsia="zh-CN"/>
                    </w:rPr>
                    <w:t>，不涉及上述有毒有害污染物。</w:t>
                  </w:r>
                </w:p>
              </w:tc>
              <w:tc>
                <w:tcPr>
                  <w:tcW w:w="665" w:type="dxa"/>
                  <w:vAlign w:val="center"/>
                </w:tcPr>
                <w:p w14:paraId="3728A496">
                  <w:pPr>
                    <w:jc w:val="center"/>
                    <w:textAlignment w:val="baseline"/>
                    <w:rPr>
                      <w:bCs/>
                    </w:rPr>
                  </w:pPr>
                  <w:r>
                    <w:rPr>
                      <w:bCs/>
                    </w:rPr>
                    <w:t>否</w:t>
                  </w:r>
                </w:p>
              </w:tc>
            </w:tr>
            <w:tr w14:paraId="0CA052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7" w:type="dxa"/>
                  <w:vAlign w:val="center"/>
                </w:tcPr>
                <w:p w14:paraId="716E503E">
                  <w:pPr>
                    <w:jc w:val="center"/>
                    <w:textAlignment w:val="baseline"/>
                    <w:rPr>
                      <w:bCs/>
                    </w:rPr>
                  </w:pPr>
                  <w:r>
                    <w:rPr>
                      <w:bCs/>
                    </w:rPr>
                    <w:t>地表水</w:t>
                  </w:r>
                </w:p>
              </w:tc>
              <w:tc>
                <w:tcPr>
                  <w:tcW w:w="3145" w:type="dxa"/>
                  <w:vAlign w:val="center"/>
                </w:tcPr>
                <w:p w14:paraId="786A5FAA">
                  <w:pPr>
                    <w:jc w:val="center"/>
                    <w:textAlignment w:val="baseline"/>
                    <w:rPr>
                      <w:bCs/>
                    </w:rPr>
                  </w:pPr>
                  <w:r>
                    <w:rPr>
                      <w:bCs/>
                    </w:rPr>
                    <w:t>新增工业废水直排建设项目（槽罐车外送污水处理厂的除外）；新增废水直排的污水集中处理厂</w:t>
                  </w:r>
                </w:p>
              </w:tc>
              <w:tc>
                <w:tcPr>
                  <w:tcW w:w="1950" w:type="dxa"/>
                  <w:vAlign w:val="center"/>
                </w:tcPr>
                <w:p w14:paraId="607E5300">
                  <w:pPr>
                    <w:jc w:val="center"/>
                    <w:textAlignment w:val="baseline"/>
                    <w:rPr>
                      <w:rFonts w:hint="eastAsia" w:eastAsia="宋体"/>
                      <w:bCs/>
                      <w:lang w:eastAsia="zh-CN"/>
                    </w:rPr>
                  </w:pPr>
                  <w:r>
                    <w:rPr>
                      <w:bCs/>
                    </w:rPr>
                    <w:t>本项目</w:t>
                  </w:r>
                  <w:r>
                    <w:rPr>
                      <w:rFonts w:hint="eastAsia"/>
                      <w:bCs/>
                      <w:lang w:eastAsia="zh-CN"/>
                    </w:rPr>
                    <w:t>无生产</w:t>
                  </w:r>
                  <w:r>
                    <w:rPr>
                      <w:bCs/>
                    </w:rPr>
                    <w:t>废水</w:t>
                  </w:r>
                  <w:r>
                    <w:rPr>
                      <w:rFonts w:hint="eastAsia"/>
                      <w:bCs/>
                      <w:lang w:eastAsia="zh-CN"/>
                    </w:rPr>
                    <w:t>产生，生活污水经化粪池处理后排入市政污水管网</w:t>
                  </w:r>
                </w:p>
              </w:tc>
              <w:tc>
                <w:tcPr>
                  <w:tcW w:w="665" w:type="dxa"/>
                  <w:vAlign w:val="center"/>
                </w:tcPr>
                <w:p w14:paraId="76B7ADEF">
                  <w:pPr>
                    <w:jc w:val="center"/>
                    <w:textAlignment w:val="baseline"/>
                    <w:rPr>
                      <w:bCs/>
                    </w:rPr>
                  </w:pPr>
                  <w:r>
                    <w:rPr>
                      <w:bCs/>
                    </w:rPr>
                    <w:t>否</w:t>
                  </w:r>
                </w:p>
              </w:tc>
            </w:tr>
            <w:tr w14:paraId="165AC2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7" w:type="dxa"/>
                  <w:vAlign w:val="center"/>
                </w:tcPr>
                <w:p w14:paraId="74815EB7">
                  <w:pPr>
                    <w:jc w:val="center"/>
                    <w:textAlignment w:val="baseline"/>
                    <w:rPr>
                      <w:bCs/>
                    </w:rPr>
                  </w:pPr>
                  <w:r>
                    <w:rPr>
                      <w:bCs/>
                    </w:rPr>
                    <w:t>环境风险</w:t>
                  </w:r>
                </w:p>
              </w:tc>
              <w:tc>
                <w:tcPr>
                  <w:tcW w:w="3145" w:type="dxa"/>
                  <w:vAlign w:val="center"/>
                </w:tcPr>
                <w:p w14:paraId="1B1118DD">
                  <w:pPr>
                    <w:jc w:val="center"/>
                    <w:textAlignment w:val="baseline"/>
                    <w:rPr>
                      <w:bCs/>
                    </w:rPr>
                  </w:pPr>
                  <w:r>
                    <w:rPr>
                      <w:bCs/>
                    </w:rPr>
                    <w:t>有毒有害和易燃易爆危险物质存储量超过临界量的建设项目</w:t>
                  </w:r>
                </w:p>
              </w:tc>
              <w:tc>
                <w:tcPr>
                  <w:tcW w:w="1950" w:type="dxa"/>
                  <w:vAlign w:val="center"/>
                </w:tcPr>
                <w:p w14:paraId="613AA310">
                  <w:pPr>
                    <w:jc w:val="center"/>
                    <w:textAlignment w:val="baseline"/>
                    <w:rPr>
                      <w:bCs/>
                    </w:rPr>
                  </w:pPr>
                  <w:r>
                    <w:rPr>
                      <w:bCs/>
                    </w:rPr>
                    <w:t>本项目涉及危险</w:t>
                  </w:r>
                  <w:r>
                    <w:rPr>
                      <w:rFonts w:hint="eastAsia"/>
                      <w:bCs/>
                      <w:lang w:eastAsia="zh-CN"/>
                    </w:rPr>
                    <w:t>物质</w:t>
                  </w:r>
                  <w:r>
                    <w:rPr>
                      <w:bCs/>
                    </w:rPr>
                    <w:t>储存量未超过临界量</w:t>
                  </w:r>
                </w:p>
              </w:tc>
              <w:tc>
                <w:tcPr>
                  <w:tcW w:w="665" w:type="dxa"/>
                  <w:vAlign w:val="center"/>
                </w:tcPr>
                <w:p w14:paraId="70004F4E">
                  <w:pPr>
                    <w:jc w:val="center"/>
                    <w:textAlignment w:val="baseline"/>
                    <w:rPr>
                      <w:bCs/>
                    </w:rPr>
                  </w:pPr>
                  <w:r>
                    <w:rPr>
                      <w:bCs/>
                    </w:rPr>
                    <w:t>否</w:t>
                  </w:r>
                </w:p>
              </w:tc>
            </w:tr>
            <w:tr w14:paraId="733334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7" w:type="dxa"/>
                  <w:vAlign w:val="center"/>
                </w:tcPr>
                <w:p w14:paraId="0D752B01">
                  <w:pPr>
                    <w:jc w:val="center"/>
                    <w:textAlignment w:val="baseline"/>
                    <w:rPr>
                      <w:bCs/>
                    </w:rPr>
                  </w:pPr>
                  <w:r>
                    <w:rPr>
                      <w:bCs/>
                    </w:rPr>
                    <w:t>生态</w:t>
                  </w:r>
                </w:p>
              </w:tc>
              <w:tc>
                <w:tcPr>
                  <w:tcW w:w="3145" w:type="dxa"/>
                  <w:vAlign w:val="center"/>
                </w:tcPr>
                <w:p w14:paraId="10D0BF29">
                  <w:pPr>
                    <w:jc w:val="center"/>
                    <w:textAlignment w:val="baseline"/>
                    <w:rPr>
                      <w:bCs/>
                    </w:rPr>
                  </w:pPr>
                  <w:r>
                    <w:rPr>
                      <w:bCs/>
                    </w:rPr>
                    <w:t>取水口下游500米范围内有重要水生生物的自然产卵场、索饵场、越冬场和洄游通道的新增河道取水的污染类建设项目</w:t>
                  </w:r>
                </w:p>
              </w:tc>
              <w:tc>
                <w:tcPr>
                  <w:tcW w:w="1950" w:type="dxa"/>
                  <w:vAlign w:val="center"/>
                </w:tcPr>
                <w:p w14:paraId="066727AD">
                  <w:pPr>
                    <w:jc w:val="center"/>
                    <w:textAlignment w:val="baseline"/>
                    <w:rPr>
                      <w:bCs/>
                    </w:rPr>
                  </w:pPr>
                  <w:r>
                    <w:rPr>
                      <w:bCs/>
                    </w:rPr>
                    <w:t>不涉及</w:t>
                  </w:r>
                </w:p>
              </w:tc>
              <w:tc>
                <w:tcPr>
                  <w:tcW w:w="665" w:type="dxa"/>
                  <w:vAlign w:val="center"/>
                </w:tcPr>
                <w:p w14:paraId="334417AE">
                  <w:pPr>
                    <w:jc w:val="center"/>
                    <w:textAlignment w:val="baseline"/>
                    <w:rPr>
                      <w:bCs/>
                    </w:rPr>
                  </w:pPr>
                  <w:r>
                    <w:rPr>
                      <w:bCs/>
                    </w:rPr>
                    <w:t>否</w:t>
                  </w:r>
                </w:p>
              </w:tc>
            </w:tr>
            <w:tr w14:paraId="5E267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77" w:type="dxa"/>
                  <w:vAlign w:val="center"/>
                </w:tcPr>
                <w:p w14:paraId="58A2212D">
                  <w:pPr>
                    <w:jc w:val="center"/>
                    <w:textAlignment w:val="baseline"/>
                    <w:rPr>
                      <w:bCs/>
                    </w:rPr>
                  </w:pPr>
                  <w:r>
                    <w:rPr>
                      <w:bCs/>
                    </w:rPr>
                    <w:t>海洋</w:t>
                  </w:r>
                </w:p>
              </w:tc>
              <w:tc>
                <w:tcPr>
                  <w:tcW w:w="3145" w:type="dxa"/>
                  <w:vAlign w:val="center"/>
                </w:tcPr>
                <w:p w14:paraId="4954AB79">
                  <w:pPr>
                    <w:jc w:val="center"/>
                    <w:textAlignment w:val="baseline"/>
                    <w:rPr>
                      <w:bCs/>
                    </w:rPr>
                  </w:pPr>
                  <w:r>
                    <w:rPr>
                      <w:bCs/>
                    </w:rPr>
                    <w:t>直接向海排放污染物的海洋工程建设项目</w:t>
                  </w:r>
                </w:p>
              </w:tc>
              <w:tc>
                <w:tcPr>
                  <w:tcW w:w="1950" w:type="dxa"/>
                  <w:vAlign w:val="center"/>
                </w:tcPr>
                <w:p w14:paraId="442DC5BE">
                  <w:pPr>
                    <w:jc w:val="center"/>
                    <w:textAlignment w:val="baseline"/>
                    <w:rPr>
                      <w:bCs/>
                    </w:rPr>
                  </w:pPr>
                  <w:r>
                    <w:rPr>
                      <w:bCs/>
                    </w:rPr>
                    <w:t>不涉及</w:t>
                  </w:r>
                </w:p>
              </w:tc>
              <w:tc>
                <w:tcPr>
                  <w:tcW w:w="665" w:type="dxa"/>
                  <w:vAlign w:val="center"/>
                </w:tcPr>
                <w:p w14:paraId="5B39AD8D">
                  <w:pPr>
                    <w:jc w:val="center"/>
                    <w:textAlignment w:val="baseline"/>
                    <w:rPr>
                      <w:bCs/>
                    </w:rPr>
                  </w:pPr>
                  <w:r>
                    <w:rPr>
                      <w:bCs/>
                    </w:rPr>
                    <w:t>否</w:t>
                  </w:r>
                </w:p>
              </w:tc>
            </w:tr>
          </w:tbl>
          <w:p w14:paraId="55DFAA55">
            <w:pPr>
              <w:autoSpaceDE w:val="0"/>
              <w:autoSpaceDN w:val="0"/>
              <w:adjustRightInd w:val="0"/>
              <w:snapToGrid w:val="0"/>
              <w:jc w:val="center"/>
              <w:rPr>
                <w:kern w:val="0"/>
              </w:rPr>
            </w:pPr>
          </w:p>
        </w:tc>
      </w:tr>
      <w:tr w14:paraId="7702C7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1964" w:type="dxa"/>
            <w:gridSpan w:val="2"/>
            <w:vAlign w:val="center"/>
          </w:tcPr>
          <w:p w14:paraId="42A5805D">
            <w:pPr>
              <w:autoSpaceDE w:val="0"/>
              <w:autoSpaceDN w:val="0"/>
              <w:adjustRightInd w:val="0"/>
              <w:snapToGrid w:val="0"/>
              <w:spacing w:line="420" w:lineRule="exact"/>
              <w:jc w:val="center"/>
              <w:rPr>
                <w:kern w:val="0"/>
              </w:rPr>
            </w:pPr>
            <w:r>
              <w:t>规划情况</w:t>
            </w:r>
          </w:p>
        </w:tc>
        <w:tc>
          <w:tcPr>
            <w:tcW w:w="6906" w:type="dxa"/>
            <w:gridSpan w:val="3"/>
            <w:vAlign w:val="center"/>
          </w:tcPr>
          <w:p w14:paraId="60692BCB">
            <w:pPr>
              <w:autoSpaceDE w:val="0"/>
              <w:autoSpaceDN w:val="0"/>
              <w:adjustRightInd w:val="0"/>
              <w:snapToGrid w:val="0"/>
              <w:spacing w:line="360" w:lineRule="auto"/>
              <w:ind w:firstLine="420" w:firstLineChars="200"/>
              <w:rPr>
                <w:rFonts w:hint="default" w:ascii="Times New Roman" w:hAnsi="Times New Roman" w:cs="Times New Roman"/>
                <w:kern w:val="0"/>
                <w:szCs w:val="21"/>
              </w:rPr>
            </w:pPr>
            <w:r>
              <w:rPr>
                <w:rFonts w:hint="default" w:ascii="Times New Roman" w:hAnsi="Times New Roman" w:cs="Times New Roman"/>
                <w:kern w:val="0"/>
                <w:szCs w:val="21"/>
              </w:rPr>
              <w:t>规划名称：</w:t>
            </w:r>
            <w:r>
              <w:rPr>
                <w:rFonts w:hint="eastAsia" w:cs="Times New Roman"/>
                <w:kern w:val="0"/>
                <w:szCs w:val="21"/>
                <w:lang w:eastAsia="zh-CN"/>
              </w:rPr>
              <w:t>山东</w:t>
            </w:r>
            <w:r>
              <w:rPr>
                <w:rFonts w:hint="default" w:ascii="Times New Roman" w:hAnsi="Times New Roman" w:cs="Times New Roman"/>
                <w:kern w:val="0"/>
                <w:szCs w:val="21"/>
              </w:rPr>
              <w:t xml:space="preserve">淄川经济开发区 </w:t>
            </w:r>
          </w:p>
          <w:p w14:paraId="18F3B440">
            <w:pPr>
              <w:autoSpaceDE w:val="0"/>
              <w:autoSpaceDN w:val="0"/>
              <w:adjustRightInd w:val="0"/>
              <w:snapToGrid w:val="0"/>
              <w:spacing w:line="360" w:lineRule="auto"/>
              <w:ind w:firstLine="420" w:firstLineChars="200"/>
              <w:rPr>
                <w:rFonts w:hint="default" w:ascii="Times New Roman" w:hAnsi="Times New Roman" w:cs="Times New Roman"/>
                <w:kern w:val="0"/>
                <w:szCs w:val="21"/>
              </w:rPr>
            </w:pPr>
            <w:r>
              <w:rPr>
                <w:rFonts w:hint="default" w:ascii="Times New Roman" w:hAnsi="Times New Roman" w:cs="Times New Roman"/>
                <w:kern w:val="0"/>
                <w:szCs w:val="21"/>
              </w:rPr>
              <w:t xml:space="preserve">审批机关：山东省人民政府 </w:t>
            </w:r>
          </w:p>
          <w:p w14:paraId="456C0BA1">
            <w:pPr>
              <w:keepNext w:val="0"/>
              <w:keepLines w:val="0"/>
              <w:widowControl/>
              <w:suppressLineNumbers w:val="0"/>
              <w:ind w:firstLine="420" w:firstLineChars="200"/>
              <w:jc w:val="left"/>
              <w:rPr>
                <w:kern w:val="0"/>
              </w:rPr>
            </w:pPr>
            <w:r>
              <w:rPr>
                <w:rFonts w:hint="default" w:ascii="Times New Roman" w:hAnsi="Times New Roman" w:cs="Times New Roman"/>
              </w:rPr>
              <w:t>审批文件名称及文号：</w:t>
            </w:r>
            <w:r>
              <w:rPr>
                <w:rFonts w:hint="eastAsia" w:ascii="Times New Roman" w:hAnsi="Times New Roman" w:cs="Times New Roman"/>
                <w:lang w:val="en-US" w:eastAsia="zh-CN"/>
              </w:rPr>
              <w:t>《山东省人民政府关于部分经济开发区更名的通知》</w:t>
            </w:r>
            <w:r>
              <w:rPr>
                <w:rFonts w:hint="eastAsia" w:cs="Times New Roman"/>
                <w:lang w:val="en-US" w:eastAsia="zh-CN"/>
              </w:rPr>
              <w:t>（</w:t>
            </w:r>
            <w:r>
              <w:rPr>
                <w:rFonts w:hint="eastAsia" w:ascii="Times New Roman" w:hAnsi="Times New Roman" w:eastAsia="宋体" w:cs="Times New Roman"/>
                <w:kern w:val="0"/>
                <w:szCs w:val="21"/>
                <w:lang w:val="en-US" w:eastAsia="zh-CN"/>
              </w:rPr>
              <w:t>鲁政字[2002]45号</w:t>
            </w:r>
            <w:r>
              <w:rPr>
                <w:rFonts w:hint="eastAsia" w:cs="Times New Roman"/>
                <w:lang w:val="en-US" w:eastAsia="zh-CN"/>
              </w:rPr>
              <w:t>）</w:t>
            </w:r>
          </w:p>
        </w:tc>
      </w:tr>
      <w:tr w14:paraId="77A53C0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16" w:hRule="atLeast"/>
          <w:jc w:val="center"/>
        </w:trPr>
        <w:tc>
          <w:tcPr>
            <w:tcW w:w="1964" w:type="dxa"/>
            <w:gridSpan w:val="2"/>
            <w:vAlign w:val="center"/>
          </w:tcPr>
          <w:p w14:paraId="10ADEAA0">
            <w:pPr>
              <w:adjustRightInd w:val="0"/>
              <w:snapToGrid w:val="0"/>
              <w:spacing w:line="420" w:lineRule="exact"/>
              <w:jc w:val="center"/>
            </w:pPr>
            <w:r>
              <w:t>规划环境影响</w:t>
            </w:r>
          </w:p>
          <w:p w14:paraId="4463FEBA">
            <w:pPr>
              <w:adjustRightInd w:val="0"/>
              <w:snapToGrid w:val="0"/>
              <w:spacing w:line="420" w:lineRule="exact"/>
              <w:jc w:val="center"/>
              <w:rPr>
                <w:kern w:val="0"/>
              </w:rPr>
            </w:pPr>
            <w:r>
              <w:t>评价情况</w:t>
            </w:r>
          </w:p>
        </w:tc>
        <w:tc>
          <w:tcPr>
            <w:tcW w:w="6906" w:type="dxa"/>
            <w:gridSpan w:val="3"/>
            <w:vAlign w:val="center"/>
          </w:tcPr>
          <w:p w14:paraId="5CFD9167">
            <w:pPr>
              <w:autoSpaceDE w:val="0"/>
              <w:autoSpaceDN w:val="0"/>
              <w:adjustRightInd w:val="0"/>
              <w:snapToGrid w:val="0"/>
              <w:spacing w:line="360" w:lineRule="auto"/>
              <w:ind w:firstLine="420" w:firstLineChars="200"/>
              <w:rPr>
                <w:rFonts w:hint="default" w:ascii="Times New Roman" w:hAnsi="Times New Roman" w:cs="Times New Roman"/>
                <w:lang w:val="zh-CN"/>
              </w:rPr>
            </w:pPr>
            <w:r>
              <w:rPr>
                <w:rFonts w:hint="default" w:ascii="Times New Roman" w:hAnsi="Times New Roman" w:cs="Times New Roman"/>
              </w:rPr>
              <w:t>规划环评：</w:t>
            </w:r>
            <w:r>
              <w:rPr>
                <w:rFonts w:hint="default" w:ascii="Times New Roman" w:hAnsi="Times New Roman" w:cs="Times New Roman"/>
                <w:lang w:val="zh-CN"/>
              </w:rPr>
              <w:t>《山东淄川经济开发区环境影响报告书》</w:t>
            </w:r>
          </w:p>
          <w:p w14:paraId="4A12929A">
            <w:pPr>
              <w:autoSpaceDE w:val="0"/>
              <w:autoSpaceDN w:val="0"/>
              <w:adjustRightInd w:val="0"/>
              <w:snapToGrid w:val="0"/>
              <w:spacing w:line="360" w:lineRule="auto"/>
              <w:ind w:firstLine="420" w:firstLineChars="200"/>
              <w:rPr>
                <w:rFonts w:hint="default" w:ascii="Times New Roman" w:hAnsi="Times New Roman" w:cs="Times New Roman"/>
                <w:lang w:val="zh-CN"/>
              </w:rPr>
            </w:pPr>
            <w:r>
              <w:rPr>
                <w:rFonts w:hint="default" w:ascii="Times New Roman" w:hAnsi="Times New Roman" w:cs="Times New Roman"/>
                <w:lang w:val="zh-CN"/>
              </w:rPr>
              <w:t>审查部门：山东省</w:t>
            </w:r>
            <w:r>
              <w:rPr>
                <w:rFonts w:hint="default" w:ascii="Times New Roman" w:hAnsi="Times New Roman" w:cs="Times New Roman"/>
              </w:rPr>
              <w:t>环境保护局</w:t>
            </w:r>
          </w:p>
          <w:p w14:paraId="04E1A2B1">
            <w:pPr>
              <w:autoSpaceDE w:val="0"/>
              <w:autoSpaceDN w:val="0"/>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审查时间：</w:t>
            </w:r>
            <w:r>
              <w:rPr>
                <w:rFonts w:hint="default" w:ascii="Times New Roman" w:hAnsi="Times New Roman" w:cs="Times New Roman"/>
                <w:lang w:val="zh-CN"/>
              </w:rPr>
              <w:t>2009年</w:t>
            </w:r>
            <w:r>
              <w:rPr>
                <w:rFonts w:hint="default" w:ascii="Times New Roman" w:hAnsi="Times New Roman" w:cs="Times New Roman"/>
              </w:rPr>
              <w:t>1月19日</w:t>
            </w:r>
          </w:p>
          <w:p w14:paraId="165814FF">
            <w:pPr>
              <w:autoSpaceDE w:val="0"/>
              <w:autoSpaceDN w:val="0"/>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审查文件名及文号：《关于</w:t>
            </w:r>
            <w:r>
              <w:rPr>
                <w:rFonts w:hint="default" w:ascii="Times New Roman" w:hAnsi="Times New Roman" w:cs="Times New Roman"/>
                <w:lang w:val="zh-CN"/>
              </w:rPr>
              <w:t>山东淄川经济开发区环境影响报告书的审查意见</w:t>
            </w:r>
            <w:r>
              <w:rPr>
                <w:rFonts w:hint="default" w:ascii="Times New Roman" w:hAnsi="Times New Roman" w:cs="Times New Roman"/>
              </w:rPr>
              <w:t>》（</w:t>
            </w:r>
            <w:r>
              <w:rPr>
                <w:rFonts w:hint="default" w:ascii="Times New Roman" w:hAnsi="Times New Roman" w:cs="Times New Roman"/>
                <w:lang w:val="zh-CN"/>
              </w:rPr>
              <w:t>鲁环审[2009]44号</w:t>
            </w:r>
            <w:r>
              <w:rPr>
                <w:rFonts w:hint="default" w:ascii="Times New Roman" w:hAnsi="Times New Roman" w:cs="Times New Roman"/>
              </w:rPr>
              <w:t>）</w:t>
            </w:r>
          </w:p>
          <w:p w14:paraId="1752B4F7">
            <w:p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山东淄川经济开发区是1992 年经山东省人民政府批准设立的省级开发区，最初名称为淄川外向型工业加工区，2002年2月6日，山东省人民政府下发了鲁政字[2002]45号文《山东省人民政府关于部分经济开发区更名的通知》，正式更名为淄川经济开发区。2008年4月山东淄川经济开发区管理委员会开展《山东淄川经济开发区环境影响报告书》编制工作，原山东省环保厅对其规划环评报告书进行审查（鲁环审[2009]44号）。</w:t>
            </w:r>
          </w:p>
          <w:p w14:paraId="59ADB29F">
            <w:pPr>
              <w:autoSpaceDE w:val="0"/>
              <w:autoSpaceDN w:val="0"/>
              <w:adjustRightInd w:val="0"/>
              <w:snapToGrid w:val="0"/>
              <w:spacing w:line="360" w:lineRule="auto"/>
              <w:ind w:firstLine="420" w:firstLineChars="200"/>
              <w:rPr>
                <w:kern w:val="0"/>
              </w:rPr>
            </w:pPr>
            <w:r>
              <w:rPr>
                <w:rFonts w:hint="default" w:ascii="Times New Roman" w:hAnsi="Times New Roman" w:cs="Times New Roman"/>
                <w:szCs w:val="21"/>
              </w:rPr>
              <w:t>2017年开展《山东淄川经济开发区环境影响跟踪评价报告书》编制工作，并由报告书审查组</w:t>
            </w:r>
            <w:r>
              <w:rPr>
                <w:rFonts w:hint="default" w:ascii="Times New Roman" w:hAnsi="Times New Roman" w:eastAsia="宋体" w:cs="Times New Roman"/>
                <w:szCs w:val="21"/>
              </w:rPr>
              <w:t>出具</w:t>
            </w:r>
            <w:r>
              <w:rPr>
                <w:rFonts w:hint="eastAsia" w:ascii="Times New Roman" w:hAnsi="Times New Roman" w:eastAsia="宋体" w:cs="Times New Roman"/>
                <w:szCs w:val="21"/>
                <w:lang w:val="en-US" w:eastAsia="zh-CN"/>
              </w:rPr>
              <w:t>《</w:t>
            </w:r>
            <w:r>
              <w:rPr>
                <w:rFonts w:hint="default" w:ascii="Times New Roman" w:hAnsi="Times New Roman" w:eastAsia="宋体" w:cs="Times New Roman"/>
                <w:szCs w:val="21"/>
                <w:lang w:val="en-US" w:eastAsia="zh-CN"/>
              </w:rPr>
              <w:t>山东淄川经济开发区环境影响跟踪评价报告书审查小组意见</w:t>
            </w:r>
            <w:r>
              <w:rPr>
                <w:rFonts w:hint="eastAsia" w:ascii="Times New Roman" w:hAnsi="Times New Roman" w:eastAsia="宋体" w:cs="Times New Roman"/>
                <w:szCs w:val="21"/>
                <w:lang w:val="en-US" w:eastAsia="zh-CN"/>
              </w:rPr>
              <w:t>》（2017.12.27）</w:t>
            </w:r>
            <w:r>
              <w:rPr>
                <w:rFonts w:hint="default" w:ascii="Times New Roman" w:hAnsi="Times New Roman" w:cs="Times New Roman"/>
                <w:szCs w:val="21"/>
              </w:rPr>
              <w:t>。</w:t>
            </w:r>
          </w:p>
        </w:tc>
      </w:tr>
      <w:tr w14:paraId="5AA9E3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9" w:hRule="atLeast"/>
          <w:jc w:val="center"/>
        </w:trPr>
        <w:tc>
          <w:tcPr>
            <w:tcW w:w="1964" w:type="dxa"/>
            <w:gridSpan w:val="2"/>
            <w:vAlign w:val="center"/>
          </w:tcPr>
          <w:p w14:paraId="69084D72">
            <w:pPr>
              <w:adjustRightInd w:val="0"/>
              <w:snapToGrid w:val="0"/>
              <w:spacing w:line="420" w:lineRule="exact"/>
              <w:jc w:val="center"/>
              <w:rPr>
                <w:kern w:val="0"/>
              </w:rPr>
            </w:pPr>
            <w:r>
              <w:rPr>
                <w:kern w:val="0"/>
              </w:rPr>
              <w:t>规划及规划</w:t>
            </w:r>
            <w:r>
              <w:t>环境</w:t>
            </w:r>
            <w:r>
              <w:rPr>
                <w:kern w:val="0"/>
              </w:rPr>
              <w:t>影响评价符合性分析</w:t>
            </w:r>
          </w:p>
        </w:tc>
        <w:tc>
          <w:tcPr>
            <w:tcW w:w="6906" w:type="dxa"/>
            <w:gridSpan w:val="3"/>
            <w:vAlign w:val="center"/>
          </w:tcPr>
          <w:p w14:paraId="39D7B3F7">
            <w:p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1、与山东淄川经济开发区</w:t>
            </w:r>
            <w:r>
              <w:rPr>
                <w:rFonts w:hint="eastAsia" w:ascii="Times New Roman" w:hAnsi="Times New Roman" w:cs="Times New Roman"/>
                <w:szCs w:val="21"/>
              </w:rPr>
              <w:t>环境影响跟踪评价报告书</w:t>
            </w:r>
            <w:r>
              <w:rPr>
                <w:rFonts w:hint="default" w:ascii="Times New Roman" w:hAnsi="Times New Roman" w:cs="Times New Roman"/>
                <w:szCs w:val="21"/>
              </w:rPr>
              <w:t>及其审查意见符合性分析，结果见表1-</w:t>
            </w:r>
            <w:r>
              <w:rPr>
                <w:rFonts w:hint="eastAsia" w:cs="Times New Roman"/>
                <w:szCs w:val="21"/>
                <w:lang w:val="en-US" w:eastAsia="zh-CN"/>
              </w:rPr>
              <w:t>2</w:t>
            </w:r>
            <w:r>
              <w:rPr>
                <w:rFonts w:hint="default" w:ascii="Times New Roman" w:hAnsi="Times New Roman" w:cs="Times New Roman"/>
                <w:szCs w:val="21"/>
              </w:rPr>
              <w:t>。</w:t>
            </w:r>
          </w:p>
          <w:p w14:paraId="0B5CEF4D">
            <w:pPr>
              <w:pStyle w:val="102"/>
              <w:snapToGrid w:val="0"/>
              <w:spacing w:line="360" w:lineRule="auto"/>
              <w:jc w:val="center"/>
              <w:rPr>
                <w:rFonts w:hint="eastAsia" w:ascii="宋体" w:hAnsi="宋体" w:eastAsia="宋体" w:cs="宋体"/>
                <w:b/>
                <w:bCs/>
                <w:color w:val="auto"/>
                <w:sz w:val="21"/>
                <w:szCs w:val="21"/>
              </w:rPr>
            </w:pPr>
          </w:p>
          <w:p w14:paraId="36A09017">
            <w:pPr>
              <w:pStyle w:val="102"/>
              <w:snapToGrid w:val="0"/>
              <w:spacing w:line="360" w:lineRule="auto"/>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表1-</w:t>
            </w:r>
            <w:r>
              <w:rPr>
                <w:rFonts w:hint="eastAsia" w:ascii="宋体" w:hAnsi="宋体" w:cs="宋体"/>
                <w:b/>
                <w:bCs/>
                <w:color w:val="auto"/>
                <w:sz w:val="21"/>
                <w:szCs w:val="21"/>
                <w:lang w:val="en-US" w:eastAsia="zh-CN"/>
              </w:rPr>
              <w:t>2</w:t>
            </w:r>
            <w:r>
              <w:rPr>
                <w:rFonts w:hint="eastAsia" w:ascii="宋体" w:hAnsi="宋体" w:eastAsia="宋体" w:cs="宋体"/>
                <w:b/>
                <w:bCs/>
                <w:color w:val="auto"/>
                <w:sz w:val="21"/>
                <w:szCs w:val="21"/>
              </w:rPr>
              <w:t xml:space="preserve"> 与《山东淄川经济开发区环境影响跟踪评价报告书》</w:t>
            </w:r>
          </w:p>
          <w:p w14:paraId="7E4CA12A">
            <w:pPr>
              <w:pStyle w:val="102"/>
              <w:snapToGrid w:val="0"/>
              <w:spacing w:line="360" w:lineRule="auto"/>
              <w:jc w:val="center"/>
              <w:rPr>
                <w:rFonts w:hint="eastAsia" w:ascii="宋体" w:hAnsi="宋体" w:eastAsia="宋体" w:cs="宋体"/>
                <w:b/>
                <w:bCs/>
                <w:color w:val="auto"/>
                <w:sz w:val="21"/>
                <w:szCs w:val="21"/>
              </w:rPr>
            </w:pPr>
            <w:r>
              <w:rPr>
                <w:rFonts w:hint="eastAsia" w:ascii="宋体" w:hAnsi="宋体" w:eastAsia="宋体" w:cs="宋体"/>
                <w:b/>
                <w:bCs/>
                <w:color w:val="auto"/>
                <w:sz w:val="21"/>
                <w:szCs w:val="21"/>
              </w:rPr>
              <w:t>及其审查意见符合性分析</w:t>
            </w:r>
          </w:p>
          <w:tbl>
            <w:tblPr>
              <w:tblStyle w:val="8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15"/>
              <w:gridCol w:w="3140"/>
              <w:gridCol w:w="2290"/>
              <w:gridCol w:w="628"/>
            </w:tblGrid>
            <w:tr w14:paraId="174B5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185" w:type="dxa"/>
                  <w:gridSpan w:val="2"/>
                  <w:tcBorders>
                    <w:top w:val="single" w:color="auto" w:sz="4" w:space="0"/>
                    <w:left w:val="single" w:color="auto" w:sz="4" w:space="0"/>
                    <w:bottom w:val="single" w:color="auto" w:sz="4" w:space="0"/>
                    <w:right w:val="single" w:color="auto" w:sz="4" w:space="0"/>
                  </w:tcBorders>
                  <w:vAlign w:val="center"/>
                </w:tcPr>
                <w:p w14:paraId="051117D1">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规划要求</w:t>
                  </w:r>
                </w:p>
              </w:tc>
              <w:tc>
                <w:tcPr>
                  <w:tcW w:w="2562" w:type="dxa"/>
                  <w:tcBorders>
                    <w:top w:val="single" w:color="auto" w:sz="4" w:space="0"/>
                    <w:left w:val="single" w:color="auto" w:sz="4" w:space="0"/>
                    <w:bottom w:val="single" w:color="auto" w:sz="4" w:space="0"/>
                    <w:right w:val="single" w:color="auto" w:sz="4" w:space="0"/>
                  </w:tcBorders>
                  <w:vAlign w:val="center"/>
                </w:tcPr>
                <w:p w14:paraId="3D758FB8">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拟建项目</w:t>
                  </w:r>
                </w:p>
              </w:tc>
              <w:tc>
                <w:tcPr>
                  <w:tcW w:w="665" w:type="dxa"/>
                  <w:tcBorders>
                    <w:top w:val="single" w:color="auto" w:sz="4" w:space="0"/>
                    <w:left w:val="single" w:color="auto" w:sz="4" w:space="0"/>
                    <w:bottom w:val="single" w:color="auto" w:sz="4" w:space="0"/>
                    <w:right w:val="single" w:color="auto" w:sz="4" w:space="0"/>
                  </w:tcBorders>
                  <w:vAlign w:val="center"/>
                </w:tcPr>
                <w:p w14:paraId="52749095">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符合性</w:t>
                  </w:r>
                </w:p>
              </w:tc>
            </w:tr>
            <w:tr w14:paraId="58EAA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tcBorders>
                    <w:top w:val="single" w:color="auto" w:sz="4" w:space="0"/>
                    <w:left w:val="single" w:color="auto" w:sz="4" w:space="0"/>
                    <w:bottom w:val="single" w:color="auto" w:sz="4" w:space="0"/>
                    <w:right w:val="single" w:color="auto" w:sz="4" w:space="0"/>
                  </w:tcBorders>
                  <w:vAlign w:val="center"/>
                </w:tcPr>
                <w:p w14:paraId="166E5F78">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开发范围</w:t>
                  </w:r>
                </w:p>
              </w:tc>
              <w:tc>
                <w:tcPr>
                  <w:tcW w:w="3535" w:type="dxa"/>
                  <w:tcBorders>
                    <w:top w:val="single" w:color="auto" w:sz="4" w:space="0"/>
                    <w:left w:val="single" w:color="auto" w:sz="4" w:space="0"/>
                    <w:bottom w:val="single" w:color="auto" w:sz="4" w:space="0"/>
                    <w:right w:val="single" w:color="auto" w:sz="4" w:space="0"/>
                  </w:tcBorders>
                  <w:vAlign w:val="center"/>
                </w:tcPr>
                <w:p w14:paraId="4599CA61">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东至大钟街、南至松龄西路、西至凤凰山东路、北至眉山路</w:t>
                  </w:r>
                </w:p>
              </w:tc>
              <w:tc>
                <w:tcPr>
                  <w:tcW w:w="2562" w:type="dxa"/>
                  <w:tcBorders>
                    <w:top w:val="single" w:color="auto" w:sz="4" w:space="0"/>
                    <w:left w:val="single" w:color="auto" w:sz="4" w:space="0"/>
                    <w:bottom w:val="single" w:color="auto" w:sz="4" w:space="0"/>
                    <w:right w:val="single" w:color="auto" w:sz="4" w:space="0"/>
                  </w:tcBorders>
                  <w:vAlign w:val="center"/>
                </w:tcPr>
                <w:p w14:paraId="3F451AE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w:t>
                  </w:r>
                  <w:r>
                    <w:rPr>
                      <w:rFonts w:hint="default" w:ascii="Times New Roman" w:hAnsi="Times New Roman" w:eastAsia="宋体" w:cs="Times New Roman"/>
                      <w:sz w:val="18"/>
                      <w:szCs w:val="18"/>
                      <w:lang w:val="en-US" w:eastAsia="zh-CN"/>
                    </w:rPr>
                    <w:t>目位于</w:t>
                  </w:r>
                  <w:r>
                    <w:rPr>
                      <w:rFonts w:hint="eastAsia" w:ascii="Times New Roman" w:hAnsi="Times New Roman" w:eastAsia="宋体" w:cs="Times New Roman"/>
                      <w:sz w:val="18"/>
                      <w:szCs w:val="18"/>
                      <w:lang w:val="en-US" w:eastAsia="zh-CN"/>
                    </w:rPr>
                    <w:t>山东省淄博市淄川经济开发区中一产业园区</w:t>
                  </w:r>
                  <w:r>
                    <w:rPr>
                      <w:rFonts w:hint="default" w:ascii="Times New Roman" w:hAnsi="Times New Roman" w:eastAsia="宋体" w:cs="Times New Roman"/>
                      <w:sz w:val="18"/>
                      <w:szCs w:val="18"/>
                      <w:lang w:val="en-US" w:eastAsia="zh-CN"/>
                    </w:rPr>
                    <w:t>，</w:t>
                  </w:r>
                  <w:r>
                    <w:rPr>
                      <w:rFonts w:hint="default" w:ascii="Times New Roman" w:hAnsi="Times New Roman" w:eastAsia="宋体" w:cs="Times New Roman"/>
                      <w:sz w:val="18"/>
                      <w:szCs w:val="18"/>
                    </w:rPr>
                    <w:t>位</w:t>
                  </w:r>
                  <w:r>
                    <w:rPr>
                      <w:rFonts w:hint="default" w:ascii="Times New Roman" w:hAnsi="Times New Roman" w:cs="Times New Roman"/>
                      <w:sz w:val="18"/>
                      <w:szCs w:val="18"/>
                    </w:rPr>
                    <w:t>于淄川经济开发区规划开发范围内，本项目与淄川经济开发区的位置关系详见</w:t>
                  </w:r>
                  <w:r>
                    <w:rPr>
                      <w:rFonts w:hint="default" w:ascii="Times New Roman" w:hAnsi="Times New Roman" w:cs="Times New Roman"/>
                      <w:sz w:val="18"/>
                      <w:szCs w:val="18"/>
                      <w:lang w:eastAsia="zh-CN"/>
                    </w:rPr>
                    <w:t>附</w:t>
                  </w:r>
                  <w:r>
                    <w:rPr>
                      <w:rFonts w:hint="default" w:ascii="Times New Roman" w:hAnsi="Times New Roman" w:cs="Times New Roman"/>
                      <w:sz w:val="18"/>
                      <w:szCs w:val="18"/>
                    </w:rPr>
                    <w:t>图</w:t>
                  </w:r>
                  <w:r>
                    <w:rPr>
                      <w:rFonts w:hint="eastAsia" w:ascii="Times New Roman" w:cs="Times New Roman"/>
                      <w:sz w:val="18"/>
                      <w:szCs w:val="18"/>
                      <w:lang w:val="en-US" w:eastAsia="zh-CN"/>
                    </w:rPr>
                    <w:t>7</w:t>
                  </w:r>
                  <w:r>
                    <w:rPr>
                      <w:rFonts w:hint="default" w:ascii="Times New Roman" w:hAnsi="Times New Roman" w:cs="Times New Roman"/>
                      <w:sz w:val="18"/>
                      <w:szCs w:val="18"/>
                    </w:rPr>
                    <w:t>。</w:t>
                  </w:r>
                </w:p>
              </w:tc>
              <w:tc>
                <w:tcPr>
                  <w:tcW w:w="665" w:type="dxa"/>
                  <w:tcBorders>
                    <w:top w:val="single" w:color="auto" w:sz="4" w:space="0"/>
                    <w:left w:val="single" w:color="auto" w:sz="4" w:space="0"/>
                    <w:bottom w:val="single" w:color="auto" w:sz="4" w:space="0"/>
                    <w:right w:val="single" w:color="auto" w:sz="4" w:space="0"/>
                  </w:tcBorders>
                  <w:vAlign w:val="center"/>
                </w:tcPr>
                <w:p w14:paraId="53C2896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31C281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25BF8EC4">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产业定位和产业政策</w:t>
                  </w:r>
                </w:p>
              </w:tc>
              <w:tc>
                <w:tcPr>
                  <w:tcW w:w="3535" w:type="dxa"/>
                  <w:tcBorders>
                    <w:top w:val="single" w:color="auto" w:sz="4" w:space="0"/>
                    <w:left w:val="single" w:color="auto" w:sz="4" w:space="0"/>
                    <w:bottom w:val="single" w:color="auto" w:sz="4" w:space="0"/>
                    <w:right w:val="single" w:color="auto" w:sz="4" w:space="0"/>
                  </w:tcBorders>
                  <w:vAlign w:val="center"/>
                </w:tcPr>
                <w:p w14:paraId="19A91269">
                  <w:pPr>
                    <w:pStyle w:val="200"/>
                    <w:spacing w:before="24" w:after="24"/>
                    <w:jc w:val="left"/>
                    <w:rPr>
                      <w:rFonts w:hint="default"/>
                      <w:sz w:val="18"/>
                      <w:szCs w:val="18"/>
                    </w:rPr>
                  </w:pPr>
                  <w:r>
                    <w:rPr>
                      <w:rFonts w:hint="default"/>
                      <w:sz w:val="18"/>
                      <w:szCs w:val="18"/>
                    </w:rPr>
                    <w:t>目前入区企业主要有交通运输设备制造、纺织服装、电子、新材料、医药、化工、机械加工、造纸和纸制品、塑料加工、电气机械和器材制造等行业。对于不符合开发区产业定位的非金属矿物制品、塑料制品、造纸和纸制品、医药制造、电气机械和器材制造业等企业，建议保留，维持现状产能。</w:t>
                  </w:r>
                  <w:r>
                    <w:rPr>
                      <w:rFonts w:hint="eastAsia"/>
                      <w:sz w:val="18"/>
                      <w:szCs w:val="18"/>
                      <w:lang w:val="en-US" w:eastAsia="zh-CN"/>
                    </w:rPr>
                    <w:t>坚持以</w:t>
                  </w:r>
                  <w:r>
                    <w:rPr>
                      <w:rFonts w:hint="default"/>
                      <w:sz w:val="18"/>
                      <w:szCs w:val="18"/>
                      <w:lang w:val="en-US" w:eastAsia="zh-CN"/>
                    </w:rPr>
                    <w:t>“</w:t>
                  </w:r>
                  <w:r>
                    <w:rPr>
                      <w:rFonts w:hint="eastAsia"/>
                      <w:sz w:val="18"/>
                      <w:szCs w:val="18"/>
                      <w:lang w:val="en-US" w:eastAsia="zh-CN"/>
                    </w:rPr>
                    <w:t>四大行业</w:t>
                  </w:r>
                  <w:r>
                    <w:rPr>
                      <w:rFonts w:hint="default"/>
                      <w:sz w:val="18"/>
                      <w:szCs w:val="18"/>
                      <w:lang w:val="en-US" w:eastAsia="zh-CN"/>
                    </w:rPr>
                    <w:t>”</w:t>
                  </w:r>
                  <w:r>
                    <w:rPr>
                      <w:rFonts w:hint="eastAsia"/>
                      <w:sz w:val="18"/>
                      <w:szCs w:val="18"/>
                      <w:lang w:val="en-US" w:eastAsia="zh-CN"/>
                    </w:rPr>
                    <w:t>为主导的产业定位发展方向，重点引进工艺先进，技术创新，无污染或低污染、规模适中、效益好、带动作用强的项目，适当引进其它与</w:t>
                  </w:r>
                  <w:r>
                    <w:rPr>
                      <w:rFonts w:hint="default"/>
                      <w:sz w:val="18"/>
                      <w:szCs w:val="18"/>
                      <w:lang w:val="en-US" w:eastAsia="zh-CN"/>
                    </w:rPr>
                    <w:t>“</w:t>
                  </w:r>
                  <w:r>
                    <w:rPr>
                      <w:rFonts w:hint="eastAsia"/>
                      <w:sz w:val="18"/>
                      <w:szCs w:val="18"/>
                      <w:lang w:val="en-US" w:eastAsia="zh-CN"/>
                    </w:rPr>
                    <w:t>四大产业</w:t>
                  </w:r>
                  <w:r>
                    <w:rPr>
                      <w:rFonts w:hint="default"/>
                      <w:sz w:val="18"/>
                      <w:szCs w:val="18"/>
                      <w:lang w:val="en-US" w:eastAsia="zh-CN"/>
                    </w:rPr>
                    <w:t>”</w:t>
                  </w:r>
                  <w:r>
                    <w:rPr>
                      <w:rFonts w:hint="eastAsia"/>
                      <w:sz w:val="18"/>
                      <w:szCs w:val="18"/>
                      <w:lang w:val="en-US" w:eastAsia="zh-CN"/>
                    </w:rPr>
                    <w:t>相关的清洁型、无污染或轻微污染的项目。</w:t>
                  </w:r>
                </w:p>
              </w:tc>
              <w:tc>
                <w:tcPr>
                  <w:tcW w:w="2562" w:type="dxa"/>
                  <w:tcBorders>
                    <w:top w:val="single" w:color="auto" w:sz="4" w:space="0"/>
                    <w:left w:val="single" w:color="auto" w:sz="4" w:space="0"/>
                    <w:bottom w:val="single" w:color="auto" w:sz="4" w:space="0"/>
                    <w:right w:val="single" w:color="auto" w:sz="4" w:space="0"/>
                  </w:tcBorders>
                  <w:vAlign w:val="center"/>
                </w:tcPr>
                <w:p w14:paraId="790A8192">
                  <w:pPr>
                    <w:pStyle w:val="200"/>
                    <w:spacing w:before="24" w:after="24"/>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本项目</w:t>
                  </w:r>
                  <w:r>
                    <w:rPr>
                      <w:rFonts w:hint="eastAsia" w:ascii="Times New Roman" w:hAnsi="Times New Roman" w:eastAsia="宋体" w:cs="Times New Roman"/>
                      <w:sz w:val="18"/>
                      <w:szCs w:val="18"/>
                    </w:rPr>
                    <w:t>产品</w:t>
                  </w:r>
                  <w:r>
                    <w:rPr>
                      <w:rFonts w:hint="eastAsia" w:ascii="Times New Roman" w:hAnsi="Times New Roman" w:eastAsia="宋体" w:cs="Times New Roman"/>
                      <w:sz w:val="18"/>
                      <w:szCs w:val="18"/>
                      <w:lang w:eastAsia="zh-CN"/>
                    </w:rPr>
                    <w:t>主要为生活、消防供水设备</w:t>
                  </w:r>
                  <w:r>
                    <w:rPr>
                      <w:rFonts w:hint="eastAsia" w:ascii="Times New Roman" w:hAnsi="Times New Roman" w:eastAsia="宋体" w:cs="Times New Roman"/>
                      <w:sz w:val="18"/>
                      <w:szCs w:val="18"/>
                      <w:lang w:val="en-US" w:eastAsia="zh-CN"/>
                    </w:rPr>
                    <w:t>，</w:t>
                  </w:r>
                  <w:r>
                    <w:rPr>
                      <w:rFonts w:hint="default" w:ascii="Times New Roman" w:hAnsi="Times New Roman" w:cs="Times New Roman"/>
                      <w:sz w:val="18"/>
                      <w:szCs w:val="18"/>
                    </w:rPr>
                    <w:t>属于</w:t>
                  </w:r>
                  <w:r>
                    <w:rPr>
                      <w:rFonts w:hint="eastAsia" w:cs="Times New Roman"/>
                      <w:sz w:val="18"/>
                      <w:szCs w:val="18"/>
                      <w:lang w:val="en-US" w:eastAsia="zh-CN"/>
                    </w:rPr>
                    <w:t>通用设备制造业、塑料制品业</w:t>
                  </w:r>
                  <w:r>
                    <w:rPr>
                      <w:rFonts w:hint="default" w:ascii="Times New Roman" w:hAnsi="Times New Roman" w:eastAsia="宋体" w:cs="Times New Roman"/>
                      <w:sz w:val="18"/>
                      <w:szCs w:val="18"/>
                      <w:lang w:eastAsia="zh-CN"/>
                    </w:rPr>
                    <w:t>，</w:t>
                  </w:r>
                  <w:r>
                    <w:rPr>
                      <w:rFonts w:hint="eastAsia" w:ascii="Times New Roman" w:hAnsi="Times New Roman" w:eastAsia="宋体" w:cs="Times New Roman"/>
                      <w:sz w:val="18"/>
                      <w:szCs w:val="18"/>
                      <w:lang w:val="en-US" w:eastAsia="zh-CN"/>
                    </w:rPr>
                    <w:t>不属于淄川经济开发区禁止</w:t>
                  </w:r>
                  <w:r>
                    <w:rPr>
                      <w:rFonts w:hint="eastAsia" w:ascii="Times New Roman" w:cs="Times New Roman"/>
                      <w:sz w:val="18"/>
                      <w:szCs w:val="18"/>
                      <w:lang w:val="en-US" w:eastAsia="zh-CN"/>
                    </w:rPr>
                    <w:t>进</w:t>
                  </w:r>
                  <w:r>
                    <w:rPr>
                      <w:rFonts w:hint="eastAsia" w:ascii="Times New Roman" w:hAnsi="Times New Roman" w:eastAsia="宋体" w:cs="Times New Roman"/>
                      <w:sz w:val="18"/>
                      <w:szCs w:val="18"/>
                      <w:lang w:val="en-US" w:eastAsia="zh-CN"/>
                    </w:rPr>
                    <w:t>入行业</w:t>
                  </w:r>
                  <w:r>
                    <w:rPr>
                      <w:rFonts w:hint="eastAsia" w:ascii="Times New Roman" w:cs="Times New Roman"/>
                      <w:sz w:val="18"/>
                      <w:szCs w:val="18"/>
                      <w:lang w:val="en-US" w:eastAsia="zh-CN"/>
                    </w:rPr>
                    <w:t>。</w:t>
                  </w:r>
                  <w:r>
                    <w:rPr>
                      <w:rFonts w:hint="eastAsia" w:ascii="Times New Roman" w:hAnsi="Times New Roman" w:eastAsia="宋体" w:cs="Times New Roman"/>
                      <w:sz w:val="18"/>
                      <w:szCs w:val="18"/>
                      <w:lang w:val="en-US" w:eastAsia="zh-CN"/>
                    </w:rPr>
                    <w:t>市场前景</w:t>
                  </w:r>
                  <w:r>
                    <w:rPr>
                      <w:rFonts w:hint="eastAsia" w:ascii="Times New Roman" w:hAnsi="Times New Roman" w:eastAsia="宋体" w:cs="Times New Roman"/>
                      <w:sz w:val="18"/>
                      <w:szCs w:val="18"/>
                    </w:rPr>
                    <w:t>较好，</w:t>
                  </w:r>
                  <w:r>
                    <w:rPr>
                      <w:rFonts w:hint="eastAsia" w:ascii="Times New Roman" w:cs="Times New Roman"/>
                      <w:sz w:val="18"/>
                      <w:szCs w:val="18"/>
                      <w:lang w:eastAsia="zh-CN"/>
                    </w:rPr>
                    <w:t>且</w:t>
                  </w:r>
                  <w:r>
                    <w:rPr>
                      <w:rFonts w:hint="eastAsia" w:ascii="Times New Roman" w:hAnsi="Times New Roman" w:eastAsia="宋体" w:cs="Times New Roman"/>
                      <w:sz w:val="18"/>
                      <w:szCs w:val="18"/>
                    </w:rPr>
                    <w:t>生产过程中所用原料污染较轻。</w:t>
                  </w:r>
                  <w:r>
                    <w:rPr>
                      <w:rFonts w:hint="eastAsia" w:ascii="Times New Roman" w:hAnsi="Times New Roman" w:eastAsia="宋体" w:cs="Times New Roman"/>
                      <w:sz w:val="18"/>
                      <w:szCs w:val="18"/>
                      <w:lang w:eastAsia="zh-CN"/>
                    </w:rPr>
                    <w:t>满足相</w:t>
                  </w:r>
                  <w:r>
                    <w:rPr>
                      <w:rFonts w:hint="eastAsia" w:ascii="Times New Roman" w:cs="Times New Roman"/>
                      <w:sz w:val="18"/>
                      <w:szCs w:val="18"/>
                      <w:lang w:eastAsia="zh-CN"/>
                    </w:rPr>
                    <w:t>关产业政策</w:t>
                  </w:r>
                </w:p>
              </w:tc>
              <w:tc>
                <w:tcPr>
                  <w:tcW w:w="665" w:type="dxa"/>
                  <w:tcBorders>
                    <w:top w:val="single" w:color="auto" w:sz="4" w:space="0"/>
                    <w:left w:val="single" w:color="auto" w:sz="4" w:space="0"/>
                    <w:bottom w:val="single" w:color="auto" w:sz="4" w:space="0"/>
                    <w:right w:val="single" w:color="auto" w:sz="4" w:space="0"/>
                  </w:tcBorders>
                  <w:vAlign w:val="center"/>
                </w:tcPr>
                <w:p w14:paraId="2539FEB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0D631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8"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5F84BF9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总体布局</w:t>
                  </w:r>
                </w:p>
              </w:tc>
              <w:tc>
                <w:tcPr>
                  <w:tcW w:w="3535" w:type="dxa"/>
                  <w:tcBorders>
                    <w:top w:val="single" w:color="auto" w:sz="4" w:space="0"/>
                    <w:left w:val="single" w:color="auto" w:sz="4" w:space="0"/>
                    <w:bottom w:val="single" w:color="auto" w:sz="4" w:space="0"/>
                    <w:right w:val="single" w:color="auto" w:sz="4" w:space="0"/>
                  </w:tcBorders>
                  <w:vAlign w:val="center"/>
                </w:tcPr>
                <w:p w14:paraId="7935B996">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建议开发区在今后招商过程中，应明晰产业布局，这样更有利于同行业之间资源和信息的流通，更容易形成产业链条。</w:t>
                  </w:r>
                </w:p>
              </w:tc>
              <w:tc>
                <w:tcPr>
                  <w:tcW w:w="2562" w:type="dxa"/>
                  <w:tcBorders>
                    <w:top w:val="single" w:color="auto" w:sz="4" w:space="0"/>
                    <w:left w:val="single" w:color="auto" w:sz="4" w:space="0"/>
                    <w:bottom w:val="single" w:color="auto" w:sz="4" w:space="0"/>
                    <w:right w:val="single" w:color="auto" w:sz="4" w:space="0"/>
                  </w:tcBorders>
                  <w:vAlign w:val="center"/>
                </w:tcPr>
                <w:p w14:paraId="777E2BE1">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w:t>
                  </w:r>
                  <w:r>
                    <w:rPr>
                      <w:rFonts w:hint="eastAsia" w:ascii="Times New Roman" w:hAnsi="Times New Roman" w:eastAsia="宋体" w:cs="Times New Roman"/>
                      <w:sz w:val="18"/>
                      <w:szCs w:val="18"/>
                    </w:rPr>
                    <w:t>产品</w:t>
                  </w:r>
                  <w:r>
                    <w:rPr>
                      <w:rFonts w:hint="eastAsia" w:ascii="Times New Roman" w:hAnsi="Times New Roman" w:eastAsia="宋体" w:cs="Times New Roman"/>
                      <w:sz w:val="18"/>
                      <w:szCs w:val="18"/>
                      <w:lang w:eastAsia="zh-CN"/>
                    </w:rPr>
                    <w:t>主要为生活、消防供水设备</w:t>
                  </w:r>
                  <w:r>
                    <w:rPr>
                      <w:rFonts w:hint="eastAsia" w:ascii="Times New Roman" w:hAnsi="Times New Roman" w:eastAsia="宋体" w:cs="Times New Roman"/>
                      <w:sz w:val="18"/>
                      <w:szCs w:val="18"/>
                      <w:lang w:val="en-US" w:eastAsia="zh-CN"/>
                    </w:rPr>
                    <w:t>，</w:t>
                  </w:r>
                  <w:r>
                    <w:rPr>
                      <w:rFonts w:hint="default" w:ascii="Times New Roman" w:hAnsi="Times New Roman" w:cs="Times New Roman"/>
                      <w:sz w:val="18"/>
                      <w:szCs w:val="18"/>
                    </w:rPr>
                    <w:t>属于</w:t>
                  </w:r>
                  <w:r>
                    <w:rPr>
                      <w:rFonts w:hint="eastAsia" w:cs="Times New Roman"/>
                      <w:sz w:val="18"/>
                      <w:szCs w:val="18"/>
                      <w:lang w:val="en-US" w:eastAsia="zh-CN"/>
                    </w:rPr>
                    <w:t>通用设备制造业、塑料制品业</w:t>
                  </w:r>
                  <w:r>
                    <w:rPr>
                      <w:rFonts w:hint="default" w:ascii="Times New Roman" w:hAnsi="Times New Roman" w:eastAsia="宋体" w:cs="Times New Roman"/>
                      <w:sz w:val="18"/>
                      <w:szCs w:val="18"/>
                      <w:lang w:eastAsia="zh-CN"/>
                    </w:rPr>
                    <w:t>，</w:t>
                  </w:r>
                  <w:r>
                    <w:rPr>
                      <w:rFonts w:hint="eastAsia" w:ascii="Times New Roman" w:hAnsi="Times New Roman" w:eastAsia="宋体" w:cs="Times New Roman"/>
                      <w:sz w:val="18"/>
                      <w:szCs w:val="18"/>
                      <w:lang w:val="en-US" w:eastAsia="zh-CN"/>
                    </w:rPr>
                    <w:t>不属于淄川经济开发区禁止</w:t>
                  </w:r>
                  <w:r>
                    <w:rPr>
                      <w:rFonts w:hint="eastAsia" w:ascii="Times New Roman" w:cs="Times New Roman"/>
                      <w:sz w:val="18"/>
                      <w:szCs w:val="18"/>
                      <w:lang w:val="en-US" w:eastAsia="zh-CN"/>
                    </w:rPr>
                    <w:t>进</w:t>
                  </w:r>
                  <w:r>
                    <w:rPr>
                      <w:rFonts w:hint="eastAsia" w:ascii="Times New Roman" w:hAnsi="Times New Roman" w:eastAsia="宋体" w:cs="Times New Roman"/>
                      <w:sz w:val="18"/>
                      <w:szCs w:val="18"/>
                      <w:lang w:val="en-US" w:eastAsia="zh-CN"/>
                    </w:rPr>
                    <w:t>入行业</w:t>
                  </w:r>
                  <w:r>
                    <w:rPr>
                      <w:rFonts w:hint="eastAsia" w:ascii="Times New Roman" w:hAnsi="Times New Roman" w:eastAsia="宋体" w:cs="Times New Roman"/>
                      <w:sz w:val="18"/>
                      <w:szCs w:val="18"/>
                      <w:lang w:eastAsia="zh-CN"/>
                    </w:rPr>
                    <w:t>。</w:t>
                  </w:r>
                  <w:r>
                    <w:rPr>
                      <w:rFonts w:hint="eastAsia" w:ascii="Times New Roman" w:hAnsi="Times New Roman" w:eastAsia="宋体" w:cs="Times New Roman"/>
                      <w:sz w:val="18"/>
                      <w:szCs w:val="18"/>
                      <w:lang w:val="en-US" w:eastAsia="zh-CN"/>
                    </w:rPr>
                    <w:t>市场前景</w:t>
                  </w:r>
                  <w:r>
                    <w:rPr>
                      <w:rFonts w:hint="eastAsia" w:ascii="Times New Roman" w:hAnsi="Times New Roman" w:eastAsia="宋体" w:cs="Times New Roman"/>
                      <w:sz w:val="18"/>
                      <w:szCs w:val="18"/>
                    </w:rPr>
                    <w:t>较好，</w:t>
                  </w:r>
                  <w:r>
                    <w:rPr>
                      <w:rFonts w:hint="eastAsia" w:ascii="Times New Roman" w:cs="Times New Roman"/>
                      <w:sz w:val="18"/>
                      <w:szCs w:val="18"/>
                      <w:lang w:eastAsia="zh-CN"/>
                    </w:rPr>
                    <w:t>且</w:t>
                  </w:r>
                  <w:r>
                    <w:rPr>
                      <w:rFonts w:hint="eastAsia" w:ascii="Times New Roman" w:hAnsi="Times New Roman" w:eastAsia="宋体" w:cs="Times New Roman"/>
                      <w:sz w:val="18"/>
                      <w:szCs w:val="18"/>
                    </w:rPr>
                    <w:t>生产过程中所用原料污染较轻。</w:t>
                  </w:r>
                  <w:r>
                    <w:rPr>
                      <w:rFonts w:hint="eastAsia" w:ascii="Times New Roman" w:hAnsi="Times New Roman" w:eastAsia="宋体" w:cs="Times New Roman"/>
                      <w:sz w:val="18"/>
                      <w:szCs w:val="18"/>
                      <w:lang w:eastAsia="zh-CN"/>
                    </w:rPr>
                    <w:t>满足相</w:t>
                  </w:r>
                  <w:r>
                    <w:rPr>
                      <w:rFonts w:hint="eastAsia" w:ascii="Times New Roman" w:cs="Times New Roman"/>
                      <w:sz w:val="18"/>
                      <w:szCs w:val="18"/>
                      <w:lang w:eastAsia="zh-CN"/>
                    </w:rPr>
                    <w:t>关产业政策</w:t>
                  </w:r>
                </w:p>
              </w:tc>
              <w:tc>
                <w:tcPr>
                  <w:tcW w:w="665" w:type="dxa"/>
                  <w:tcBorders>
                    <w:top w:val="single" w:color="auto" w:sz="4" w:space="0"/>
                    <w:left w:val="single" w:color="auto" w:sz="4" w:space="0"/>
                    <w:bottom w:val="single" w:color="auto" w:sz="4" w:space="0"/>
                    <w:right w:val="single" w:color="auto" w:sz="4" w:space="0"/>
                  </w:tcBorders>
                  <w:vAlign w:val="center"/>
                </w:tcPr>
                <w:p w14:paraId="1F16A4F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14651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15" w:hRule="atLeast"/>
                <w:jc w:val="center"/>
              </w:trPr>
              <w:tc>
                <w:tcPr>
                  <w:tcW w:w="650" w:type="dxa"/>
                  <w:tcBorders>
                    <w:top w:val="single" w:color="auto" w:sz="4" w:space="0"/>
                    <w:left w:val="single" w:color="auto" w:sz="4" w:space="0"/>
                    <w:bottom w:val="single" w:color="auto" w:sz="4" w:space="0"/>
                    <w:right w:val="single" w:color="auto" w:sz="4" w:space="0"/>
                  </w:tcBorders>
                  <w:vAlign w:val="center"/>
                </w:tcPr>
                <w:p w14:paraId="02CFE16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环境管理要求</w:t>
                  </w:r>
                </w:p>
              </w:tc>
              <w:tc>
                <w:tcPr>
                  <w:tcW w:w="3535" w:type="dxa"/>
                  <w:tcBorders>
                    <w:top w:val="single" w:color="auto" w:sz="4" w:space="0"/>
                    <w:left w:val="single" w:color="auto" w:sz="4" w:space="0"/>
                    <w:bottom w:val="single" w:color="auto" w:sz="4" w:space="0"/>
                    <w:right w:val="single" w:color="auto" w:sz="4" w:space="0"/>
                  </w:tcBorders>
                  <w:vAlign w:val="center"/>
                </w:tcPr>
                <w:p w14:paraId="2A099F0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已建企业竣工验收率偏低，开发区应严格控制不符合开发区准入条件企业，监督入园企业环保设施的建设，督促其尽快进行竣工验收。</w:t>
                  </w:r>
                </w:p>
              </w:tc>
              <w:tc>
                <w:tcPr>
                  <w:tcW w:w="2562" w:type="dxa"/>
                  <w:tcBorders>
                    <w:top w:val="single" w:color="auto" w:sz="4" w:space="0"/>
                    <w:left w:val="single" w:color="auto" w:sz="4" w:space="0"/>
                    <w:bottom w:val="single" w:color="auto" w:sz="4" w:space="0"/>
                    <w:right w:val="single" w:color="auto" w:sz="4" w:space="0"/>
                  </w:tcBorders>
                  <w:vAlign w:val="center"/>
                </w:tcPr>
                <w:p w14:paraId="6B5EA30C">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w:t>
                  </w:r>
                  <w:r>
                    <w:rPr>
                      <w:rFonts w:hint="eastAsia" w:ascii="Times New Roman" w:cs="Times New Roman"/>
                      <w:sz w:val="18"/>
                      <w:szCs w:val="18"/>
                      <w:lang w:eastAsia="zh-CN"/>
                    </w:rPr>
                    <w:t>属</w:t>
                  </w:r>
                  <w:r>
                    <w:rPr>
                      <w:rFonts w:hint="eastAsia" w:ascii="Times New Roman" w:cs="Times New Roman"/>
                      <w:sz w:val="18"/>
                      <w:szCs w:val="18"/>
                      <w:highlight w:val="none"/>
                      <w:lang w:eastAsia="zh-CN"/>
                    </w:rPr>
                    <w:t>于新建项</w:t>
                  </w:r>
                  <w:r>
                    <w:rPr>
                      <w:rFonts w:hint="eastAsia" w:ascii="Times New Roman" w:cs="Times New Roman"/>
                      <w:sz w:val="18"/>
                      <w:szCs w:val="18"/>
                      <w:lang w:eastAsia="zh-CN"/>
                    </w:rPr>
                    <w:t>目</w:t>
                  </w:r>
                  <w:r>
                    <w:rPr>
                      <w:rFonts w:hint="default" w:ascii="Times New Roman" w:hAnsi="Times New Roman" w:cs="Times New Roman"/>
                      <w:sz w:val="18"/>
                      <w:szCs w:val="18"/>
                    </w:rPr>
                    <w:t>，目前处于环评阶段，要求企业严格遵守“三同时”制度</w:t>
                  </w:r>
                </w:p>
              </w:tc>
              <w:tc>
                <w:tcPr>
                  <w:tcW w:w="665" w:type="dxa"/>
                  <w:tcBorders>
                    <w:top w:val="single" w:color="auto" w:sz="4" w:space="0"/>
                    <w:left w:val="single" w:color="auto" w:sz="4" w:space="0"/>
                    <w:bottom w:val="single" w:color="auto" w:sz="4" w:space="0"/>
                    <w:right w:val="single" w:color="auto" w:sz="4" w:space="0"/>
                  </w:tcBorders>
                  <w:vAlign w:val="center"/>
                </w:tcPr>
                <w:p w14:paraId="26B5E5B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0F413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Merge w:val="restart"/>
                  <w:tcBorders>
                    <w:top w:val="single" w:color="auto" w:sz="4" w:space="0"/>
                    <w:left w:val="single" w:color="auto" w:sz="4" w:space="0"/>
                    <w:bottom w:val="single" w:color="auto" w:sz="4" w:space="0"/>
                    <w:right w:val="single" w:color="auto" w:sz="4" w:space="0"/>
                  </w:tcBorders>
                  <w:vAlign w:val="center"/>
                </w:tcPr>
                <w:p w14:paraId="72C9CA0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环保准入条件</w:t>
                  </w:r>
                </w:p>
              </w:tc>
              <w:tc>
                <w:tcPr>
                  <w:tcW w:w="3535" w:type="dxa"/>
                  <w:tcBorders>
                    <w:top w:val="single" w:color="auto" w:sz="4" w:space="0"/>
                    <w:left w:val="single" w:color="auto" w:sz="4" w:space="0"/>
                    <w:bottom w:val="single" w:color="auto" w:sz="4" w:space="0"/>
                    <w:right w:val="single" w:color="auto" w:sz="4" w:space="0"/>
                  </w:tcBorders>
                  <w:vAlign w:val="center"/>
                </w:tcPr>
                <w:p w14:paraId="10E6C19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企业项目建设必须严格遵守“三同时”制度和环境影响评价制度。新建、改建、扩建的基本建设项目、技术改造项目其防治环境污染和生态破坏的设施，必须与主体工程同时设计、同时施工、同时投产使用；在进行建设活动之前，对建设项目的选址、设计和建成投产使用后可能对周围环境产生的不良影响进行调查、预测和评定，提出防治措施，并按照法定程序进行报批。</w:t>
                  </w:r>
                </w:p>
              </w:tc>
              <w:tc>
                <w:tcPr>
                  <w:tcW w:w="2562" w:type="dxa"/>
                  <w:tcBorders>
                    <w:top w:val="single" w:color="auto" w:sz="4" w:space="0"/>
                    <w:left w:val="single" w:color="auto" w:sz="4" w:space="0"/>
                    <w:bottom w:val="single" w:color="auto" w:sz="4" w:space="0"/>
                    <w:right w:val="single" w:color="auto" w:sz="4" w:space="0"/>
                  </w:tcBorders>
                  <w:vAlign w:val="center"/>
                </w:tcPr>
                <w:p w14:paraId="0BCF7FF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本项目正处于环评阶段，要企业严格执行“三同时”制度，并落实环评文件及审批意见等环保要求</w:t>
                  </w:r>
                </w:p>
              </w:tc>
              <w:tc>
                <w:tcPr>
                  <w:tcW w:w="665" w:type="dxa"/>
                  <w:tcBorders>
                    <w:top w:val="single" w:color="auto" w:sz="4" w:space="0"/>
                    <w:left w:val="single" w:color="auto" w:sz="4" w:space="0"/>
                    <w:bottom w:val="single" w:color="auto" w:sz="4" w:space="0"/>
                    <w:right w:val="single" w:color="auto" w:sz="4" w:space="0"/>
                  </w:tcBorders>
                  <w:vAlign w:val="center"/>
                </w:tcPr>
                <w:p w14:paraId="7708AAE6">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3C4B9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Merge w:val="continue"/>
                  <w:tcBorders>
                    <w:top w:val="single" w:color="auto" w:sz="4" w:space="0"/>
                    <w:left w:val="single" w:color="auto" w:sz="4" w:space="0"/>
                    <w:bottom w:val="single" w:color="auto" w:sz="4" w:space="0"/>
                    <w:right w:val="single" w:color="auto" w:sz="4" w:space="0"/>
                  </w:tcBorders>
                  <w:vAlign w:val="center"/>
                </w:tcPr>
                <w:p w14:paraId="47374457">
                  <w:pPr>
                    <w:pStyle w:val="200"/>
                    <w:spacing w:before="24" w:after="24"/>
                    <w:rPr>
                      <w:rFonts w:hint="default" w:ascii="Times New Roman" w:hAnsi="Times New Roman" w:cs="Times New Roman"/>
                      <w:sz w:val="18"/>
                      <w:szCs w:val="18"/>
                    </w:rPr>
                  </w:pPr>
                </w:p>
              </w:tc>
              <w:tc>
                <w:tcPr>
                  <w:tcW w:w="3535" w:type="dxa"/>
                  <w:tcBorders>
                    <w:top w:val="single" w:color="auto" w:sz="4" w:space="0"/>
                    <w:left w:val="single" w:color="auto" w:sz="4" w:space="0"/>
                    <w:bottom w:val="single" w:color="auto" w:sz="4" w:space="0"/>
                    <w:right w:val="single" w:color="auto" w:sz="4" w:space="0"/>
                  </w:tcBorders>
                  <w:vAlign w:val="center"/>
                </w:tcPr>
                <w:p w14:paraId="194D2E1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入区企业必须承诺采用清洁的工艺和技术，积极开展清洁生产，遵循清洁生产原则进行生产，要求企业不断改进工艺和产品设计、使用清洁的能源和原科、采用先进的工艺技术与设备、改善管理水平、实施废物综合利用，从源头削减污染；发展循环经济，实现废物的“减量化、再利用、再循环”，最大限度提高资源利用效率，切实降低物耗能耗，减少废物的产生量和产生种类；已经获得产品环境标志的企业可获得优先入区权。</w:t>
                  </w:r>
                </w:p>
              </w:tc>
              <w:tc>
                <w:tcPr>
                  <w:tcW w:w="2562" w:type="dxa"/>
                  <w:tcBorders>
                    <w:top w:val="single" w:color="auto" w:sz="4" w:space="0"/>
                    <w:left w:val="single" w:color="auto" w:sz="4" w:space="0"/>
                    <w:bottom w:val="single" w:color="auto" w:sz="4" w:space="0"/>
                    <w:right w:val="single" w:color="auto" w:sz="4" w:space="0"/>
                  </w:tcBorders>
                  <w:vAlign w:val="center"/>
                </w:tcPr>
                <w:p w14:paraId="2C8F7A2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本项目使用</w:t>
                  </w:r>
                  <w:r>
                    <w:rPr>
                      <w:rFonts w:hint="default" w:ascii="Times New Roman" w:hAnsi="Times New Roman" w:cs="Times New Roman"/>
                      <w:sz w:val="18"/>
                      <w:szCs w:val="18"/>
                      <w:highlight w:val="none"/>
                    </w:rPr>
                    <w:t>电</w:t>
                  </w:r>
                  <w:r>
                    <w:rPr>
                      <w:rFonts w:hint="eastAsia" w:ascii="Times New Roman" w:cs="Times New Roman"/>
                      <w:sz w:val="18"/>
                      <w:szCs w:val="18"/>
                      <w:highlight w:val="none"/>
                      <w:lang w:eastAsia="zh-CN"/>
                    </w:rPr>
                    <w:t>为</w:t>
                  </w:r>
                  <w:r>
                    <w:rPr>
                      <w:rFonts w:hint="default" w:ascii="Times New Roman" w:hAnsi="Times New Roman" w:cs="Times New Roman"/>
                      <w:sz w:val="18"/>
                      <w:szCs w:val="18"/>
                    </w:rPr>
                    <w:t>能源，优选自动化程度高、节能的成套设备，缩短工艺流程，降低能耗；对产废工段废气集中收集后净化处理；产生的固体废物均能得到无害化和资源化利用或处置。</w:t>
                  </w:r>
                </w:p>
              </w:tc>
              <w:tc>
                <w:tcPr>
                  <w:tcW w:w="665" w:type="dxa"/>
                  <w:tcBorders>
                    <w:top w:val="single" w:color="auto" w:sz="4" w:space="0"/>
                    <w:left w:val="single" w:color="auto" w:sz="4" w:space="0"/>
                    <w:bottom w:val="single" w:color="auto" w:sz="4" w:space="0"/>
                    <w:right w:val="single" w:color="auto" w:sz="4" w:space="0"/>
                  </w:tcBorders>
                  <w:vAlign w:val="center"/>
                </w:tcPr>
                <w:p w14:paraId="64F33698">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2D324A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0" w:type="dxa"/>
                  <w:vMerge w:val="continue"/>
                  <w:tcBorders>
                    <w:top w:val="single" w:color="auto" w:sz="4" w:space="0"/>
                    <w:left w:val="single" w:color="auto" w:sz="4" w:space="0"/>
                    <w:bottom w:val="single" w:color="auto" w:sz="4" w:space="0"/>
                    <w:right w:val="single" w:color="auto" w:sz="4" w:space="0"/>
                  </w:tcBorders>
                  <w:vAlign w:val="center"/>
                </w:tcPr>
                <w:p w14:paraId="66D4FF80">
                  <w:pPr>
                    <w:pStyle w:val="200"/>
                    <w:spacing w:before="24" w:after="24"/>
                    <w:rPr>
                      <w:rFonts w:hint="default" w:ascii="Times New Roman" w:hAnsi="Times New Roman" w:cs="Times New Roman"/>
                      <w:sz w:val="18"/>
                      <w:szCs w:val="18"/>
                    </w:rPr>
                  </w:pPr>
                </w:p>
              </w:tc>
              <w:tc>
                <w:tcPr>
                  <w:tcW w:w="3535" w:type="dxa"/>
                  <w:tcBorders>
                    <w:top w:val="single" w:color="auto" w:sz="4" w:space="0"/>
                    <w:left w:val="single" w:color="auto" w:sz="4" w:space="0"/>
                    <w:bottom w:val="single" w:color="auto" w:sz="4" w:space="0"/>
                    <w:right w:val="single" w:color="auto" w:sz="4" w:space="0"/>
                  </w:tcBorders>
                  <w:vAlign w:val="center"/>
                </w:tcPr>
                <w:p w14:paraId="591EF99C">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对入区企业的工艺废气和生产废水均需建设相关配套处理设施，落实治理工程，确保正常运行，做到达标排放，废水处理设施的设计容量和采用工艺必须与废水特性匹配，对于较难处理的特殊废水，在设施建造前必须经过专家论证方案，以保证废水经预处理后全部达到开发区污水处理厂的进水水质标准</w:t>
                  </w:r>
                </w:p>
              </w:tc>
              <w:tc>
                <w:tcPr>
                  <w:tcW w:w="2562" w:type="dxa"/>
                  <w:tcBorders>
                    <w:top w:val="single" w:color="auto" w:sz="4" w:space="0"/>
                    <w:left w:val="single" w:color="auto" w:sz="4" w:space="0"/>
                    <w:bottom w:val="single" w:color="auto" w:sz="4" w:space="0"/>
                    <w:right w:val="single" w:color="auto" w:sz="4" w:space="0"/>
                  </w:tcBorders>
                  <w:vAlign w:val="center"/>
                </w:tcPr>
                <w:p w14:paraId="6D99EEF5">
                  <w:pPr>
                    <w:pStyle w:val="200"/>
                    <w:spacing w:before="24" w:after="24"/>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本项目工艺废气配备相关符合要求的污染治理</w:t>
                  </w:r>
                  <w:r>
                    <w:rPr>
                      <w:rFonts w:hint="eastAsia" w:ascii="Times New Roman" w:cs="Times New Roman"/>
                      <w:sz w:val="18"/>
                      <w:szCs w:val="18"/>
                      <w:lang w:eastAsia="zh-CN"/>
                    </w:rPr>
                    <w:t>设施</w:t>
                  </w:r>
                  <w:r>
                    <w:rPr>
                      <w:rFonts w:hint="default" w:ascii="Times New Roman" w:hAnsi="Times New Roman" w:cs="Times New Roman"/>
                      <w:sz w:val="18"/>
                      <w:szCs w:val="18"/>
                    </w:rPr>
                    <w:t>，落实治理工程，确保其正常运行，做到达标排放</w:t>
                  </w:r>
                  <w:r>
                    <w:rPr>
                      <w:rFonts w:hint="default" w:ascii="Times New Roman" w:hAnsi="Times New Roman" w:cs="Times New Roman"/>
                      <w:sz w:val="18"/>
                      <w:szCs w:val="18"/>
                      <w:highlight w:val="none"/>
                    </w:rPr>
                    <w:t>。本项目</w:t>
                  </w:r>
                  <w:r>
                    <w:rPr>
                      <w:rFonts w:hint="eastAsia" w:ascii="Times New Roman" w:cs="Times New Roman"/>
                      <w:sz w:val="18"/>
                      <w:szCs w:val="18"/>
                      <w:highlight w:val="none"/>
                      <w:lang w:eastAsia="zh-CN"/>
                    </w:rPr>
                    <w:t>无生产废水产生</w:t>
                  </w:r>
                  <w:r>
                    <w:rPr>
                      <w:rFonts w:hint="default" w:ascii="Times New Roman" w:hAnsi="Times New Roman" w:cs="Times New Roman"/>
                      <w:sz w:val="18"/>
                      <w:szCs w:val="18"/>
                      <w:highlight w:val="none"/>
                      <w:lang w:eastAsia="zh-CN"/>
                    </w:rPr>
                    <w:t>。</w:t>
                  </w:r>
                </w:p>
              </w:tc>
              <w:tc>
                <w:tcPr>
                  <w:tcW w:w="665" w:type="dxa"/>
                  <w:tcBorders>
                    <w:top w:val="single" w:color="auto" w:sz="4" w:space="0"/>
                    <w:left w:val="single" w:color="auto" w:sz="4" w:space="0"/>
                    <w:bottom w:val="single" w:color="auto" w:sz="4" w:space="0"/>
                    <w:right w:val="single" w:color="auto" w:sz="4" w:space="0"/>
                  </w:tcBorders>
                  <w:vAlign w:val="center"/>
                </w:tcPr>
                <w:p w14:paraId="67ED7D7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符合</w:t>
                  </w:r>
                </w:p>
              </w:tc>
            </w:tr>
          </w:tbl>
          <w:p w14:paraId="28F49120">
            <w:pPr>
              <w:autoSpaceDE w:val="0"/>
              <w:autoSpaceDN w:val="0"/>
              <w:adjustRightInd w:val="0"/>
              <w:snapToGrid w:val="0"/>
              <w:jc w:val="center"/>
            </w:pPr>
            <w:r>
              <w:rPr>
                <w:rFonts w:hint="default" w:ascii="Times New Roman" w:hAnsi="Times New Roman" w:cs="Times New Roman"/>
              </w:rPr>
              <w:t>综上，本项目符合</w:t>
            </w:r>
            <w:r>
              <w:rPr>
                <w:rFonts w:hint="default" w:ascii="Times New Roman" w:hAnsi="Times New Roman" w:cs="Times New Roman"/>
                <w:szCs w:val="21"/>
              </w:rPr>
              <w:t>山东淄川经济开发区规划要求。</w:t>
            </w:r>
          </w:p>
        </w:tc>
      </w:tr>
      <w:tr w14:paraId="599A78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492" w:type="dxa"/>
            <w:vAlign w:val="center"/>
          </w:tcPr>
          <w:p w14:paraId="31D231DD">
            <w:pPr>
              <w:autoSpaceDE w:val="0"/>
              <w:autoSpaceDN w:val="0"/>
              <w:adjustRightInd w:val="0"/>
              <w:snapToGrid w:val="0"/>
              <w:spacing w:line="420" w:lineRule="exact"/>
              <w:jc w:val="center"/>
              <w:rPr>
                <w:color w:val="FF0000"/>
                <w:kern w:val="0"/>
              </w:rPr>
            </w:pPr>
            <w:r>
              <w:rPr>
                <w:kern w:val="0"/>
              </w:rPr>
              <w:t>其他符合性分析</w:t>
            </w:r>
          </w:p>
        </w:tc>
        <w:tc>
          <w:tcPr>
            <w:tcW w:w="8378" w:type="dxa"/>
            <w:gridSpan w:val="4"/>
            <w:vAlign w:val="center"/>
          </w:tcPr>
          <w:p w14:paraId="18D45560">
            <w:pPr>
              <w:spacing w:line="420" w:lineRule="exact"/>
              <w:ind w:firstLine="422" w:firstLineChars="200"/>
              <w:rPr>
                <w:highlight w:val="none"/>
              </w:rPr>
            </w:pPr>
            <w:r>
              <w:rPr>
                <w:b/>
              </w:rPr>
              <w:t>一、</w:t>
            </w:r>
            <w:r>
              <w:rPr>
                <w:rFonts w:hint="default" w:ascii="Times New Roman" w:hAnsi="Times New Roman" w:eastAsia="黑体" w:cs="Times New Roman"/>
                <w:b/>
                <w:szCs w:val="21"/>
              </w:rPr>
              <w:t>“</w:t>
            </w:r>
            <w:r>
              <w:rPr>
                <w:rFonts w:hint="eastAsia" w:ascii="Times New Roman" w:hAnsi="Times New Roman" w:eastAsia="黑体" w:cs="Times New Roman"/>
                <w:b/>
                <w:szCs w:val="21"/>
              </w:rPr>
              <w:t>生态环境分区管控</w:t>
            </w:r>
            <w:r>
              <w:rPr>
                <w:rFonts w:hint="default" w:ascii="Times New Roman" w:hAnsi="Times New Roman" w:eastAsia="黑体" w:cs="Times New Roman"/>
                <w:b/>
                <w:szCs w:val="21"/>
              </w:rPr>
              <w:t>”符合性分析</w:t>
            </w:r>
          </w:p>
          <w:p w14:paraId="1EC42B19">
            <w:pPr>
              <w:spacing w:line="360" w:lineRule="auto"/>
              <w:ind w:firstLine="420" w:firstLineChars="200"/>
              <w:rPr>
                <w:rFonts w:hint="default" w:ascii="Times New Roman" w:hAnsi="Times New Roman" w:cs="Times New Roman"/>
              </w:rPr>
            </w:pPr>
            <w:r>
              <w:rPr>
                <w:rFonts w:hint="default" w:ascii="Times New Roman" w:hAnsi="Times New Roman" w:eastAsia="宋体" w:cs="Times New Roman"/>
                <w:bCs/>
                <w:color w:val="auto"/>
                <w:kern w:val="2"/>
                <w:sz w:val="21"/>
                <w:szCs w:val="21"/>
                <w:lang w:val="en-US" w:eastAsia="zh-CN" w:bidi="ar-SA"/>
              </w:rPr>
              <w:t>根据《淄博市“三线一单”生态环境分区管控方案》（淄政字[2021]49号）</w:t>
            </w:r>
            <w:r>
              <w:rPr>
                <w:rFonts w:hint="eastAsia" w:ascii="Times New Roman" w:hAnsi="Times New Roman" w:eastAsia="宋体" w:cs="Times New Roman"/>
                <w:bCs/>
                <w:color w:val="auto"/>
                <w:kern w:val="2"/>
                <w:sz w:val="21"/>
                <w:szCs w:val="21"/>
                <w:lang w:val="en-US" w:eastAsia="zh-CN" w:bidi="ar-SA"/>
              </w:rPr>
              <w:t>和</w:t>
            </w:r>
            <w:r>
              <w:rPr>
                <w:rFonts w:hint="default" w:ascii="Times New Roman" w:hAnsi="Times New Roman" w:eastAsia="宋体" w:cs="Times New Roman"/>
                <w:kern w:val="0"/>
                <w:sz w:val="21"/>
                <w:szCs w:val="21"/>
                <w:highlight w:val="none"/>
                <w:lang w:val="en-US" w:eastAsia="zh-CN" w:bidi="ar-SA"/>
              </w:rPr>
              <w:t>《</w:t>
            </w:r>
            <w:r>
              <w:rPr>
                <w:rFonts w:hint="eastAsia" w:ascii="Times New Roman" w:hAnsi="Times New Roman" w:eastAsia="宋体" w:cs="Times New Roman"/>
                <w:kern w:val="0"/>
                <w:sz w:val="21"/>
                <w:szCs w:val="21"/>
                <w:highlight w:val="none"/>
                <w:lang w:val="en-US" w:eastAsia="zh-CN" w:bidi="ar-SA"/>
              </w:rPr>
              <w:t>淄博市2023年生态环境分区管控成果动态更新项目生态环境准入清单</w:t>
            </w:r>
            <w:r>
              <w:rPr>
                <w:rFonts w:hint="default" w:ascii="Times New Roman" w:hAnsi="Times New Roman" w:eastAsia="宋体" w:cs="Times New Roman"/>
                <w:kern w:val="0"/>
                <w:sz w:val="21"/>
                <w:szCs w:val="21"/>
                <w:highlight w:val="none"/>
                <w:lang w:val="en-US" w:eastAsia="zh-CN" w:bidi="ar-SA"/>
              </w:rPr>
              <w:t>》</w:t>
            </w:r>
            <w:r>
              <w:rPr>
                <w:rFonts w:ascii="Times New Roman" w:hAnsi="Times New Roman" w:eastAsia="宋体" w:cs="Times New Roman"/>
                <w:bCs/>
                <w:color w:val="auto"/>
                <w:kern w:val="2"/>
                <w:sz w:val="21"/>
                <w:szCs w:val="21"/>
                <w:lang w:val="en-US" w:eastAsia="zh-CN" w:bidi="ar-SA"/>
              </w:rPr>
              <w:t>，</w:t>
            </w:r>
            <w:r>
              <w:rPr>
                <w:rFonts w:hint="default" w:ascii="Times New Roman" w:hAnsi="Times New Roman" w:cs="Times New Roman"/>
                <w:kern w:val="0"/>
                <w:szCs w:val="21"/>
                <w:lang w:val="zh-CN"/>
              </w:rPr>
              <w:t>本项目位于</w:t>
            </w:r>
            <w:r>
              <w:rPr>
                <w:rFonts w:hint="eastAsia" w:cs="Times New Roman"/>
                <w:kern w:val="0"/>
                <w:szCs w:val="21"/>
                <w:lang w:val="zh-CN"/>
              </w:rPr>
              <w:t>山东</w:t>
            </w:r>
            <w:r>
              <w:rPr>
                <w:rFonts w:hint="default" w:ascii="Times New Roman" w:hAnsi="Times New Roman" w:cs="Times New Roman"/>
                <w:kern w:val="0"/>
                <w:szCs w:val="21"/>
                <w:lang w:val="zh-CN"/>
              </w:rPr>
              <w:t>淄川经济开发区，管控单元编码</w:t>
            </w:r>
            <w:r>
              <w:rPr>
                <w:rFonts w:hint="default" w:ascii="Times New Roman" w:hAnsi="Times New Roman" w:eastAsia="宋体" w:cs="Times New Roman"/>
                <w:i w:val="0"/>
                <w:color w:val="000000"/>
                <w:kern w:val="0"/>
                <w:sz w:val="21"/>
                <w:szCs w:val="21"/>
                <w:u w:val="none"/>
                <w:lang w:val="en-US" w:eastAsia="zh-CN" w:bidi="ar"/>
              </w:rPr>
              <w:t>ZH37030220006</w:t>
            </w:r>
            <w:r>
              <w:rPr>
                <w:rFonts w:hint="default" w:ascii="Times New Roman" w:hAnsi="Times New Roman" w:cs="Times New Roman"/>
                <w:kern w:val="0"/>
                <w:szCs w:val="21"/>
                <w:lang w:val="zh-CN"/>
              </w:rPr>
              <w:t>，为</w:t>
            </w:r>
            <w:r>
              <w:rPr>
                <w:rFonts w:hint="eastAsia" w:cs="Times New Roman"/>
                <w:kern w:val="0"/>
                <w:szCs w:val="21"/>
                <w:lang w:val="zh-CN"/>
              </w:rPr>
              <w:t>重点</w:t>
            </w:r>
            <w:r>
              <w:rPr>
                <w:rFonts w:hint="default" w:ascii="Times New Roman" w:hAnsi="Times New Roman" w:cs="Times New Roman"/>
                <w:kern w:val="0"/>
                <w:szCs w:val="21"/>
                <w:lang w:val="zh-CN"/>
              </w:rPr>
              <w:t>管控单元</w:t>
            </w:r>
            <w:r>
              <w:rPr>
                <w:rFonts w:hint="default" w:ascii="Times New Roman" w:hAnsi="Times New Roman" w:cs="Times New Roman"/>
                <w:kern w:val="0"/>
                <w:szCs w:val="21"/>
              </w:rPr>
              <w:t>。本项目与该</w:t>
            </w:r>
            <w:r>
              <w:rPr>
                <w:rFonts w:hint="default" w:ascii="Times New Roman" w:hAnsi="Times New Roman" w:cs="Times New Roman"/>
                <w:kern w:val="0"/>
                <w:szCs w:val="21"/>
                <w:lang w:val="zh-CN"/>
              </w:rPr>
              <w:t>管控区生态环境准入要求的复符合性分析结果见表</w:t>
            </w:r>
            <w:r>
              <w:rPr>
                <w:rFonts w:hint="default" w:ascii="Times New Roman" w:hAnsi="Times New Roman" w:cs="Times New Roman"/>
              </w:rPr>
              <w:t>1-3，与</w:t>
            </w:r>
            <w:r>
              <w:rPr>
                <w:rFonts w:hint="default" w:ascii="Times New Roman" w:hAnsi="Times New Roman" w:cs="Times New Roman"/>
                <w:lang w:val="zh-CN"/>
              </w:rPr>
              <w:t>《山东淄川经济开发区环境影响跟踪评价报告书》给出的</w:t>
            </w:r>
            <w:r>
              <w:rPr>
                <w:rFonts w:hint="eastAsia" w:cs="Times New Roman"/>
                <w:lang w:val="zh-CN"/>
              </w:rPr>
              <w:t>山东</w:t>
            </w:r>
            <w:r>
              <w:rPr>
                <w:rFonts w:hint="default" w:ascii="Times New Roman" w:hAnsi="Times New Roman" w:cs="Times New Roman"/>
                <w:lang w:val="zh-CN"/>
              </w:rPr>
              <w:t>淄川经济开发区入区行业控制级别</w:t>
            </w:r>
            <w:r>
              <w:rPr>
                <w:rFonts w:hint="default" w:ascii="Times New Roman" w:hAnsi="Times New Roman" w:cs="Times New Roman"/>
              </w:rPr>
              <w:t>的符合性分析结果见表1-4。</w:t>
            </w:r>
          </w:p>
          <w:p w14:paraId="1D99675F">
            <w:pPr>
              <w:pStyle w:val="2"/>
              <w:ind w:left="0" w:leftChars="0" w:right="0" w:rightChars="0" w:firstLine="0" w:firstLineChars="0"/>
              <w:jc w:val="center"/>
              <w:rPr>
                <w:rFonts w:hint="eastAsia" w:ascii="宋体" w:hAnsi="宋体" w:eastAsia="宋体" w:cs="宋体"/>
                <w:sz w:val="21"/>
                <w:szCs w:val="21"/>
                <w:highlight w:val="none"/>
              </w:rPr>
            </w:pPr>
            <w:r>
              <w:rPr>
                <w:rFonts w:hint="eastAsia" w:ascii="宋体" w:hAnsi="宋体" w:eastAsia="宋体" w:cs="宋体"/>
                <w:b/>
                <w:bCs/>
                <w:sz w:val="21"/>
                <w:szCs w:val="21"/>
                <w:highlight w:val="none"/>
                <w:lang w:val="zh-CN"/>
              </w:rPr>
              <w:t>表1-</w:t>
            </w:r>
            <w:r>
              <w:rPr>
                <w:rFonts w:hint="eastAsia" w:ascii="宋体" w:hAnsi="宋体" w:eastAsia="宋体" w:cs="宋体"/>
                <w:b/>
                <w:bCs/>
                <w:sz w:val="21"/>
                <w:szCs w:val="21"/>
                <w:highlight w:val="none"/>
              </w:rPr>
              <w:t xml:space="preserve">3 </w:t>
            </w:r>
            <w:r>
              <w:rPr>
                <w:rFonts w:hint="eastAsia" w:ascii="宋体" w:hAnsi="宋体" w:eastAsia="宋体" w:cs="宋体"/>
                <w:b/>
                <w:bCs/>
                <w:sz w:val="21"/>
                <w:szCs w:val="21"/>
                <w:highlight w:val="none"/>
                <w:lang w:val="zh-CN"/>
              </w:rPr>
              <w:t>本项目与淄博市生态环境准入清单符合性分析</w:t>
            </w:r>
          </w:p>
          <w:tbl>
            <w:tblPr>
              <w:tblStyle w:val="8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57" w:type="dxa"/>
                <w:bottom w:w="0" w:type="dxa"/>
                <w:right w:w="57" w:type="dxa"/>
              </w:tblCellMar>
            </w:tblPr>
            <w:tblGrid>
              <w:gridCol w:w="380"/>
              <w:gridCol w:w="406"/>
              <w:gridCol w:w="3704"/>
              <w:gridCol w:w="3081"/>
              <w:gridCol w:w="579"/>
            </w:tblGrid>
            <w:tr w14:paraId="71332E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260" w:hRule="atLeast"/>
                <w:jc w:val="center"/>
              </w:trPr>
              <w:tc>
                <w:tcPr>
                  <w:tcW w:w="233" w:type="pct"/>
                  <w:tcBorders>
                    <w:top w:val="single" w:color="auto" w:sz="4" w:space="0"/>
                    <w:left w:val="single" w:color="auto" w:sz="4" w:space="0"/>
                    <w:bottom w:val="single" w:color="auto" w:sz="4" w:space="0"/>
                    <w:right w:val="single" w:color="auto" w:sz="4" w:space="0"/>
                  </w:tcBorders>
                </w:tcPr>
                <w:p w14:paraId="7749F6D6">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管控单元</w:t>
                  </w:r>
                </w:p>
              </w:tc>
              <w:tc>
                <w:tcPr>
                  <w:tcW w:w="2520" w:type="pct"/>
                  <w:gridSpan w:val="2"/>
                  <w:tcBorders>
                    <w:top w:val="single" w:color="auto" w:sz="4" w:space="0"/>
                    <w:left w:val="single" w:color="auto" w:sz="4" w:space="0"/>
                    <w:bottom w:val="single" w:color="auto" w:sz="4" w:space="0"/>
                    <w:right w:val="single" w:color="auto" w:sz="4" w:space="0"/>
                  </w:tcBorders>
                  <w:vAlign w:val="center"/>
                </w:tcPr>
                <w:p w14:paraId="08B31883">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管控要求</w:t>
                  </w:r>
                </w:p>
              </w:tc>
              <w:tc>
                <w:tcPr>
                  <w:tcW w:w="1889" w:type="pct"/>
                  <w:tcBorders>
                    <w:top w:val="single" w:color="auto" w:sz="4" w:space="0"/>
                    <w:left w:val="single" w:color="auto" w:sz="4" w:space="0"/>
                    <w:bottom w:val="single" w:color="auto" w:sz="4" w:space="0"/>
                    <w:right w:val="single" w:color="auto" w:sz="4" w:space="0"/>
                  </w:tcBorders>
                  <w:vAlign w:val="center"/>
                </w:tcPr>
                <w:p w14:paraId="78DDE831">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符合性分析</w:t>
                  </w:r>
                </w:p>
              </w:tc>
              <w:tc>
                <w:tcPr>
                  <w:tcW w:w="355" w:type="pct"/>
                  <w:tcBorders>
                    <w:top w:val="single" w:color="auto" w:sz="4" w:space="0"/>
                    <w:left w:val="single" w:color="auto" w:sz="4" w:space="0"/>
                    <w:bottom w:val="single" w:color="auto" w:sz="4" w:space="0"/>
                    <w:right w:val="single" w:color="auto" w:sz="4" w:space="0"/>
                  </w:tcBorders>
                  <w:vAlign w:val="center"/>
                </w:tcPr>
                <w:p w14:paraId="027C6AFE">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符</w:t>
                  </w:r>
                </w:p>
                <w:p w14:paraId="2096D78E">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合</w:t>
                  </w:r>
                </w:p>
                <w:p w14:paraId="16C6D89A">
                  <w:pPr>
                    <w:jc w:val="center"/>
                    <w:rPr>
                      <w:rFonts w:hint="default" w:ascii="Times New Roman" w:hAnsi="Times New Roman" w:cs="Times New Roman"/>
                      <w:b/>
                      <w:bCs/>
                      <w:sz w:val="18"/>
                      <w:szCs w:val="18"/>
                      <w:lang w:val="zh-CN"/>
                    </w:rPr>
                  </w:pPr>
                  <w:r>
                    <w:rPr>
                      <w:rFonts w:hint="default" w:ascii="Times New Roman" w:hAnsi="Times New Roman" w:cs="Times New Roman"/>
                      <w:b/>
                      <w:bCs/>
                      <w:sz w:val="18"/>
                      <w:szCs w:val="18"/>
                      <w:lang w:val="zh-CN"/>
                    </w:rPr>
                    <w:t>性</w:t>
                  </w:r>
                </w:p>
              </w:tc>
            </w:tr>
            <w:tr w14:paraId="489217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1618" w:hRule="atLeast"/>
                <w:jc w:val="center"/>
              </w:trPr>
              <w:tc>
                <w:tcPr>
                  <w:tcW w:w="233" w:type="pct"/>
                  <w:vMerge w:val="restart"/>
                  <w:tcBorders>
                    <w:top w:val="single" w:color="auto" w:sz="4" w:space="0"/>
                    <w:left w:val="single" w:color="auto" w:sz="4" w:space="0"/>
                    <w:bottom w:val="single" w:color="auto" w:sz="4" w:space="0"/>
                    <w:right w:val="single" w:color="auto" w:sz="4" w:space="0"/>
                  </w:tcBorders>
                  <w:vAlign w:val="center"/>
                </w:tcPr>
                <w:p w14:paraId="203F7908">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淄川经济开发区</w:t>
                  </w:r>
                </w:p>
              </w:tc>
              <w:tc>
                <w:tcPr>
                  <w:tcW w:w="249" w:type="pct"/>
                  <w:tcBorders>
                    <w:top w:val="single" w:color="auto" w:sz="4" w:space="0"/>
                    <w:left w:val="single" w:color="auto" w:sz="4" w:space="0"/>
                    <w:bottom w:val="single" w:color="auto" w:sz="4" w:space="0"/>
                    <w:right w:val="single" w:color="auto" w:sz="4" w:space="0"/>
                  </w:tcBorders>
                  <w:vAlign w:val="center"/>
                </w:tcPr>
                <w:p w14:paraId="220A4D1A">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空间布局约束</w:t>
                  </w:r>
                </w:p>
              </w:tc>
              <w:tc>
                <w:tcPr>
                  <w:tcW w:w="3704" w:type="dxa"/>
                  <w:tcBorders>
                    <w:top w:val="single" w:color="auto" w:sz="4" w:space="0"/>
                    <w:left w:val="single" w:color="auto" w:sz="4" w:space="0"/>
                    <w:right w:val="single" w:color="auto" w:sz="4" w:space="0"/>
                  </w:tcBorders>
                  <w:vAlign w:val="center"/>
                </w:tcPr>
                <w:p w14:paraId="369A5D11">
                  <w:pPr>
                    <w:rPr>
                      <w:rFonts w:hint="default" w:ascii="Times New Roman" w:hAnsi="Times New Roman" w:cs="Times New Roman"/>
                      <w:sz w:val="18"/>
                      <w:szCs w:val="18"/>
                      <w:lang w:val="zh-CN"/>
                    </w:rPr>
                  </w:pPr>
                  <w:r>
                    <w:rPr>
                      <w:rStyle w:val="1399"/>
                      <w:rFonts w:hint="default" w:ascii="Times New Roman" w:hAnsi="Times New Roman" w:cs="Times New Roman" w:eastAsiaTheme="majorEastAsia"/>
                      <w:color w:val="auto"/>
                      <w:sz w:val="18"/>
                      <w:szCs w:val="18"/>
                      <w:lang w:val="en-US" w:eastAsia="zh-CN" w:bidi="ar"/>
                    </w:rPr>
                    <w:t>1.</w:t>
                  </w:r>
                  <w:r>
                    <w:rPr>
                      <w:rStyle w:val="1400"/>
                      <w:rFonts w:hint="default" w:ascii="Times New Roman" w:hAnsi="Times New Roman" w:cs="Times New Roman" w:eastAsiaTheme="majorEastAsia"/>
                      <w:color w:val="auto"/>
                      <w:sz w:val="18"/>
                      <w:szCs w:val="18"/>
                      <w:lang w:val="en-US" w:eastAsia="zh-CN" w:bidi="ar"/>
                    </w:rPr>
                    <w:t>禁止新建、扩建《产业结构调整指导目录》（现行）明确的淘汰类项目和引入《市场准入负面清单》（现行）禁止准入类事项；鼓励对列入《产业结构调整指导目录》的限制类、淘汰类工业项目进行淘汰和提升改造。</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2.</w:t>
                  </w:r>
                  <w:r>
                    <w:rPr>
                      <w:rStyle w:val="1400"/>
                      <w:rFonts w:hint="default" w:ascii="Times New Roman" w:hAnsi="Times New Roman" w:cs="Times New Roman" w:eastAsiaTheme="majorEastAsia"/>
                      <w:color w:val="auto"/>
                      <w:sz w:val="18"/>
                      <w:szCs w:val="18"/>
                      <w:lang w:val="en-US" w:eastAsia="zh-CN" w:bidi="ar"/>
                    </w:rPr>
                    <w:t>强化规划、规划环评引领指导作用，科学规划建设工业园区，优化工业布局，引导符合园区产业定位的工业企业入驻，实现集中供热、供水、供气，实施水资源分类循环利用和水污染集中治理；原则上禁止准入园区规划及规划环评中不允许进入的生产工艺或工业项目。</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3.</w:t>
                  </w:r>
                  <w:r>
                    <w:rPr>
                      <w:rStyle w:val="1400"/>
                      <w:rFonts w:hint="eastAsia" w:ascii="Times New Roman" w:hAnsi="Times New Roman" w:cs="Times New Roman" w:eastAsiaTheme="majorEastAsia"/>
                      <w:color w:val="auto"/>
                      <w:sz w:val="18"/>
                      <w:szCs w:val="18"/>
                      <w:lang w:val="en-US" w:eastAsia="zh-CN" w:bidi="ar"/>
                    </w:rPr>
                    <w:t>大气高排放区内</w:t>
                  </w:r>
                  <w:r>
                    <w:rPr>
                      <w:rStyle w:val="1400"/>
                      <w:rFonts w:hint="default" w:ascii="Times New Roman" w:hAnsi="Times New Roman" w:cs="Times New Roman" w:eastAsiaTheme="majorEastAsia"/>
                      <w:color w:val="auto"/>
                      <w:sz w:val="18"/>
                      <w:szCs w:val="18"/>
                      <w:lang w:val="en-US" w:eastAsia="zh-CN" w:bidi="ar"/>
                    </w:rPr>
                    <w:t>禁止建设商业住宅、医院、学校、养老机构等敏感机构。</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4.</w:t>
                  </w:r>
                  <w:r>
                    <w:rPr>
                      <w:rStyle w:val="1400"/>
                      <w:rFonts w:hint="default" w:ascii="Times New Roman" w:hAnsi="Times New Roman" w:cs="Times New Roman" w:eastAsiaTheme="majorEastAsia"/>
                      <w:color w:val="auto"/>
                      <w:sz w:val="18"/>
                      <w:szCs w:val="18"/>
                      <w:lang w:val="en-US" w:eastAsia="zh-CN" w:bidi="ar"/>
                    </w:rPr>
                    <w:t>原则上不再批准新（扩）建综合性危险废物集中处置项目</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集团内部自建配套的危险废物处理设施除外</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不再批准新（扩）建危险废物填埋项目；原则上不再批准新（扩）建废矿物油、废活性炭、废催化剂、有机溶剂、焦油类危险废物利用项目。新建危险废物综合利用项目，应立足于淄博市危险废物利用处置缺口，不再批准新（扩）建以外省、市危险废物为主要原料的利用项目。</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5.</w:t>
                  </w:r>
                  <w:r>
                    <w:rPr>
                      <w:rStyle w:val="1400"/>
                      <w:rFonts w:hint="default" w:ascii="Times New Roman" w:hAnsi="Times New Roman" w:cs="Times New Roman" w:eastAsiaTheme="majorEastAsia"/>
                      <w:color w:val="auto"/>
                      <w:sz w:val="18"/>
                      <w:szCs w:val="18"/>
                      <w:lang w:val="en-US" w:eastAsia="zh-CN" w:bidi="ar"/>
                    </w:rPr>
                    <w:t>按照省市要求，严格控制</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两高</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项目，新建</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两高</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项目实行</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五个减量替代</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6.</w:t>
                  </w:r>
                  <w:r>
                    <w:rPr>
                      <w:rStyle w:val="1400"/>
                      <w:rFonts w:hint="default" w:ascii="Times New Roman" w:hAnsi="Times New Roman" w:cs="Times New Roman" w:eastAsiaTheme="majorEastAsia"/>
                      <w:color w:val="auto"/>
                      <w:sz w:val="18"/>
                      <w:szCs w:val="18"/>
                      <w:lang w:val="en-US" w:eastAsia="zh-CN" w:bidi="ar"/>
                    </w:rPr>
                    <w:t>严格控制燃煤项目，所有改建耗煤项目（包括以原煤或焦炭等煤制品为原料或燃料，进行生产加工或燃烧的建设项目）、新增燃煤项目一律实施倍量煤炭减量执行替代，并且排污强度、能效和碳排放水平达到国内先进水平。</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7.</w:t>
                  </w:r>
                  <w:r>
                    <w:rPr>
                      <w:rStyle w:val="1400"/>
                      <w:rFonts w:hint="default" w:ascii="Times New Roman" w:hAnsi="Times New Roman" w:cs="Times New Roman" w:eastAsiaTheme="majorEastAsia"/>
                      <w:color w:val="auto"/>
                      <w:sz w:val="18"/>
                      <w:szCs w:val="18"/>
                      <w:lang w:val="en-US" w:eastAsia="zh-CN" w:bidi="ar"/>
                    </w:rPr>
                    <w:t>园区现有工业项目按照《山东省新一轮</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四减四增</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三年行动方案（</w:t>
                  </w:r>
                  <w:r>
                    <w:rPr>
                      <w:rStyle w:val="1399"/>
                      <w:rFonts w:hint="default" w:ascii="Times New Roman" w:hAnsi="Times New Roman" w:cs="Times New Roman" w:eastAsiaTheme="majorEastAsia"/>
                      <w:color w:val="auto"/>
                      <w:sz w:val="18"/>
                      <w:szCs w:val="18"/>
                      <w:lang w:val="en-US" w:eastAsia="zh-CN" w:bidi="ar"/>
                    </w:rPr>
                    <w:t>2021—2023</w:t>
                  </w:r>
                  <w:r>
                    <w:rPr>
                      <w:rStyle w:val="1400"/>
                      <w:rFonts w:hint="default" w:ascii="Times New Roman" w:hAnsi="Times New Roman" w:cs="Times New Roman" w:eastAsiaTheme="majorEastAsia"/>
                      <w:color w:val="auto"/>
                      <w:sz w:val="18"/>
                      <w:szCs w:val="18"/>
                      <w:lang w:val="en-US" w:eastAsia="zh-CN" w:bidi="ar"/>
                    </w:rPr>
                    <w:t>年）》加快新旧动能转换。</w:t>
                  </w:r>
                </w:p>
              </w:tc>
              <w:tc>
                <w:tcPr>
                  <w:tcW w:w="1889" w:type="pct"/>
                  <w:tcBorders>
                    <w:top w:val="single" w:color="auto" w:sz="4" w:space="0"/>
                    <w:left w:val="single" w:color="auto" w:sz="4" w:space="0"/>
                    <w:bottom w:val="single" w:color="auto" w:sz="4" w:space="0"/>
                    <w:right w:val="single" w:color="auto" w:sz="4" w:space="0"/>
                  </w:tcBorders>
                  <w:vAlign w:val="center"/>
                </w:tcPr>
                <w:p w14:paraId="544D4B6D">
                  <w:pPr>
                    <w:rPr>
                      <w:rFonts w:hint="eastAsia" w:cs="Times New Roman"/>
                      <w:sz w:val="18"/>
                      <w:szCs w:val="18"/>
                      <w:highlight w:val="none"/>
                      <w:lang w:val="en-US" w:eastAsia="zh-CN"/>
                    </w:rPr>
                  </w:pPr>
                  <w:r>
                    <w:rPr>
                      <w:rFonts w:hint="eastAsia" w:cs="Times New Roman"/>
                      <w:sz w:val="18"/>
                      <w:szCs w:val="18"/>
                      <w:highlight w:val="none"/>
                      <w:lang w:val="en-US" w:eastAsia="zh-CN"/>
                    </w:rPr>
                    <w:t>1.</w:t>
                  </w:r>
                  <w:r>
                    <w:rPr>
                      <w:rFonts w:hint="default" w:ascii="Times New Roman" w:hAnsi="Times New Roman" w:cs="Times New Roman"/>
                      <w:sz w:val="18"/>
                      <w:szCs w:val="18"/>
                      <w:highlight w:val="none"/>
                      <w:lang w:val="zh-CN"/>
                    </w:rPr>
                    <w:t>项目产品为</w:t>
                  </w:r>
                  <w:r>
                    <w:rPr>
                      <w:rFonts w:hint="eastAsia" w:cs="Times New Roman"/>
                      <w:sz w:val="18"/>
                      <w:szCs w:val="18"/>
                      <w:highlight w:val="none"/>
                      <w:lang w:val="zh-CN"/>
                    </w:rPr>
                    <w:t>生活、消防供水设备</w:t>
                  </w:r>
                  <w:r>
                    <w:rPr>
                      <w:rFonts w:hint="default" w:ascii="Times New Roman" w:hAnsi="Times New Roman" w:cs="Times New Roman"/>
                      <w:sz w:val="18"/>
                      <w:szCs w:val="18"/>
                      <w:highlight w:val="none"/>
                      <w:lang w:val="zh-CN"/>
                    </w:rPr>
                    <w:t>，不属于</w:t>
                  </w:r>
                  <w:r>
                    <w:rPr>
                      <w:rFonts w:hint="default" w:ascii="Times New Roman" w:hAnsi="Times New Roman" w:cs="Times New Roman"/>
                      <w:kern w:val="0"/>
                      <w:sz w:val="18"/>
                      <w:szCs w:val="18"/>
                      <w:highlight w:val="none"/>
                    </w:rPr>
                    <w:t>《产业结构调整指导目录》（20</w:t>
                  </w:r>
                  <w:r>
                    <w:rPr>
                      <w:rFonts w:hint="eastAsia" w:ascii="Times New Roman" w:hAnsi="Times New Roman" w:cs="Times New Roman"/>
                      <w:kern w:val="0"/>
                      <w:sz w:val="18"/>
                      <w:szCs w:val="18"/>
                      <w:highlight w:val="none"/>
                      <w:lang w:val="en-US" w:eastAsia="zh-CN"/>
                    </w:rPr>
                    <w:t>24</w:t>
                  </w:r>
                  <w:r>
                    <w:rPr>
                      <w:rFonts w:hint="default" w:ascii="Times New Roman" w:hAnsi="Times New Roman" w:cs="Times New Roman"/>
                      <w:kern w:val="0"/>
                      <w:sz w:val="18"/>
                      <w:szCs w:val="18"/>
                      <w:highlight w:val="none"/>
                    </w:rPr>
                    <w:t>年本）</w:t>
                  </w:r>
                  <w:r>
                    <w:rPr>
                      <w:rFonts w:hint="eastAsia" w:ascii="Times New Roman" w:hAnsi="Times New Roman" w:cs="Times New Roman"/>
                      <w:kern w:val="0"/>
                      <w:sz w:val="18"/>
                      <w:szCs w:val="18"/>
                      <w:highlight w:val="none"/>
                      <w:lang w:eastAsia="zh-CN"/>
                    </w:rPr>
                    <w:t>）</w:t>
                  </w:r>
                  <w:r>
                    <w:rPr>
                      <w:rFonts w:hint="default" w:ascii="Times New Roman" w:hAnsi="Times New Roman" w:cs="Times New Roman"/>
                      <w:kern w:val="0"/>
                      <w:sz w:val="18"/>
                      <w:szCs w:val="18"/>
                      <w:highlight w:val="none"/>
                    </w:rPr>
                    <w:t>“鼓励类”、“限制类”和“淘汰类”项目，可视为属于“允许类”建设项目</w:t>
                  </w:r>
                </w:p>
                <w:p w14:paraId="33835C8D">
                  <w:pPr>
                    <w:rPr>
                      <w:rFonts w:hint="default" w:ascii="Times New Roman" w:hAnsi="Times New Roman" w:cs="Times New Roman"/>
                      <w:sz w:val="18"/>
                      <w:szCs w:val="18"/>
                      <w:lang w:val="zh-CN"/>
                    </w:rPr>
                  </w:pPr>
                  <w:r>
                    <w:rPr>
                      <w:rFonts w:hint="eastAsia" w:cs="Times New Roman"/>
                      <w:sz w:val="18"/>
                      <w:szCs w:val="18"/>
                      <w:lang w:val="en-US" w:eastAsia="zh-CN"/>
                    </w:rPr>
                    <w:t>2.</w:t>
                  </w:r>
                  <w:r>
                    <w:rPr>
                      <w:rFonts w:hint="default" w:ascii="Times New Roman" w:hAnsi="Times New Roman" w:cs="Times New Roman"/>
                      <w:sz w:val="18"/>
                      <w:szCs w:val="18"/>
                      <w:lang w:val="zh-CN"/>
                    </w:rPr>
                    <w:t>项目选址位于</w:t>
                  </w:r>
                  <w:r>
                    <w:rPr>
                      <w:rFonts w:hint="eastAsia" w:cs="Times New Roman"/>
                      <w:sz w:val="18"/>
                      <w:szCs w:val="18"/>
                      <w:lang w:val="zh-CN"/>
                    </w:rPr>
                    <w:t>山东</w:t>
                  </w:r>
                  <w:r>
                    <w:rPr>
                      <w:rFonts w:hint="default" w:ascii="Times New Roman" w:hAnsi="Times New Roman" w:cs="Times New Roman"/>
                      <w:sz w:val="18"/>
                      <w:szCs w:val="18"/>
                      <w:lang w:val="zh-CN"/>
                    </w:rPr>
                    <w:t>淄川经济开发区内，属于</w:t>
                  </w:r>
                  <w:r>
                    <w:rPr>
                      <w:rFonts w:hint="eastAsia" w:cs="Times New Roman"/>
                      <w:sz w:val="18"/>
                      <w:szCs w:val="18"/>
                      <w:lang w:val="en-US" w:eastAsia="zh-CN"/>
                    </w:rPr>
                    <w:t>通用设备制造业、塑料制品业</w:t>
                  </w:r>
                  <w:r>
                    <w:rPr>
                      <w:rFonts w:hint="default" w:ascii="Times New Roman" w:hAnsi="Times New Roman" w:cs="Times New Roman"/>
                      <w:sz w:val="18"/>
                      <w:szCs w:val="18"/>
                      <w:lang w:val="zh-CN"/>
                    </w:rPr>
                    <w:t>，</w:t>
                  </w:r>
                  <w:r>
                    <w:rPr>
                      <w:rFonts w:hint="eastAsia" w:cs="Times New Roman"/>
                      <w:sz w:val="18"/>
                      <w:szCs w:val="18"/>
                      <w:lang w:val="zh-CN"/>
                    </w:rPr>
                    <w:t>不属于园区禁止进入行业，</w:t>
                  </w:r>
                  <w:r>
                    <w:rPr>
                      <w:rFonts w:hint="eastAsia" w:ascii="Times New Roman" w:hAnsi="Times New Roman" w:cs="Times New Roman"/>
                      <w:sz w:val="18"/>
                      <w:szCs w:val="18"/>
                      <w:lang w:val="zh-CN"/>
                    </w:rPr>
                    <w:t>符合园区规划。</w:t>
                  </w:r>
                </w:p>
                <w:p w14:paraId="06E8514C">
                  <w:pPr>
                    <w:rPr>
                      <w:rFonts w:hint="eastAsia" w:ascii="Times New Roman" w:hAnsi="Times New Roman" w:cs="Times New Roman"/>
                      <w:sz w:val="18"/>
                      <w:szCs w:val="18"/>
                      <w:lang w:val="zh-CN"/>
                    </w:rPr>
                  </w:pPr>
                  <w:r>
                    <w:rPr>
                      <w:rFonts w:hint="eastAsia" w:cs="Times New Roman"/>
                      <w:sz w:val="18"/>
                      <w:szCs w:val="18"/>
                      <w:highlight w:val="none"/>
                      <w:lang w:val="en-US" w:eastAsia="zh-CN"/>
                    </w:rPr>
                    <w:t>3.</w:t>
                  </w:r>
                  <w:r>
                    <w:rPr>
                      <w:rFonts w:hint="eastAsia" w:cs="Times New Roman"/>
                      <w:sz w:val="18"/>
                      <w:szCs w:val="18"/>
                      <w:lang w:val="zh-CN"/>
                    </w:rPr>
                    <w:t>本项目废气均达标排放，</w:t>
                  </w:r>
                  <w:r>
                    <w:rPr>
                      <w:rFonts w:hint="default"/>
                      <w:sz w:val="18"/>
                      <w:szCs w:val="18"/>
                      <w:lang w:val="zh-CN"/>
                    </w:rPr>
                    <w:t>距离</w:t>
                  </w:r>
                  <w:r>
                    <w:rPr>
                      <w:rFonts w:hint="eastAsia"/>
                      <w:sz w:val="18"/>
                      <w:szCs w:val="18"/>
                      <w:lang w:val="zh-CN"/>
                    </w:rPr>
                    <w:t>本项目</w:t>
                  </w:r>
                  <w:r>
                    <w:rPr>
                      <w:rFonts w:hint="default"/>
                      <w:sz w:val="18"/>
                      <w:szCs w:val="18"/>
                      <w:lang w:val="zh-CN"/>
                    </w:rPr>
                    <w:t>最近</w:t>
                  </w:r>
                  <w:r>
                    <w:rPr>
                      <w:rFonts w:hint="eastAsia"/>
                      <w:sz w:val="18"/>
                      <w:szCs w:val="18"/>
                      <w:lang w:val="zh-CN"/>
                    </w:rPr>
                    <w:t>的</w:t>
                  </w:r>
                  <w:r>
                    <w:rPr>
                      <w:rFonts w:hint="default"/>
                      <w:sz w:val="18"/>
                      <w:szCs w:val="18"/>
                      <w:lang w:val="zh-CN"/>
                    </w:rPr>
                    <w:t>敏感目标</w:t>
                  </w:r>
                  <w:r>
                    <w:rPr>
                      <w:rFonts w:hint="eastAsia"/>
                      <w:sz w:val="18"/>
                      <w:szCs w:val="18"/>
                      <w:lang w:val="zh-CN"/>
                    </w:rPr>
                    <w:t>为厂界</w:t>
                  </w:r>
                  <w:r>
                    <w:rPr>
                      <w:rFonts w:hint="eastAsia"/>
                      <w:sz w:val="18"/>
                      <w:szCs w:val="18"/>
                      <w:lang w:val="en-US" w:eastAsia="zh-CN"/>
                    </w:rPr>
                    <w:t>东北侧98m的井家河村。</w:t>
                  </w:r>
                </w:p>
                <w:p w14:paraId="0FDD52B6">
                  <w:pPr>
                    <w:pStyle w:val="2"/>
                    <w:keepNext w:val="0"/>
                    <w:keepLines w:val="0"/>
                    <w:pageBreakBefore w:val="0"/>
                    <w:widowControl w:val="0"/>
                    <w:kinsoku/>
                    <w:wordWrap/>
                    <w:overflowPunct/>
                    <w:topLinePunct w:val="0"/>
                    <w:autoSpaceDE/>
                    <w:autoSpaceDN/>
                    <w:bidi w:val="0"/>
                    <w:adjustRightInd/>
                    <w:snapToGrid/>
                    <w:spacing w:after="0"/>
                    <w:ind w:left="0" w:leftChars="0" w:firstLine="0" w:firstLineChars="0"/>
                    <w:textAlignment w:val="auto"/>
                    <w:rPr>
                      <w:rFonts w:hint="default" w:eastAsia="宋体"/>
                      <w:lang w:val="en-US" w:eastAsia="zh-CN"/>
                    </w:rPr>
                  </w:pPr>
                  <w:r>
                    <w:rPr>
                      <w:rFonts w:hint="eastAsia" w:ascii="Times New Roman" w:hAnsi="Times New Roman" w:cs="Times New Roman"/>
                      <w:sz w:val="18"/>
                      <w:szCs w:val="18"/>
                      <w:lang w:val="en-US" w:eastAsia="zh-CN"/>
                    </w:rPr>
                    <w:t>4.本项目不属于危险废物利用、处置项目。</w:t>
                  </w:r>
                </w:p>
                <w:p w14:paraId="64FC6E72">
                  <w:pPr>
                    <w:rPr>
                      <w:rFonts w:hint="default" w:cs="Times New Roman"/>
                      <w:sz w:val="18"/>
                      <w:szCs w:val="18"/>
                      <w:highlight w:val="none"/>
                      <w:lang w:val="en-US" w:eastAsia="zh-CN"/>
                    </w:rPr>
                  </w:pPr>
                  <w:r>
                    <w:rPr>
                      <w:rFonts w:hint="eastAsia" w:cs="Times New Roman"/>
                      <w:sz w:val="18"/>
                      <w:szCs w:val="18"/>
                      <w:highlight w:val="none"/>
                      <w:lang w:val="en-US" w:eastAsia="zh-CN"/>
                    </w:rPr>
                    <w:t>5.本项目不属于“两高”项目。</w:t>
                  </w:r>
                </w:p>
                <w:p w14:paraId="12696F01">
                  <w:pPr>
                    <w:rPr>
                      <w:rFonts w:hint="default" w:cs="Times New Roman"/>
                      <w:sz w:val="18"/>
                      <w:szCs w:val="18"/>
                      <w:highlight w:val="none"/>
                      <w:lang w:val="en-US" w:eastAsia="zh-CN"/>
                    </w:rPr>
                  </w:pPr>
                  <w:r>
                    <w:rPr>
                      <w:rFonts w:hint="eastAsia" w:cs="Times New Roman"/>
                      <w:sz w:val="18"/>
                      <w:szCs w:val="18"/>
                      <w:highlight w:val="none"/>
                      <w:lang w:val="en-US" w:eastAsia="zh-CN"/>
                    </w:rPr>
                    <w:t>6.本项目不涉及燃煤。</w:t>
                  </w:r>
                </w:p>
                <w:p w14:paraId="28A5720E">
                  <w:pPr>
                    <w:rPr>
                      <w:rFonts w:hint="default" w:ascii="Times New Roman" w:hAnsi="Times New Roman" w:cs="Times New Roman"/>
                      <w:sz w:val="18"/>
                      <w:szCs w:val="18"/>
                      <w:lang w:val="zh-CN"/>
                    </w:rPr>
                  </w:pPr>
                  <w:r>
                    <w:rPr>
                      <w:rFonts w:hint="eastAsia" w:ascii="Times New Roman" w:hAnsi="Times New Roman" w:cs="Times New Roman"/>
                      <w:sz w:val="18"/>
                      <w:szCs w:val="18"/>
                      <w:highlight w:val="none"/>
                      <w:lang w:val="en-US" w:eastAsia="zh-CN"/>
                    </w:rPr>
                    <w:t>7.本项目</w:t>
                  </w:r>
                  <w:r>
                    <w:rPr>
                      <w:rFonts w:hint="eastAsia" w:cs="Times New Roman"/>
                      <w:sz w:val="18"/>
                      <w:szCs w:val="18"/>
                      <w:highlight w:val="none"/>
                      <w:lang w:val="en-US" w:eastAsia="zh-CN"/>
                    </w:rPr>
                    <w:t>属于新建项目</w:t>
                  </w:r>
                  <w:r>
                    <w:rPr>
                      <w:rFonts w:hint="eastAsia" w:ascii="Times New Roman" w:hAnsi="Times New Roman" w:eastAsia="宋体" w:cs="Times New Roman"/>
                      <w:i w:val="0"/>
                      <w:color w:val="000000"/>
                      <w:kern w:val="0"/>
                      <w:sz w:val="18"/>
                      <w:szCs w:val="18"/>
                      <w:u w:val="none"/>
                      <w:lang w:val="en-US" w:eastAsia="zh-CN" w:bidi="ar"/>
                    </w:rPr>
                    <w:t>。</w:t>
                  </w:r>
                </w:p>
              </w:tc>
              <w:tc>
                <w:tcPr>
                  <w:tcW w:w="355" w:type="pct"/>
                  <w:tcBorders>
                    <w:top w:val="single" w:color="auto" w:sz="4" w:space="0"/>
                    <w:left w:val="single" w:color="auto" w:sz="4" w:space="0"/>
                    <w:right w:val="single" w:color="auto" w:sz="4" w:space="0"/>
                  </w:tcBorders>
                  <w:vAlign w:val="center"/>
                </w:tcPr>
                <w:p w14:paraId="420496BB">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51F1C4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233" w:type="pct"/>
                  <w:vMerge w:val="continue"/>
                  <w:tcBorders>
                    <w:top w:val="single" w:color="auto" w:sz="4" w:space="0"/>
                    <w:left w:val="single" w:color="auto" w:sz="4" w:space="0"/>
                    <w:bottom w:val="single" w:color="auto" w:sz="4" w:space="0"/>
                    <w:right w:val="single" w:color="auto" w:sz="4" w:space="0"/>
                  </w:tcBorders>
                </w:tcPr>
                <w:p w14:paraId="5E994BDD">
                  <w:pPr>
                    <w:jc w:val="center"/>
                    <w:rPr>
                      <w:rFonts w:hint="default" w:ascii="Times New Roman" w:hAnsi="Times New Roman" w:cs="Times New Roman"/>
                      <w:sz w:val="18"/>
                      <w:szCs w:val="18"/>
                      <w:lang w:val="zh-CN"/>
                    </w:rPr>
                  </w:pPr>
                </w:p>
              </w:tc>
              <w:tc>
                <w:tcPr>
                  <w:tcW w:w="249" w:type="pct"/>
                  <w:tcBorders>
                    <w:top w:val="single" w:color="auto" w:sz="4" w:space="0"/>
                    <w:left w:val="single" w:color="auto" w:sz="4" w:space="0"/>
                    <w:bottom w:val="single" w:color="auto" w:sz="4" w:space="0"/>
                    <w:right w:val="single" w:color="auto" w:sz="4" w:space="0"/>
                  </w:tcBorders>
                  <w:vAlign w:val="center"/>
                </w:tcPr>
                <w:p w14:paraId="40A2E7CA">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污染物排放管控</w:t>
                  </w:r>
                </w:p>
              </w:tc>
              <w:tc>
                <w:tcPr>
                  <w:tcW w:w="3704" w:type="dxa"/>
                  <w:tcBorders>
                    <w:top w:val="single" w:color="auto" w:sz="4" w:space="0"/>
                    <w:left w:val="single" w:color="auto" w:sz="4" w:space="0"/>
                    <w:right w:val="single" w:color="auto" w:sz="4" w:space="0"/>
                  </w:tcBorders>
                  <w:vAlign w:val="center"/>
                </w:tcPr>
                <w:p w14:paraId="07E0C5C5">
                  <w:pPr>
                    <w:rPr>
                      <w:rFonts w:hint="default" w:ascii="Times New Roman" w:hAnsi="Times New Roman" w:cs="Times New Roman"/>
                      <w:color w:val="auto"/>
                      <w:kern w:val="0"/>
                      <w:sz w:val="18"/>
                      <w:szCs w:val="18"/>
                    </w:rPr>
                  </w:pPr>
                  <w:r>
                    <w:rPr>
                      <w:rStyle w:val="1399"/>
                      <w:rFonts w:hint="default" w:ascii="Times New Roman" w:hAnsi="Times New Roman" w:cs="Times New Roman" w:eastAsiaTheme="majorEastAsia"/>
                      <w:color w:val="auto"/>
                      <w:sz w:val="18"/>
                      <w:szCs w:val="18"/>
                      <w:lang w:val="en-US" w:eastAsia="zh-CN" w:bidi="ar"/>
                    </w:rPr>
                    <w:t>1.</w:t>
                  </w:r>
                  <w:r>
                    <w:rPr>
                      <w:rStyle w:val="1400"/>
                      <w:rFonts w:hint="default" w:ascii="Times New Roman" w:hAnsi="Times New Roman" w:cs="Times New Roman" w:eastAsiaTheme="majorEastAsia"/>
                      <w:color w:val="auto"/>
                      <w:sz w:val="18"/>
                      <w:szCs w:val="18"/>
                      <w:lang w:val="en-US" w:eastAsia="zh-CN" w:bidi="ar"/>
                    </w:rPr>
                    <w:t>铸造类等</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两高</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项目企业应当积极实施节能改造提升，提高能源使用效率，推进节能减排。</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2.</w:t>
                  </w:r>
                  <w:r>
                    <w:rPr>
                      <w:rStyle w:val="1400"/>
                      <w:rFonts w:hint="default" w:ascii="Times New Roman" w:hAnsi="Times New Roman" w:cs="Times New Roman" w:eastAsiaTheme="majorEastAsia"/>
                      <w:color w:val="auto"/>
                      <w:sz w:val="18"/>
                      <w:szCs w:val="18"/>
                      <w:lang w:val="en-US" w:eastAsia="zh-CN" w:bidi="ar"/>
                    </w:rPr>
                    <w:t>落实主要污染物总量替代要求，按照山东省生态环境厅《关于印发山东省建设项目主要大气污染物排放总量替代指标核算及管理办法的通知》，实施动态管控替代。</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3.</w:t>
                  </w:r>
                  <w:r>
                    <w:rPr>
                      <w:rStyle w:val="1400"/>
                      <w:rFonts w:hint="default" w:ascii="Times New Roman" w:hAnsi="Times New Roman" w:cs="Times New Roman" w:eastAsiaTheme="majorEastAsia"/>
                      <w:color w:val="auto"/>
                      <w:sz w:val="18"/>
                      <w:szCs w:val="18"/>
                      <w:lang w:val="en-US" w:eastAsia="zh-CN" w:bidi="ar"/>
                    </w:rPr>
                    <w:t>废水应当按照要求进行预处理，达到行业排放标准或是综合排放标准后方可排放。</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4.</w:t>
                  </w:r>
                  <w:r>
                    <w:rPr>
                      <w:rStyle w:val="1400"/>
                      <w:rFonts w:hint="default" w:ascii="Times New Roman" w:hAnsi="Times New Roman" w:cs="Times New Roman" w:eastAsiaTheme="majorEastAsia"/>
                      <w:color w:val="auto"/>
                      <w:sz w:val="18"/>
                      <w:szCs w:val="18"/>
                      <w:lang w:val="en-US" w:eastAsia="zh-CN" w:bidi="ar"/>
                    </w:rPr>
                    <w:t>禁止工业废水和生活污水未经处理直排环境；原则上除工业污水集中处理设施、城镇污水处理厂外不得新建入河排污口。</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5.</w:t>
                  </w:r>
                  <w:r>
                    <w:rPr>
                      <w:rStyle w:val="1400"/>
                      <w:rFonts w:hint="default" w:ascii="Times New Roman" w:hAnsi="Times New Roman" w:cs="Times New Roman" w:eastAsiaTheme="majorEastAsia"/>
                      <w:color w:val="auto"/>
                      <w:sz w:val="18"/>
                      <w:szCs w:val="18"/>
                      <w:lang w:val="en-US" w:eastAsia="zh-CN" w:bidi="ar"/>
                    </w:rPr>
                    <w:t>工业园区污水集中处理设施应当具备相应的处理能力并正常运行，保证工业园区的外排废水稳定达标，不能稳定达标的，工业园区不得建设新增水污染物排放的项目（污水集中处理设施除外）。</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6.</w:t>
                  </w:r>
                  <w:r>
                    <w:rPr>
                      <w:rStyle w:val="1400"/>
                      <w:rFonts w:hint="default" w:ascii="Times New Roman" w:hAnsi="Times New Roman" w:cs="Times New Roman" w:eastAsiaTheme="majorEastAsia"/>
                      <w:color w:val="auto"/>
                      <w:sz w:val="18"/>
                      <w:szCs w:val="18"/>
                      <w:lang w:val="en-US" w:eastAsia="zh-CN" w:bidi="ar"/>
                    </w:rPr>
                    <w:t>包装印刷、表面涂装</w:t>
                  </w:r>
                  <w:r>
                    <w:rPr>
                      <w:rStyle w:val="1400"/>
                      <w:rFonts w:hint="eastAsia" w:ascii="Times New Roman" w:hAnsi="Times New Roman" w:cs="Times New Roman" w:eastAsiaTheme="majorEastAsia"/>
                      <w:color w:val="auto"/>
                      <w:sz w:val="18"/>
                      <w:szCs w:val="18"/>
                      <w:lang w:val="en-US" w:eastAsia="zh-CN" w:bidi="ar"/>
                    </w:rPr>
                    <w:t>等涉VOCs排放的行业，严格按照淄博市行业环境管控要求，实施源头替代，建立健全治理设施，确保污染物稳定达标排放，做到持证排污。</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eastAsia" w:ascii="Times New Roman" w:hAnsi="Times New Roman" w:cs="Times New Roman" w:eastAsiaTheme="majorEastAsia"/>
                      <w:color w:val="auto"/>
                      <w:sz w:val="18"/>
                      <w:szCs w:val="18"/>
                      <w:lang w:val="en-US" w:eastAsia="zh-CN" w:bidi="ar"/>
                    </w:rPr>
                    <w:t>7</w:t>
                  </w:r>
                  <w:r>
                    <w:rPr>
                      <w:rStyle w:val="1399"/>
                      <w:rFonts w:hint="default" w:ascii="Times New Roman" w:hAnsi="Times New Roman" w:cs="Times New Roman" w:eastAsiaTheme="majorEastAsia"/>
                      <w:color w:val="auto"/>
                      <w:sz w:val="18"/>
                      <w:szCs w:val="18"/>
                      <w:lang w:val="en-US" w:eastAsia="zh-CN" w:bidi="ar"/>
                    </w:rPr>
                    <w:t>.</w:t>
                  </w:r>
                  <w:r>
                    <w:rPr>
                      <w:rStyle w:val="1400"/>
                      <w:rFonts w:hint="default" w:ascii="Times New Roman" w:hAnsi="Times New Roman" w:cs="Times New Roman" w:eastAsiaTheme="majorEastAsia"/>
                      <w:color w:val="auto"/>
                      <w:sz w:val="18"/>
                      <w:szCs w:val="18"/>
                      <w:lang w:val="en-US" w:eastAsia="zh-CN" w:bidi="ar"/>
                    </w:rPr>
                    <w:t>进一步加强对建设工程施工、建筑物拆除、交通运输、道路保洁、物料运输与堆存、采石取土、养护绿化等活动的扬尘管理。</w:t>
                  </w:r>
                </w:p>
              </w:tc>
              <w:tc>
                <w:tcPr>
                  <w:tcW w:w="1889" w:type="pct"/>
                  <w:tcBorders>
                    <w:top w:val="single" w:color="auto" w:sz="4" w:space="0"/>
                    <w:left w:val="single" w:color="auto" w:sz="4" w:space="0"/>
                    <w:right w:val="single" w:color="auto" w:sz="4" w:space="0"/>
                  </w:tcBorders>
                  <w:vAlign w:val="center"/>
                </w:tcPr>
                <w:p w14:paraId="622522BE">
                  <w:pPr>
                    <w:rPr>
                      <w:rFonts w:hint="eastAsia" w:cs="Times New Roman"/>
                      <w:sz w:val="18"/>
                      <w:szCs w:val="18"/>
                      <w:lang w:val="en-US" w:eastAsia="zh-CN"/>
                    </w:rPr>
                  </w:pPr>
                  <w:r>
                    <w:rPr>
                      <w:rFonts w:hint="eastAsia" w:cs="Times New Roman"/>
                      <w:sz w:val="18"/>
                      <w:szCs w:val="18"/>
                      <w:lang w:val="en-US" w:eastAsia="zh-CN"/>
                    </w:rPr>
                    <w:t>1.</w:t>
                  </w:r>
                  <w:r>
                    <w:rPr>
                      <w:rFonts w:hint="default" w:ascii="Times New Roman" w:hAnsi="Times New Roman" w:cs="Times New Roman"/>
                      <w:sz w:val="18"/>
                      <w:szCs w:val="18"/>
                      <w:lang w:val="zh-CN"/>
                    </w:rPr>
                    <w:t>项目属于</w:t>
                  </w:r>
                  <w:r>
                    <w:rPr>
                      <w:rFonts w:hint="eastAsia" w:cs="Times New Roman"/>
                      <w:sz w:val="18"/>
                      <w:szCs w:val="18"/>
                      <w:lang w:val="en-US" w:eastAsia="zh-CN"/>
                    </w:rPr>
                    <w:t>通用设备制品</w:t>
                  </w:r>
                  <w:r>
                    <w:rPr>
                      <w:rFonts w:hint="eastAsia" w:ascii="Times New Roman" w:hAnsi="Times New Roman" w:eastAsia="宋体" w:cs="Times New Roman"/>
                      <w:sz w:val="18"/>
                      <w:szCs w:val="18"/>
                      <w:lang w:val="en-US" w:eastAsia="zh-CN"/>
                    </w:rPr>
                    <w:t>业</w:t>
                  </w:r>
                  <w:r>
                    <w:rPr>
                      <w:rFonts w:hint="default" w:ascii="Times New Roman" w:hAnsi="Times New Roman" w:cs="Times New Roman"/>
                      <w:sz w:val="18"/>
                      <w:szCs w:val="18"/>
                      <w:lang w:val="zh-CN"/>
                    </w:rPr>
                    <w:t>根据</w:t>
                  </w:r>
                  <w:r>
                    <w:rPr>
                      <w:rFonts w:hint="default" w:ascii="Times New Roman" w:hAnsi="Times New Roman" w:cs="Times New Roman"/>
                      <w:bCs/>
                      <w:sz w:val="18"/>
                      <w:szCs w:val="18"/>
                    </w:rPr>
                    <w:t>《山东省“两高”项目管理目录（202</w:t>
                  </w:r>
                  <w:r>
                    <w:rPr>
                      <w:rFonts w:hint="eastAsia" w:cs="Times New Roman"/>
                      <w:bCs/>
                      <w:sz w:val="18"/>
                      <w:szCs w:val="18"/>
                      <w:lang w:val="en-US" w:eastAsia="zh-CN"/>
                    </w:rPr>
                    <w:t>3</w:t>
                  </w:r>
                  <w:r>
                    <w:rPr>
                      <w:rFonts w:hint="default" w:ascii="Times New Roman" w:hAnsi="Times New Roman" w:cs="Times New Roman"/>
                      <w:bCs/>
                      <w:sz w:val="18"/>
                      <w:szCs w:val="18"/>
                    </w:rPr>
                    <w:t>年版）》</w:t>
                  </w:r>
                  <w:r>
                    <w:rPr>
                      <w:rFonts w:hint="default" w:ascii="Times New Roman" w:hAnsi="Times New Roman" w:cs="Times New Roman"/>
                      <w:sz w:val="18"/>
                      <w:szCs w:val="18"/>
                      <w:lang w:val="zh-CN"/>
                    </w:rPr>
                    <w:t>，本项目不属于</w:t>
                  </w:r>
                  <w:r>
                    <w:rPr>
                      <w:rFonts w:hint="default" w:ascii="Times New Roman" w:hAnsi="Times New Roman" w:cs="Times New Roman"/>
                      <w:kern w:val="0"/>
                      <w:sz w:val="18"/>
                      <w:szCs w:val="18"/>
                    </w:rPr>
                    <w:t>“两高”项目</w:t>
                  </w:r>
                </w:p>
                <w:p w14:paraId="1854C908">
                  <w:pPr>
                    <w:rPr>
                      <w:rFonts w:hint="default" w:ascii="Times New Roman" w:hAnsi="Times New Roman" w:eastAsia="宋体" w:cs="Times New Roman"/>
                      <w:sz w:val="18"/>
                      <w:szCs w:val="18"/>
                      <w:lang w:val="en-US" w:eastAsia="zh-CN"/>
                    </w:rPr>
                  </w:pPr>
                  <w:r>
                    <w:rPr>
                      <w:rFonts w:hint="eastAsia" w:cs="Times New Roman"/>
                      <w:color w:val="auto"/>
                      <w:sz w:val="18"/>
                      <w:szCs w:val="18"/>
                      <w:lang w:val="en-US" w:eastAsia="zh-CN"/>
                    </w:rPr>
                    <w:t>2.</w:t>
                  </w:r>
                  <w:r>
                    <w:rPr>
                      <w:rFonts w:hint="default" w:ascii="Times New Roman" w:hAnsi="Times New Roman" w:cs="Times New Roman"/>
                      <w:color w:val="auto"/>
                      <w:sz w:val="18"/>
                      <w:szCs w:val="18"/>
                      <w:lang w:val="zh-CN"/>
                    </w:rPr>
                    <w:t>本项目在办理环评手续过程中</w:t>
                  </w:r>
                  <w:r>
                    <w:rPr>
                      <w:rFonts w:hint="eastAsia" w:cs="Times New Roman"/>
                      <w:color w:val="auto"/>
                      <w:sz w:val="18"/>
                      <w:szCs w:val="18"/>
                      <w:lang w:val="zh-CN"/>
                    </w:rPr>
                    <w:t>需</w:t>
                  </w:r>
                  <w:r>
                    <w:rPr>
                      <w:rFonts w:hint="default" w:ascii="Times New Roman" w:hAnsi="Times New Roman" w:cs="Times New Roman"/>
                      <w:color w:val="auto"/>
                      <w:sz w:val="18"/>
                      <w:szCs w:val="18"/>
                      <w:lang w:val="zh-CN"/>
                    </w:rPr>
                    <w:t>申请总量指标</w:t>
                  </w:r>
                  <w:r>
                    <w:rPr>
                      <w:rFonts w:hint="eastAsia" w:cs="Times New Roman"/>
                      <w:color w:val="auto"/>
                      <w:sz w:val="18"/>
                      <w:szCs w:val="18"/>
                      <w:highlight w:val="none"/>
                      <w:lang w:val="zh-CN"/>
                    </w:rPr>
                    <w:t>并进行倍量替代</w:t>
                  </w:r>
                  <w:r>
                    <w:rPr>
                      <w:rFonts w:hint="default" w:ascii="Times New Roman" w:hAnsi="Times New Roman" w:cs="Times New Roman"/>
                      <w:color w:val="auto"/>
                      <w:sz w:val="18"/>
                      <w:szCs w:val="18"/>
                      <w:lang w:val="zh-CN"/>
                    </w:rPr>
                    <w:t>，在竣工验收、开始实质性排污之前须</w:t>
                  </w:r>
                  <w:r>
                    <w:rPr>
                      <w:rFonts w:hint="eastAsia" w:cs="Times New Roman"/>
                      <w:color w:val="auto"/>
                      <w:sz w:val="18"/>
                      <w:szCs w:val="18"/>
                      <w:lang w:val="zh-CN"/>
                    </w:rPr>
                    <w:t>取得</w:t>
                  </w:r>
                  <w:r>
                    <w:rPr>
                      <w:rFonts w:hint="default" w:ascii="Times New Roman" w:hAnsi="Times New Roman" w:cs="Times New Roman"/>
                      <w:color w:val="auto"/>
                      <w:sz w:val="18"/>
                      <w:szCs w:val="18"/>
                      <w:lang w:val="zh-CN"/>
                    </w:rPr>
                    <w:t>排污</w:t>
                  </w:r>
                  <w:r>
                    <w:rPr>
                      <w:rFonts w:hint="eastAsia" w:cs="Times New Roman"/>
                      <w:color w:val="auto"/>
                      <w:sz w:val="18"/>
                      <w:szCs w:val="18"/>
                      <w:lang w:val="zh-CN"/>
                    </w:rPr>
                    <w:t>登记回执。</w:t>
                  </w:r>
                </w:p>
                <w:p w14:paraId="76ED95A6">
                  <w:pPr>
                    <w:rPr>
                      <w:rFonts w:hint="default" w:ascii="Times New Roman" w:hAnsi="Times New Roman" w:cs="Times New Roman"/>
                      <w:sz w:val="18"/>
                      <w:szCs w:val="18"/>
                      <w:highlight w:val="none"/>
                      <w:lang w:val="zh-CN"/>
                    </w:rPr>
                  </w:pPr>
                  <w:r>
                    <w:rPr>
                      <w:rFonts w:hint="eastAsia" w:cs="Times New Roman"/>
                      <w:sz w:val="18"/>
                      <w:szCs w:val="18"/>
                      <w:highlight w:val="none"/>
                      <w:lang w:val="en-US" w:eastAsia="zh-CN"/>
                    </w:rPr>
                    <w:t>3.本项目无生产废水产生，</w:t>
                  </w:r>
                  <w:r>
                    <w:rPr>
                      <w:rFonts w:hint="eastAsia" w:cs="Times New Roman"/>
                      <w:sz w:val="18"/>
                      <w:szCs w:val="18"/>
                      <w:highlight w:val="none"/>
                      <w:lang w:val="zh-CN"/>
                    </w:rPr>
                    <w:t>职工生活污水经化粪池预处理后</w:t>
                  </w:r>
                  <w:r>
                    <w:rPr>
                      <w:rFonts w:hint="eastAsia" w:cs="Times New Roman"/>
                      <w:sz w:val="18"/>
                      <w:szCs w:val="18"/>
                      <w:highlight w:val="none"/>
                      <w:lang w:val="en-US" w:eastAsia="zh-CN"/>
                    </w:rPr>
                    <w:t>通过市政污水管网排入淄博市利民净化水有限公司进一步处理后外排</w:t>
                  </w:r>
                  <w:r>
                    <w:rPr>
                      <w:rFonts w:hint="default" w:ascii="Times New Roman" w:hAnsi="Times New Roman" w:cs="Times New Roman"/>
                      <w:sz w:val="18"/>
                      <w:szCs w:val="18"/>
                      <w:highlight w:val="none"/>
                      <w:lang w:val="zh-CN"/>
                    </w:rPr>
                    <w:t>。</w:t>
                  </w:r>
                </w:p>
                <w:p w14:paraId="4515574A">
                  <w:pPr>
                    <w:rPr>
                      <w:rFonts w:hint="default" w:ascii="Times New Roman" w:hAnsi="Times New Roman" w:cs="Times New Roman"/>
                      <w:sz w:val="18"/>
                      <w:szCs w:val="18"/>
                      <w:highlight w:val="none"/>
                      <w:lang w:val="zh-CN"/>
                    </w:rPr>
                  </w:pPr>
                  <w:r>
                    <w:rPr>
                      <w:rFonts w:hint="eastAsia" w:cs="Times New Roman"/>
                      <w:sz w:val="18"/>
                      <w:szCs w:val="18"/>
                      <w:highlight w:val="none"/>
                      <w:lang w:val="en-US" w:eastAsia="zh-CN"/>
                    </w:rPr>
                    <w:t>4.本项目无生产废水产生，</w:t>
                  </w:r>
                  <w:r>
                    <w:rPr>
                      <w:rFonts w:hint="eastAsia" w:cs="Times New Roman"/>
                      <w:sz w:val="18"/>
                      <w:szCs w:val="18"/>
                      <w:highlight w:val="none"/>
                      <w:lang w:val="zh-CN"/>
                    </w:rPr>
                    <w:t>职工生活污水经化粪池预处理后</w:t>
                  </w:r>
                  <w:r>
                    <w:rPr>
                      <w:rFonts w:hint="eastAsia" w:cs="Times New Roman"/>
                      <w:sz w:val="18"/>
                      <w:szCs w:val="18"/>
                      <w:highlight w:val="none"/>
                      <w:lang w:val="en-US" w:eastAsia="zh-CN"/>
                    </w:rPr>
                    <w:t>通过市政污水管网排入淄博市利民净化水有限公司进一步处理后外排</w:t>
                  </w:r>
                  <w:r>
                    <w:rPr>
                      <w:rFonts w:hint="default" w:ascii="Times New Roman" w:hAnsi="Times New Roman" w:cs="Times New Roman"/>
                      <w:sz w:val="18"/>
                      <w:szCs w:val="18"/>
                      <w:highlight w:val="none"/>
                      <w:lang w:val="zh-CN"/>
                    </w:rPr>
                    <w:t>。</w:t>
                  </w:r>
                </w:p>
                <w:p w14:paraId="2BB201F5">
                  <w:pPr>
                    <w:rPr>
                      <w:rFonts w:hint="eastAsia" w:cs="Times New Roman"/>
                      <w:sz w:val="18"/>
                      <w:szCs w:val="18"/>
                      <w:lang w:val="en-US" w:eastAsia="zh-CN"/>
                    </w:rPr>
                  </w:pPr>
                  <w:r>
                    <w:rPr>
                      <w:rFonts w:hint="eastAsia" w:cs="Times New Roman"/>
                      <w:sz w:val="18"/>
                      <w:szCs w:val="18"/>
                      <w:lang w:val="en-US" w:eastAsia="zh-CN"/>
                    </w:rPr>
                    <w:t>5.</w:t>
                  </w:r>
                  <w:r>
                    <w:rPr>
                      <w:rFonts w:hint="eastAsia" w:cs="Times New Roman"/>
                      <w:sz w:val="18"/>
                      <w:szCs w:val="18"/>
                      <w:highlight w:val="none"/>
                      <w:lang w:val="en-US" w:eastAsia="zh-CN"/>
                    </w:rPr>
                    <w:t>本项目无生产废水产生，</w:t>
                  </w:r>
                  <w:r>
                    <w:rPr>
                      <w:rFonts w:hint="eastAsia" w:cs="Times New Roman"/>
                      <w:sz w:val="18"/>
                      <w:szCs w:val="18"/>
                      <w:highlight w:val="none"/>
                      <w:lang w:val="zh-CN"/>
                    </w:rPr>
                    <w:t>职工生活污水经化粪池预处理后</w:t>
                  </w:r>
                  <w:r>
                    <w:rPr>
                      <w:rFonts w:hint="eastAsia" w:cs="Times New Roman"/>
                      <w:sz w:val="18"/>
                      <w:szCs w:val="18"/>
                      <w:highlight w:val="none"/>
                      <w:lang w:val="en-US" w:eastAsia="zh-CN"/>
                    </w:rPr>
                    <w:t>通过市政污水管网排入淄博市利民净化水有限公司进一步处理后外排</w:t>
                  </w:r>
                  <w:r>
                    <w:rPr>
                      <w:rFonts w:hint="default" w:ascii="Times New Roman" w:hAnsi="Times New Roman" w:cs="Times New Roman"/>
                      <w:sz w:val="18"/>
                      <w:szCs w:val="18"/>
                      <w:highlight w:val="none"/>
                      <w:lang w:val="zh-CN"/>
                    </w:rPr>
                    <w:t>。</w:t>
                  </w:r>
                </w:p>
                <w:p w14:paraId="0C4B15F4">
                  <w:pPr>
                    <w:rPr>
                      <w:rFonts w:hint="default" w:ascii="Times New Roman" w:hAnsi="Times New Roman" w:eastAsia="宋体" w:cs="Times New Roman"/>
                      <w:sz w:val="18"/>
                      <w:szCs w:val="18"/>
                      <w:lang w:val="zh-CN" w:eastAsia="zh-CN"/>
                    </w:rPr>
                  </w:pPr>
                  <w:r>
                    <w:rPr>
                      <w:rFonts w:hint="eastAsia" w:ascii="Times New Roman" w:hAnsi="Times New Roman" w:cs="Times New Roman"/>
                      <w:sz w:val="18"/>
                      <w:szCs w:val="18"/>
                      <w:lang w:val="en-US" w:eastAsia="zh-CN"/>
                    </w:rPr>
                    <w:t>6.</w:t>
                  </w:r>
                  <w:r>
                    <w:rPr>
                      <w:rFonts w:hint="default" w:ascii="Times New Roman" w:hAnsi="Times New Roman" w:cs="Times New Roman"/>
                      <w:sz w:val="18"/>
                      <w:szCs w:val="18"/>
                      <w:lang w:val="zh-CN"/>
                    </w:rPr>
                    <w:t>本项目属于</w:t>
                  </w:r>
                  <w:r>
                    <w:rPr>
                      <w:rFonts w:hint="eastAsia" w:cs="Times New Roman"/>
                      <w:sz w:val="18"/>
                      <w:szCs w:val="18"/>
                      <w:lang w:val="en-US" w:eastAsia="zh-CN"/>
                    </w:rPr>
                    <w:t>通用设备制造业、塑料制品业</w:t>
                  </w:r>
                  <w:r>
                    <w:rPr>
                      <w:rFonts w:hint="default" w:ascii="Times New Roman" w:hAnsi="Times New Roman" w:cs="Times New Roman"/>
                      <w:sz w:val="18"/>
                      <w:szCs w:val="18"/>
                      <w:lang w:val="zh-CN"/>
                    </w:rPr>
                    <w:t>，</w:t>
                  </w:r>
                  <w:r>
                    <w:rPr>
                      <w:rFonts w:hint="default" w:ascii="Times New Roman" w:hAnsi="Times New Roman" w:cs="Times New Roman"/>
                      <w:sz w:val="18"/>
                      <w:szCs w:val="18"/>
                      <w:highlight w:val="none"/>
                      <w:lang w:val="zh-CN"/>
                    </w:rPr>
                    <w:t>污染物均采取可行治理设施，可满足</w:t>
                  </w:r>
                  <w:r>
                    <w:rPr>
                      <w:rFonts w:hint="default" w:ascii="Times New Roman" w:hAnsi="Times New Roman" w:cs="Times New Roman"/>
                      <w:kern w:val="0"/>
                      <w:sz w:val="18"/>
                      <w:szCs w:val="18"/>
                      <w:highlight w:val="none"/>
                    </w:rPr>
                    <w:t>污染物稳定达标排放</w:t>
                  </w:r>
                  <w:r>
                    <w:rPr>
                      <w:rFonts w:hint="eastAsia" w:cs="Times New Roman"/>
                      <w:kern w:val="0"/>
                      <w:sz w:val="18"/>
                      <w:szCs w:val="18"/>
                      <w:highlight w:val="none"/>
                      <w:lang w:eastAsia="zh-CN"/>
                    </w:rPr>
                    <w:t>要求</w:t>
                  </w:r>
                  <w:r>
                    <w:rPr>
                      <w:rFonts w:hint="default" w:ascii="Times New Roman" w:hAnsi="Times New Roman" w:cs="Times New Roman"/>
                      <w:kern w:val="0"/>
                      <w:sz w:val="18"/>
                      <w:szCs w:val="18"/>
                      <w:highlight w:val="none"/>
                      <w:lang w:eastAsia="zh-CN"/>
                    </w:rPr>
                    <w:t>，做到</w:t>
                  </w:r>
                  <w:r>
                    <w:rPr>
                      <w:rFonts w:hint="default" w:ascii="Times New Roman" w:hAnsi="Times New Roman" w:cs="Times New Roman"/>
                      <w:kern w:val="0"/>
                      <w:sz w:val="18"/>
                      <w:szCs w:val="18"/>
                      <w:highlight w:val="none"/>
                    </w:rPr>
                    <w:t>持证排污</w:t>
                  </w:r>
                  <w:r>
                    <w:rPr>
                      <w:rFonts w:hint="default" w:ascii="Times New Roman" w:hAnsi="Times New Roman" w:cs="Times New Roman"/>
                      <w:kern w:val="0"/>
                      <w:sz w:val="18"/>
                      <w:szCs w:val="18"/>
                      <w:highlight w:val="none"/>
                      <w:lang w:eastAsia="zh-CN"/>
                    </w:rPr>
                    <w:t>。</w:t>
                  </w:r>
                </w:p>
                <w:p w14:paraId="6A8A2B8A">
                  <w:pPr>
                    <w:rPr>
                      <w:rFonts w:hint="default" w:ascii="Times New Roman" w:hAnsi="Times New Roman" w:cs="Times New Roman"/>
                      <w:color w:val="auto"/>
                      <w:sz w:val="18"/>
                      <w:szCs w:val="18"/>
                      <w:lang w:val="zh-CN"/>
                    </w:rPr>
                  </w:pPr>
                  <w:r>
                    <w:rPr>
                      <w:rFonts w:hint="eastAsia" w:cs="Times New Roman"/>
                      <w:sz w:val="18"/>
                      <w:szCs w:val="18"/>
                      <w:lang w:val="en-US" w:eastAsia="zh-CN"/>
                    </w:rPr>
                    <w:t>7.</w:t>
                  </w:r>
                  <w:r>
                    <w:rPr>
                      <w:rFonts w:hint="default" w:ascii="Times New Roman" w:hAnsi="Times New Roman" w:cs="Times New Roman"/>
                      <w:sz w:val="18"/>
                      <w:szCs w:val="18"/>
                      <w:lang w:val="zh-CN"/>
                    </w:rPr>
                    <w:t>本项目施工过程严格落实扬尘防治、现场保洁措施</w:t>
                  </w:r>
                  <w:r>
                    <w:rPr>
                      <w:rFonts w:hint="eastAsia" w:cs="Times New Roman"/>
                      <w:sz w:val="18"/>
                      <w:szCs w:val="18"/>
                      <w:lang w:val="zh-CN"/>
                    </w:rPr>
                    <w:t>，加强扬尘管理</w:t>
                  </w:r>
                  <w:r>
                    <w:rPr>
                      <w:rFonts w:hint="eastAsia" w:ascii="Times New Roman" w:hAnsi="Times New Roman" w:cs="Times New Roman"/>
                      <w:sz w:val="18"/>
                      <w:szCs w:val="18"/>
                      <w:lang w:val="zh-CN"/>
                    </w:rPr>
                    <w:t>。</w:t>
                  </w:r>
                </w:p>
              </w:tc>
              <w:tc>
                <w:tcPr>
                  <w:tcW w:w="355" w:type="pct"/>
                  <w:tcBorders>
                    <w:top w:val="single" w:color="auto" w:sz="4" w:space="0"/>
                    <w:left w:val="single" w:color="auto" w:sz="4" w:space="0"/>
                    <w:bottom w:val="single" w:color="auto" w:sz="4" w:space="0"/>
                    <w:right w:val="single" w:color="auto" w:sz="4" w:space="0"/>
                  </w:tcBorders>
                  <w:vAlign w:val="center"/>
                </w:tcPr>
                <w:p w14:paraId="61C0F3AA">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38E93D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4108" w:hRule="atLeast"/>
                <w:jc w:val="center"/>
              </w:trPr>
              <w:tc>
                <w:tcPr>
                  <w:tcW w:w="233" w:type="pct"/>
                  <w:vMerge w:val="continue"/>
                  <w:tcBorders>
                    <w:top w:val="single" w:color="auto" w:sz="4" w:space="0"/>
                    <w:left w:val="single" w:color="auto" w:sz="4" w:space="0"/>
                    <w:bottom w:val="single" w:color="auto" w:sz="4" w:space="0"/>
                    <w:right w:val="single" w:color="auto" w:sz="4" w:space="0"/>
                  </w:tcBorders>
                </w:tcPr>
                <w:p w14:paraId="6D7B3FFF">
                  <w:pPr>
                    <w:jc w:val="center"/>
                    <w:rPr>
                      <w:rFonts w:hint="default" w:ascii="Times New Roman" w:hAnsi="Times New Roman" w:cs="Times New Roman"/>
                      <w:sz w:val="18"/>
                      <w:szCs w:val="18"/>
                      <w:lang w:val="zh-CN"/>
                    </w:rPr>
                  </w:pPr>
                </w:p>
              </w:tc>
              <w:tc>
                <w:tcPr>
                  <w:tcW w:w="249" w:type="pct"/>
                  <w:tcBorders>
                    <w:top w:val="single" w:color="auto" w:sz="4" w:space="0"/>
                    <w:left w:val="single" w:color="auto" w:sz="4" w:space="0"/>
                    <w:bottom w:val="single" w:color="auto" w:sz="4" w:space="0"/>
                    <w:right w:val="single" w:color="auto" w:sz="4" w:space="0"/>
                  </w:tcBorders>
                  <w:vAlign w:val="center"/>
                </w:tcPr>
                <w:p w14:paraId="30E693F7">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环境风险防控</w:t>
                  </w:r>
                </w:p>
              </w:tc>
              <w:tc>
                <w:tcPr>
                  <w:tcW w:w="3704" w:type="dxa"/>
                  <w:tcBorders>
                    <w:top w:val="single" w:color="auto" w:sz="4" w:space="0"/>
                    <w:left w:val="single" w:color="auto" w:sz="4" w:space="0"/>
                    <w:right w:val="single" w:color="auto" w:sz="4" w:space="0"/>
                  </w:tcBorders>
                  <w:vAlign w:val="center"/>
                </w:tcPr>
                <w:p w14:paraId="0564AD0F">
                  <w:pPr>
                    <w:rPr>
                      <w:rFonts w:hint="default" w:ascii="Times New Roman" w:hAnsi="Times New Roman" w:cs="Times New Roman"/>
                      <w:sz w:val="18"/>
                      <w:szCs w:val="18"/>
                      <w:lang w:val="zh-CN"/>
                    </w:rPr>
                  </w:pPr>
                  <w:r>
                    <w:rPr>
                      <w:rStyle w:val="1399"/>
                      <w:rFonts w:hint="default" w:ascii="Times New Roman" w:hAnsi="Times New Roman" w:cs="Times New Roman" w:eastAsiaTheme="majorEastAsia"/>
                      <w:color w:val="auto"/>
                      <w:sz w:val="18"/>
                      <w:szCs w:val="18"/>
                      <w:lang w:val="en-US" w:eastAsia="zh-CN" w:bidi="ar"/>
                    </w:rPr>
                    <w:t>1.</w:t>
                  </w:r>
                  <w:r>
                    <w:rPr>
                      <w:rStyle w:val="1400"/>
                      <w:rFonts w:hint="default" w:ascii="Times New Roman" w:hAnsi="Times New Roman" w:cs="Times New Roman" w:eastAsiaTheme="majorEastAsia"/>
                      <w:color w:val="auto"/>
                      <w:sz w:val="18"/>
                      <w:szCs w:val="18"/>
                      <w:lang w:val="en-US" w:eastAsia="zh-CN" w:bidi="ar"/>
                    </w:rPr>
                    <w:t>紧邻居住、科教、医院等环境敏感点的工业用地，禁止新建环境风险潜势等级高的建设项目；现有项目严格落实环评及批复环境风险防控要求。</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2.</w:t>
                  </w:r>
                  <w:r>
                    <w:rPr>
                      <w:rStyle w:val="1400"/>
                      <w:rFonts w:hint="default" w:ascii="Times New Roman" w:hAnsi="Times New Roman" w:cs="Times New Roman" w:eastAsiaTheme="majorEastAsia"/>
                      <w:color w:val="auto"/>
                      <w:sz w:val="18"/>
                      <w:szCs w:val="18"/>
                      <w:lang w:val="en-US" w:eastAsia="zh-CN" w:bidi="ar"/>
                    </w:rPr>
                    <w:t>重点企业应采取防腐防渗等有效措施，建立完善三级防护体系，防止因渗漏污染土壤、地下水以及因事故废水直排污染地表水。</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3.</w:t>
                  </w:r>
                  <w:r>
                    <w:rPr>
                      <w:rStyle w:val="1400"/>
                      <w:rFonts w:hint="eastAsia" w:ascii="Times New Roman" w:hAnsi="Times New Roman" w:cs="Times New Roman" w:eastAsiaTheme="majorEastAsia"/>
                      <w:color w:val="auto"/>
                      <w:sz w:val="18"/>
                      <w:szCs w:val="18"/>
                      <w:lang w:val="en-US" w:eastAsia="zh-CN" w:bidi="ar"/>
                    </w:rPr>
                    <w:t>企业事业单位根据法律法规、管理部门要求和《企业事业单位突发环境事件应急预案备案管理办法（试行）》等规定，依法依规编制环境应急预案并定期开展演练。</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4.</w:t>
                  </w:r>
                  <w:r>
                    <w:rPr>
                      <w:rStyle w:val="1400"/>
                      <w:rFonts w:hint="default" w:ascii="Times New Roman" w:hAnsi="Times New Roman" w:cs="Times New Roman" w:eastAsiaTheme="majorEastAsia"/>
                      <w:color w:val="auto"/>
                      <w:sz w:val="18"/>
                      <w:szCs w:val="18"/>
                      <w:lang w:val="en-US" w:eastAsia="zh-CN" w:bidi="ar"/>
                    </w:rPr>
                    <w:t>建立各企业危险废物的贮存、申报、经营许可（无废城市建设豁免的除外）、转移及处置管理制度，并负责对危废相应活动的全程监管和环境安全保障。</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5.</w:t>
                  </w:r>
                  <w:r>
                    <w:rPr>
                      <w:rStyle w:val="1400"/>
                      <w:rFonts w:hint="default" w:ascii="Times New Roman" w:hAnsi="Times New Roman" w:cs="Times New Roman" w:eastAsiaTheme="majorEastAsia"/>
                      <w:color w:val="auto"/>
                      <w:sz w:val="18"/>
                      <w:szCs w:val="18"/>
                      <w:lang w:val="en-US" w:eastAsia="zh-CN" w:bidi="ar"/>
                    </w:rPr>
                    <w:t>落实园区规划环评跟踪监测计划，定期开展检测并公开。</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6.</w:t>
                  </w:r>
                  <w:r>
                    <w:rPr>
                      <w:rStyle w:val="1400"/>
                      <w:rFonts w:hint="default" w:ascii="Times New Roman" w:hAnsi="Times New Roman" w:cs="Times New Roman" w:eastAsiaTheme="majorEastAsia"/>
                      <w:color w:val="auto"/>
                      <w:sz w:val="18"/>
                      <w:szCs w:val="18"/>
                      <w:lang w:val="en-US" w:eastAsia="zh-CN" w:bidi="ar"/>
                    </w:rPr>
                    <w:t>强化管理，防范环境突发事件。</w:t>
                  </w:r>
                </w:p>
              </w:tc>
              <w:tc>
                <w:tcPr>
                  <w:tcW w:w="1889" w:type="pct"/>
                  <w:tcBorders>
                    <w:top w:val="single" w:color="auto" w:sz="4" w:space="0"/>
                    <w:left w:val="single" w:color="auto" w:sz="4" w:space="0"/>
                    <w:right w:val="single" w:color="auto" w:sz="4" w:space="0"/>
                  </w:tcBorders>
                  <w:vAlign w:val="center"/>
                </w:tcPr>
                <w:p w14:paraId="23F632B1">
                  <w:pPr>
                    <w:rPr>
                      <w:rFonts w:hint="eastAsia"/>
                      <w:sz w:val="18"/>
                      <w:szCs w:val="18"/>
                      <w:highlight w:val="none"/>
                      <w:lang w:val="en-US" w:eastAsia="zh-CN"/>
                    </w:rPr>
                  </w:pPr>
                  <w:r>
                    <w:rPr>
                      <w:rFonts w:hint="eastAsia"/>
                      <w:sz w:val="18"/>
                      <w:szCs w:val="18"/>
                      <w:lang w:val="en-US" w:eastAsia="zh-CN"/>
                    </w:rPr>
                    <w:t>1.</w:t>
                  </w:r>
                  <w:r>
                    <w:rPr>
                      <w:rFonts w:hint="default"/>
                      <w:sz w:val="18"/>
                      <w:szCs w:val="18"/>
                      <w:lang w:val="zh-CN"/>
                    </w:rPr>
                    <w:t>本项目</w:t>
                  </w:r>
                  <w:r>
                    <w:rPr>
                      <w:rFonts w:hint="eastAsia"/>
                      <w:sz w:val="18"/>
                      <w:szCs w:val="18"/>
                      <w:lang w:val="zh-CN"/>
                    </w:rPr>
                    <w:t>环境风险潜</w:t>
                  </w:r>
                  <w:r>
                    <w:rPr>
                      <w:rFonts w:hint="eastAsia"/>
                      <w:sz w:val="18"/>
                      <w:szCs w:val="18"/>
                      <w:highlight w:val="none"/>
                      <w:lang w:val="zh-CN"/>
                    </w:rPr>
                    <w:t>势等级为</w:t>
                  </w:r>
                  <w:r>
                    <w:rPr>
                      <w:rFonts w:hint="eastAsia"/>
                      <w:sz w:val="18"/>
                      <w:szCs w:val="18"/>
                      <w:highlight w:val="none"/>
                      <w:lang w:val="en-US" w:eastAsia="zh-CN"/>
                    </w:rPr>
                    <w:t>I</w:t>
                  </w:r>
                  <w:r>
                    <w:rPr>
                      <w:rFonts w:hint="eastAsia"/>
                      <w:sz w:val="18"/>
                      <w:szCs w:val="18"/>
                      <w:highlight w:val="none"/>
                      <w:lang w:val="zh-CN"/>
                    </w:rPr>
                    <w:t>，</w:t>
                  </w:r>
                  <w:r>
                    <w:rPr>
                      <w:rFonts w:hint="default"/>
                      <w:sz w:val="18"/>
                      <w:szCs w:val="18"/>
                      <w:highlight w:val="none"/>
                      <w:lang w:val="zh-CN"/>
                    </w:rPr>
                    <w:t>距离最近敏感目标</w:t>
                  </w:r>
                  <w:r>
                    <w:rPr>
                      <w:rFonts w:hint="eastAsia"/>
                      <w:sz w:val="18"/>
                      <w:szCs w:val="18"/>
                      <w:highlight w:val="none"/>
                      <w:lang w:val="zh-CN"/>
                    </w:rPr>
                    <w:t>为距离厂界东北</w:t>
                  </w:r>
                  <w:r>
                    <w:rPr>
                      <w:rFonts w:hint="eastAsia"/>
                      <w:sz w:val="18"/>
                      <w:szCs w:val="18"/>
                      <w:highlight w:val="none"/>
                      <w:lang w:val="en-US" w:eastAsia="zh-CN"/>
                    </w:rPr>
                    <w:t>侧98m的井家河村</w:t>
                  </w:r>
                  <w:r>
                    <w:rPr>
                      <w:rFonts w:hint="eastAsia"/>
                      <w:sz w:val="18"/>
                      <w:szCs w:val="18"/>
                      <w:highlight w:val="none"/>
                      <w:lang w:eastAsia="zh-CN"/>
                    </w:rPr>
                    <w:t>。</w:t>
                  </w:r>
                </w:p>
                <w:p w14:paraId="74C9B188">
                  <w:pPr>
                    <w:rPr>
                      <w:rFonts w:hint="eastAsia"/>
                      <w:sz w:val="18"/>
                      <w:szCs w:val="18"/>
                      <w:lang w:val="en-US" w:eastAsia="zh-CN"/>
                    </w:rPr>
                  </w:pPr>
                  <w:r>
                    <w:rPr>
                      <w:rFonts w:hint="eastAsia"/>
                      <w:sz w:val="18"/>
                      <w:szCs w:val="18"/>
                      <w:lang w:val="en-US" w:eastAsia="zh-CN"/>
                    </w:rPr>
                    <w:t>2.本项目重点区域采取防腐防渗措施，建立三级防护体系，基本不会对土壤地下水地表水造成污染。</w:t>
                  </w:r>
                </w:p>
                <w:p w14:paraId="15985C10">
                  <w:pPr>
                    <w:rPr>
                      <w:rFonts w:hint="eastAsia"/>
                      <w:sz w:val="18"/>
                      <w:szCs w:val="18"/>
                      <w:lang w:val="zh-CN" w:eastAsia="zh-CN"/>
                    </w:rPr>
                  </w:pPr>
                  <w:r>
                    <w:rPr>
                      <w:rFonts w:hint="eastAsia"/>
                      <w:sz w:val="18"/>
                      <w:szCs w:val="18"/>
                      <w:lang w:val="en-US" w:eastAsia="zh-CN"/>
                    </w:rPr>
                    <w:t>3.</w:t>
                  </w:r>
                  <w:r>
                    <w:rPr>
                      <w:rFonts w:hint="default"/>
                      <w:sz w:val="18"/>
                      <w:szCs w:val="18"/>
                      <w:lang w:val="zh-CN"/>
                    </w:rPr>
                    <w:t>建设单位应</w:t>
                  </w:r>
                  <w:r>
                    <w:rPr>
                      <w:rFonts w:hint="default"/>
                      <w:sz w:val="18"/>
                      <w:szCs w:val="18"/>
                    </w:rPr>
                    <w:t>按照《企业事业单位突发环境事件应急预案备案管理办法（试行）》</w:t>
                  </w:r>
                  <w:r>
                    <w:rPr>
                      <w:rFonts w:hint="default"/>
                      <w:sz w:val="18"/>
                      <w:szCs w:val="18"/>
                      <w:lang w:val="zh-CN"/>
                    </w:rPr>
                    <w:t>及当地管理要求，</w:t>
                  </w:r>
                  <w:r>
                    <w:rPr>
                      <w:rFonts w:hint="default"/>
                      <w:sz w:val="18"/>
                      <w:szCs w:val="18"/>
                    </w:rPr>
                    <w:t>依法依规编制环境应急预案并定期开展演练</w:t>
                  </w:r>
                  <w:r>
                    <w:rPr>
                      <w:rFonts w:hint="eastAsia"/>
                      <w:sz w:val="18"/>
                      <w:szCs w:val="18"/>
                      <w:lang w:eastAsia="zh-CN"/>
                    </w:rPr>
                    <w:t>。</w:t>
                  </w:r>
                </w:p>
                <w:p w14:paraId="47ECFF76">
                  <w:pPr>
                    <w:rPr>
                      <w:rFonts w:hint="default"/>
                      <w:sz w:val="18"/>
                      <w:szCs w:val="18"/>
                      <w:lang w:val="zh-CN"/>
                    </w:rPr>
                  </w:pPr>
                  <w:r>
                    <w:rPr>
                      <w:rFonts w:hint="eastAsia"/>
                      <w:sz w:val="18"/>
                      <w:szCs w:val="18"/>
                      <w:lang w:val="en-US" w:eastAsia="zh-CN"/>
                    </w:rPr>
                    <w:t>4.</w:t>
                  </w:r>
                  <w:r>
                    <w:rPr>
                      <w:rFonts w:hint="default"/>
                      <w:sz w:val="18"/>
                      <w:szCs w:val="18"/>
                      <w:lang w:val="zh-CN"/>
                    </w:rPr>
                    <w:t>要求建设单位在营运过程严格遵守固废</w:t>
                  </w:r>
                  <w:r>
                    <w:rPr>
                      <w:rFonts w:hint="eastAsia"/>
                      <w:sz w:val="18"/>
                      <w:szCs w:val="18"/>
                      <w:lang w:val="zh-CN"/>
                    </w:rPr>
                    <w:t>相关法律法规</w:t>
                  </w:r>
                  <w:r>
                    <w:rPr>
                      <w:rFonts w:hint="default"/>
                      <w:sz w:val="18"/>
                      <w:szCs w:val="18"/>
                      <w:lang w:val="zh-CN"/>
                    </w:rPr>
                    <w:t>，建立危险废物管理制度，对产生的危废进行全流程管理</w:t>
                  </w:r>
                  <w:r>
                    <w:rPr>
                      <w:rFonts w:hint="eastAsia"/>
                      <w:sz w:val="18"/>
                      <w:szCs w:val="18"/>
                      <w:lang w:val="zh-CN"/>
                    </w:rPr>
                    <w:t>。</w:t>
                  </w:r>
                </w:p>
                <w:p w14:paraId="6FA2F684">
                  <w:pPr>
                    <w:rPr>
                      <w:rFonts w:hint="eastAsia"/>
                      <w:sz w:val="18"/>
                      <w:szCs w:val="18"/>
                      <w:lang w:val="zh-CN"/>
                    </w:rPr>
                  </w:pPr>
                  <w:r>
                    <w:rPr>
                      <w:rFonts w:hint="eastAsia"/>
                      <w:sz w:val="18"/>
                      <w:szCs w:val="18"/>
                      <w:lang w:val="en-US" w:eastAsia="zh-CN"/>
                    </w:rPr>
                    <w:t>5.</w:t>
                  </w:r>
                  <w:r>
                    <w:rPr>
                      <w:rFonts w:hint="eastAsia"/>
                      <w:sz w:val="18"/>
                      <w:szCs w:val="18"/>
                      <w:lang w:val="zh-CN"/>
                    </w:rPr>
                    <w:t>企业制订自行监测计划，定期委托第三方资质检测公司进行检测。</w:t>
                  </w:r>
                </w:p>
                <w:p w14:paraId="0E7EB967">
                  <w:pPr>
                    <w:pStyle w:val="2"/>
                    <w:ind w:left="0" w:leftChars="0" w:firstLine="0" w:firstLineChars="0"/>
                    <w:rPr>
                      <w:rFonts w:hint="default" w:eastAsia="宋体"/>
                      <w:sz w:val="18"/>
                      <w:szCs w:val="18"/>
                      <w:lang w:val="en-US" w:eastAsia="zh-CN"/>
                    </w:rPr>
                  </w:pPr>
                  <w:r>
                    <w:rPr>
                      <w:rFonts w:hint="eastAsia" w:ascii="Times New Roman" w:hAnsi="Times New Roman" w:cs="Times New Roman"/>
                      <w:sz w:val="18"/>
                      <w:szCs w:val="18"/>
                      <w:lang w:val="en-US" w:eastAsia="zh-CN"/>
                    </w:rPr>
                    <w:t>6.加强管理，制订突发环境事件应急预案，定期演练，防范环境突发事件。</w:t>
                  </w:r>
                </w:p>
              </w:tc>
              <w:tc>
                <w:tcPr>
                  <w:tcW w:w="355" w:type="pct"/>
                  <w:tcBorders>
                    <w:top w:val="single" w:color="auto" w:sz="4" w:space="0"/>
                    <w:left w:val="single" w:color="auto" w:sz="4" w:space="0"/>
                    <w:bottom w:val="single" w:color="auto" w:sz="4" w:space="0"/>
                    <w:right w:val="single" w:color="auto" w:sz="4" w:space="0"/>
                  </w:tcBorders>
                  <w:vAlign w:val="center"/>
                </w:tcPr>
                <w:p w14:paraId="459AEB0C">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r w14:paraId="553B8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892" w:hRule="atLeast"/>
                <w:jc w:val="center"/>
              </w:trPr>
              <w:tc>
                <w:tcPr>
                  <w:tcW w:w="233" w:type="pct"/>
                  <w:vMerge w:val="continue"/>
                  <w:tcBorders>
                    <w:top w:val="single" w:color="auto" w:sz="4" w:space="0"/>
                    <w:left w:val="single" w:color="auto" w:sz="4" w:space="0"/>
                    <w:bottom w:val="single" w:color="auto" w:sz="4" w:space="0"/>
                    <w:right w:val="single" w:color="auto" w:sz="4" w:space="0"/>
                  </w:tcBorders>
                </w:tcPr>
                <w:p w14:paraId="2DF09524">
                  <w:pPr>
                    <w:jc w:val="center"/>
                    <w:rPr>
                      <w:rFonts w:hint="default" w:ascii="Times New Roman" w:hAnsi="Times New Roman" w:cs="Times New Roman"/>
                      <w:sz w:val="18"/>
                      <w:szCs w:val="18"/>
                      <w:lang w:val="zh-CN"/>
                    </w:rPr>
                  </w:pPr>
                </w:p>
              </w:tc>
              <w:tc>
                <w:tcPr>
                  <w:tcW w:w="249" w:type="pct"/>
                  <w:tcBorders>
                    <w:top w:val="single" w:color="auto" w:sz="4" w:space="0"/>
                    <w:left w:val="single" w:color="auto" w:sz="4" w:space="0"/>
                    <w:bottom w:val="single" w:color="auto" w:sz="4" w:space="0"/>
                    <w:right w:val="single" w:color="auto" w:sz="4" w:space="0"/>
                  </w:tcBorders>
                  <w:vAlign w:val="center"/>
                </w:tcPr>
                <w:p w14:paraId="6CCCF9B0">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资源开放效率要求</w:t>
                  </w:r>
                </w:p>
              </w:tc>
              <w:tc>
                <w:tcPr>
                  <w:tcW w:w="3704" w:type="dxa"/>
                  <w:tcBorders>
                    <w:top w:val="single" w:color="auto" w:sz="4" w:space="0"/>
                    <w:left w:val="single" w:color="auto" w:sz="4" w:space="0"/>
                    <w:right w:val="single" w:color="auto" w:sz="4" w:space="0"/>
                  </w:tcBorders>
                  <w:vAlign w:val="center"/>
                </w:tcPr>
                <w:p w14:paraId="0DF0B227">
                  <w:pPr>
                    <w:rPr>
                      <w:rFonts w:hint="default" w:ascii="Times New Roman" w:hAnsi="Times New Roman" w:cs="Times New Roman"/>
                      <w:sz w:val="18"/>
                      <w:szCs w:val="18"/>
                      <w:lang w:val="zh-CN"/>
                    </w:rPr>
                  </w:pPr>
                  <w:r>
                    <w:rPr>
                      <w:rStyle w:val="1399"/>
                      <w:rFonts w:hint="default" w:ascii="Times New Roman" w:hAnsi="Times New Roman" w:cs="Times New Roman" w:eastAsiaTheme="majorEastAsia"/>
                      <w:color w:val="auto"/>
                      <w:sz w:val="18"/>
                      <w:szCs w:val="18"/>
                      <w:lang w:val="en-US" w:eastAsia="zh-CN" w:bidi="ar"/>
                    </w:rPr>
                    <w:t xml:space="preserve">1. </w:t>
                  </w:r>
                  <w:r>
                    <w:rPr>
                      <w:rStyle w:val="1400"/>
                      <w:rFonts w:hint="default" w:ascii="Times New Roman" w:hAnsi="Times New Roman" w:cs="Times New Roman" w:eastAsiaTheme="majorEastAsia"/>
                      <w:color w:val="auto"/>
                      <w:sz w:val="18"/>
                      <w:szCs w:val="18"/>
                      <w:lang w:val="en-US" w:eastAsia="zh-CN" w:bidi="ar"/>
                    </w:rPr>
                    <w:t>严格执行《产业园区水的分类使用及循环利用原则和要求》（</w:t>
                  </w:r>
                  <w:r>
                    <w:rPr>
                      <w:rStyle w:val="1399"/>
                      <w:rFonts w:hint="default" w:ascii="Times New Roman" w:hAnsi="Times New Roman" w:cs="Times New Roman" w:eastAsiaTheme="majorEastAsia"/>
                      <w:color w:val="auto"/>
                      <w:sz w:val="18"/>
                      <w:szCs w:val="18"/>
                      <w:lang w:val="en-US" w:eastAsia="zh-CN" w:bidi="ar"/>
                    </w:rPr>
                    <w:t>GB/T36575-2018</w:t>
                  </w:r>
                  <w:r>
                    <w:rPr>
                      <w:rStyle w:val="1400"/>
                      <w:rFonts w:hint="default" w:ascii="Times New Roman" w:hAnsi="Times New Roman" w:cs="Times New Roman" w:eastAsiaTheme="majorEastAsia"/>
                      <w:color w:val="auto"/>
                      <w:sz w:val="18"/>
                      <w:szCs w:val="18"/>
                      <w:lang w:val="en-US" w:eastAsia="zh-CN" w:bidi="ar"/>
                    </w:rPr>
                    <w:t>）。</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2.</w:t>
                  </w:r>
                  <w:r>
                    <w:rPr>
                      <w:rStyle w:val="1400"/>
                      <w:rFonts w:hint="default" w:ascii="Times New Roman" w:hAnsi="Times New Roman" w:cs="Times New Roman" w:eastAsiaTheme="majorEastAsia"/>
                      <w:color w:val="auto"/>
                      <w:sz w:val="18"/>
                      <w:szCs w:val="18"/>
                      <w:lang w:val="en-US" w:eastAsia="zh-CN" w:bidi="ar"/>
                    </w:rPr>
                    <w:t>调整能源利用结构，控制煤炭消费量，实现减量化，鼓励使用清洁能源、新能源和可再生能源。</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3.</w:t>
                  </w:r>
                  <w:r>
                    <w:rPr>
                      <w:rStyle w:val="1400"/>
                      <w:rFonts w:hint="default" w:ascii="Times New Roman" w:hAnsi="Times New Roman" w:cs="Times New Roman" w:eastAsiaTheme="majorEastAsia"/>
                      <w:color w:val="auto"/>
                      <w:sz w:val="18"/>
                      <w:szCs w:val="18"/>
                      <w:lang w:val="en-US" w:eastAsia="zh-CN" w:bidi="ar"/>
                    </w:rPr>
                    <w:t>定期开展清洁生产审核，推动现有各类产业园区和重点企业生态化、循环化改造。</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4.</w:t>
                  </w:r>
                  <w:r>
                    <w:rPr>
                      <w:rStyle w:val="1400"/>
                      <w:rFonts w:hint="default" w:ascii="Times New Roman" w:hAnsi="Times New Roman" w:cs="Times New Roman" w:eastAsiaTheme="majorEastAsia"/>
                      <w:color w:val="auto"/>
                      <w:sz w:val="18"/>
                      <w:szCs w:val="18"/>
                      <w:lang w:val="en-US" w:eastAsia="zh-CN" w:bidi="ar"/>
                    </w:rPr>
                    <w:t>鼓励现有的危险废物集中收集单位与市内综合处置单位以联合经营等方式，作为综合处置单位的收集网点。</w:t>
                  </w:r>
                  <w:r>
                    <w:rPr>
                      <w:rStyle w:val="1399"/>
                      <w:rFonts w:hint="default" w:ascii="Times New Roman" w:hAnsi="Times New Roman" w:cs="Times New Roman" w:eastAsiaTheme="majorEastAsia"/>
                      <w:color w:val="auto"/>
                      <w:sz w:val="18"/>
                      <w:szCs w:val="18"/>
                      <w:lang w:val="en-US" w:eastAsia="zh-CN" w:bidi="ar"/>
                    </w:rPr>
                    <w:br w:type="textWrapping"/>
                  </w:r>
                  <w:r>
                    <w:rPr>
                      <w:rStyle w:val="1399"/>
                      <w:rFonts w:hint="default" w:ascii="Times New Roman" w:hAnsi="Times New Roman" w:cs="Times New Roman" w:eastAsiaTheme="majorEastAsia"/>
                      <w:color w:val="auto"/>
                      <w:sz w:val="18"/>
                      <w:szCs w:val="18"/>
                      <w:lang w:val="en-US" w:eastAsia="zh-CN" w:bidi="ar"/>
                    </w:rPr>
                    <w:t>5.</w:t>
                  </w:r>
                  <w:r>
                    <w:rPr>
                      <w:rStyle w:val="1400"/>
                      <w:rFonts w:hint="default" w:ascii="Times New Roman" w:hAnsi="Times New Roman" w:cs="Times New Roman" w:eastAsiaTheme="majorEastAsia"/>
                      <w:color w:val="auto"/>
                      <w:sz w:val="18"/>
                      <w:szCs w:val="18"/>
                      <w:lang w:val="en-US" w:eastAsia="zh-CN" w:bidi="ar"/>
                    </w:rPr>
                    <w:t>鼓励对现有自建危险废物利用处置设施进行提升改造。</w:t>
                  </w:r>
                </w:p>
              </w:tc>
              <w:tc>
                <w:tcPr>
                  <w:tcW w:w="1889" w:type="pct"/>
                  <w:tcBorders>
                    <w:top w:val="single" w:color="auto" w:sz="4" w:space="0"/>
                    <w:left w:val="single" w:color="auto" w:sz="4" w:space="0"/>
                    <w:right w:val="single" w:color="auto" w:sz="4" w:space="0"/>
                  </w:tcBorders>
                  <w:vAlign w:val="center"/>
                </w:tcPr>
                <w:p w14:paraId="0416E608">
                  <w:pPr>
                    <w:rPr>
                      <w:rFonts w:hint="eastAsia"/>
                      <w:sz w:val="18"/>
                      <w:szCs w:val="18"/>
                      <w:lang w:val="en-US" w:eastAsia="zh-CN"/>
                    </w:rPr>
                  </w:pPr>
                  <w:r>
                    <w:rPr>
                      <w:rFonts w:hint="eastAsia"/>
                      <w:sz w:val="18"/>
                      <w:szCs w:val="18"/>
                      <w:lang w:val="en-US" w:eastAsia="zh-CN"/>
                    </w:rPr>
                    <w:t>1.本项目</w:t>
                  </w:r>
                  <w:r>
                    <w:rPr>
                      <w:rFonts w:hint="default"/>
                      <w:sz w:val="18"/>
                      <w:szCs w:val="18"/>
                      <w:lang w:val="en-US" w:eastAsia="zh-CN"/>
                    </w:rPr>
                    <w:t>严格执行《产业园区水的分类使用及循环利用原则和要求》（GB/T36575-2018）。</w:t>
                  </w:r>
                </w:p>
                <w:p w14:paraId="207BF59D">
                  <w:pPr>
                    <w:rPr>
                      <w:rFonts w:hint="eastAsia"/>
                      <w:sz w:val="18"/>
                      <w:szCs w:val="18"/>
                      <w:lang w:val="en-US" w:eastAsia="zh-CN"/>
                    </w:rPr>
                  </w:pPr>
                  <w:r>
                    <w:rPr>
                      <w:rFonts w:hint="eastAsia"/>
                      <w:sz w:val="18"/>
                      <w:szCs w:val="18"/>
                      <w:lang w:val="en-US" w:eastAsia="zh-CN"/>
                    </w:rPr>
                    <w:t>2.</w:t>
                  </w:r>
                  <w:r>
                    <w:rPr>
                      <w:rFonts w:hint="default"/>
                      <w:sz w:val="18"/>
                      <w:szCs w:val="18"/>
                      <w:lang w:val="zh-CN"/>
                    </w:rPr>
                    <w:t>本项目能源使用电，</w:t>
                  </w:r>
                  <w:r>
                    <w:rPr>
                      <w:rFonts w:hint="eastAsia"/>
                      <w:sz w:val="18"/>
                      <w:szCs w:val="18"/>
                      <w:lang w:val="zh-CN"/>
                    </w:rPr>
                    <w:t>不使用煤炭。</w:t>
                  </w:r>
                </w:p>
                <w:p w14:paraId="32197A6C">
                  <w:pPr>
                    <w:rPr>
                      <w:rFonts w:hint="eastAsia"/>
                      <w:sz w:val="18"/>
                      <w:szCs w:val="18"/>
                      <w:lang w:val="zh-CN"/>
                    </w:rPr>
                  </w:pPr>
                  <w:r>
                    <w:rPr>
                      <w:rFonts w:hint="eastAsia"/>
                      <w:sz w:val="18"/>
                      <w:szCs w:val="18"/>
                      <w:lang w:val="en-US" w:eastAsia="zh-CN"/>
                    </w:rPr>
                    <w:t>3.</w:t>
                  </w:r>
                  <w:r>
                    <w:rPr>
                      <w:rFonts w:hint="eastAsia"/>
                      <w:sz w:val="18"/>
                      <w:szCs w:val="18"/>
                      <w:lang w:val="zh-CN"/>
                    </w:rPr>
                    <w:t>本项目根据要求开展清洁生产审核。</w:t>
                  </w:r>
                </w:p>
                <w:p w14:paraId="58584A08">
                  <w:pPr>
                    <w:pStyle w:val="2"/>
                    <w:ind w:left="0" w:leftChars="0" w:firstLine="0" w:firstLineChars="0"/>
                    <w:rPr>
                      <w:rFonts w:hint="eastAsia"/>
                      <w:sz w:val="18"/>
                      <w:szCs w:val="18"/>
                      <w:lang w:val="en-US" w:eastAsia="zh-CN"/>
                    </w:rPr>
                  </w:pPr>
                  <w:r>
                    <w:rPr>
                      <w:rFonts w:hint="eastAsia"/>
                      <w:sz w:val="18"/>
                      <w:szCs w:val="18"/>
                      <w:lang w:val="en-US" w:eastAsia="zh-CN"/>
                    </w:rPr>
                    <w:t>4.本项目不属于危险废物收集或处置项目。</w:t>
                  </w:r>
                </w:p>
                <w:p w14:paraId="30B85AAE">
                  <w:pPr>
                    <w:rPr>
                      <w:rFonts w:hint="default"/>
                      <w:sz w:val="18"/>
                      <w:szCs w:val="18"/>
                      <w:lang w:val="en-US" w:eastAsia="zh-CN"/>
                    </w:rPr>
                  </w:pPr>
                  <w:r>
                    <w:rPr>
                      <w:rFonts w:hint="eastAsia" w:ascii="Times New Roman" w:hAnsi="Times New Roman" w:cs="Times New Roman"/>
                      <w:sz w:val="18"/>
                      <w:szCs w:val="18"/>
                      <w:lang w:val="en-US" w:eastAsia="zh-CN"/>
                    </w:rPr>
                    <w:t>5.本项目不涉及危险废物利用处置设施。</w:t>
                  </w:r>
                </w:p>
              </w:tc>
              <w:tc>
                <w:tcPr>
                  <w:tcW w:w="355" w:type="pct"/>
                  <w:tcBorders>
                    <w:top w:val="single" w:color="auto" w:sz="4" w:space="0"/>
                    <w:left w:val="single" w:color="auto" w:sz="4" w:space="0"/>
                    <w:bottom w:val="single" w:color="auto" w:sz="4" w:space="0"/>
                    <w:right w:val="single" w:color="auto" w:sz="4" w:space="0"/>
                  </w:tcBorders>
                  <w:vAlign w:val="center"/>
                </w:tcPr>
                <w:p w14:paraId="1BE5D2D5">
                  <w:pPr>
                    <w:jc w:val="center"/>
                    <w:rPr>
                      <w:rFonts w:hint="default" w:ascii="Times New Roman" w:hAnsi="Times New Roman" w:cs="Times New Roman"/>
                      <w:sz w:val="18"/>
                      <w:szCs w:val="18"/>
                      <w:lang w:val="zh-CN"/>
                    </w:rPr>
                  </w:pPr>
                  <w:r>
                    <w:rPr>
                      <w:rFonts w:hint="default" w:ascii="Times New Roman" w:hAnsi="Times New Roman" w:cs="Times New Roman"/>
                      <w:sz w:val="18"/>
                      <w:szCs w:val="18"/>
                      <w:lang w:val="zh-CN"/>
                    </w:rPr>
                    <w:t>符合</w:t>
                  </w:r>
                </w:p>
              </w:tc>
            </w:tr>
          </w:tbl>
          <w:p w14:paraId="5AF0124C">
            <w:pPr>
              <w:pStyle w:val="2"/>
              <w:ind w:left="31680" w:firstLine="0" w:firstLineChars="0"/>
              <w:jc w:val="center"/>
              <w:rPr>
                <w:rFonts w:hint="eastAsia" w:ascii="宋体" w:hAnsi="宋体" w:eastAsia="宋体" w:cs="宋体"/>
                <w:b/>
                <w:bCs/>
                <w:sz w:val="21"/>
                <w:szCs w:val="21"/>
                <w:lang w:val="zh-CN"/>
              </w:rPr>
            </w:pPr>
            <w:r>
              <w:rPr>
                <w:rFonts w:hint="eastAsia" w:ascii="宋体" w:hAnsi="宋体" w:eastAsia="宋体" w:cs="宋体"/>
                <w:b/>
                <w:bCs/>
                <w:sz w:val="21"/>
                <w:szCs w:val="21"/>
                <w:lang w:val="zh-CN"/>
              </w:rPr>
              <w:t>表1-4 淄川经济开发区控制级别表</w:t>
            </w:r>
          </w:p>
          <w:tbl>
            <w:tblPr>
              <w:tblStyle w:val="8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85"/>
              <w:gridCol w:w="4053"/>
              <w:gridCol w:w="722"/>
              <w:gridCol w:w="1694"/>
              <w:gridCol w:w="790"/>
            </w:tblGrid>
            <w:tr w14:paraId="120F8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tcBorders>
                    <w:top w:val="single" w:color="auto" w:sz="4" w:space="0"/>
                    <w:left w:val="single" w:color="auto" w:sz="4" w:space="0"/>
                    <w:bottom w:val="single" w:color="auto" w:sz="4" w:space="0"/>
                    <w:right w:val="single" w:color="auto" w:sz="4" w:space="0"/>
                  </w:tcBorders>
                  <w:vAlign w:val="center"/>
                </w:tcPr>
                <w:p w14:paraId="745494B4">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行业</w:t>
                  </w:r>
                </w:p>
                <w:p w14:paraId="0981691E">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类别</w:t>
                  </w:r>
                </w:p>
              </w:tc>
              <w:tc>
                <w:tcPr>
                  <w:tcW w:w="3689" w:type="dxa"/>
                  <w:tcBorders>
                    <w:top w:val="single" w:color="auto" w:sz="4" w:space="0"/>
                    <w:left w:val="single" w:color="auto" w:sz="4" w:space="0"/>
                    <w:bottom w:val="single" w:color="auto" w:sz="4" w:space="0"/>
                    <w:right w:val="single" w:color="auto" w:sz="4" w:space="0"/>
                  </w:tcBorders>
                  <w:vAlign w:val="center"/>
                </w:tcPr>
                <w:p w14:paraId="4B28E6AA">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行业小类</w:t>
                  </w:r>
                </w:p>
              </w:tc>
              <w:tc>
                <w:tcPr>
                  <w:tcW w:w="657" w:type="dxa"/>
                  <w:tcBorders>
                    <w:top w:val="single" w:color="auto" w:sz="4" w:space="0"/>
                    <w:left w:val="single" w:color="auto" w:sz="4" w:space="0"/>
                    <w:bottom w:val="single" w:color="auto" w:sz="4" w:space="0"/>
                    <w:right w:val="single" w:color="auto" w:sz="4" w:space="0"/>
                  </w:tcBorders>
                  <w:vAlign w:val="center"/>
                </w:tcPr>
                <w:p w14:paraId="6F79DEE2">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控制级别</w:t>
                  </w:r>
                </w:p>
              </w:tc>
              <w:tc>
                <w:tcPr>
                  <w:tcW w:w="1542" w:type="dxa"/>
                  <w:tcBorders>
                    <w:top w:val="single" w:color="auto" w:sz="4" w:space="0"/>
                    <w:left w:val="single" w:color="auto" w:sz="4" w:space="0"/>
                    <w:bottom w:val="single" w:color="auto" w:sz="4" w:space="0"/>
                    <w:right w:val="single" w:color="auto" w:sz="4" w:space="0"/>
                  </w:tcBorders>
                  <w:vAlign w:val="center"/>
                </w:tcPr>
                <w:p w14:paraId="6F32013C">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本项目情况</w:t>
                  </w:r>
                </w:p>
              </w:tc>
              <w:tc>
                <w:tcPr>
                  <w:tcW w:w="719" w:type="dxa"/>
                  <w:tcBorders>
                    <w:top w:val="single" w:color="auto" w:sz="4" w:space="0"/>
                    <w:left w:val="single" w:color="auto" w:sz="4" w:space="0"/>
                    <w:bottom w:val="single" w:color="auto" w:sz="4" w:space="0"/>
                    <w:right w:val="single" w:color="auto" w:sz="4" w:space="0"/>
                  </w:tcBorders>
                  <w:vAlign w:val="center"/>
                </w:tcPr>
                <w:p w14:paraId="0ADD7AC4">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符合</w:t>
                  </w:r>
                </w:p>
                <w:p w14:paraId="5A1BEABF">
                  <w:pPr>
                    <w:pStyle w:val="200"/>
                    <w:spacing w:before="24" w:after="24"/>
                    <w:rPr>
                      <w:rFonts w:hint="default" w:ascii="Times New Roman" w:hAnsi="Times New Roman" w:cs="Times New Roman"/>
                      <w:b/>
                      <w:bCs/>
                      <w:sz w:val="18"/>
                      <w:szCs w:val="18"/>
                    </w:rPr>
                  </w:pPr>
                  <w:r>
                    <w:rPr>
                      <w:rFonts w:hint="default" w:ascii="Times New Roman" w:hAnsi="Times New Roman" w:cs="Times New Roman"/>
                      <w:b/>
                      <w:bCs/>
                      <w:sz w:val="18"/>
                      <w:szCs w:val="18"/>
                    </w:rPr>
                    <w:t>情况</w:t>
                  </w:r>
                </w:p>
              </w:tc>
            </w:tr>
            <w:tr w14:paraId="7E610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restart"/>
                  <w:tcBorders>
                    <w:top w:val="single" w:color="auto" w:sz="4" w:space="0"/>
                    <w:left w:val="single" w:color="auto" w:sz="4" w:space="0"/>
                    <w:bottom w:val="single" w:color="auto" w:sz="4" w:space="0"/>
                    <w:right w:val="single" w:color="auto" w:sz="4" w:space="0"/>
                  </w:tcBorders>
                  <w:vAlign w:val="center"/>
                </w:tcPr>
                <w:p w14:paraId="4DB825B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交通运输设备 制造</w:t>
                  </w:r>
                </w:p>
              </w:tc>
              <w:tc>
                <w:tcPr>
                  <w:tcW w:w="3689" w:type="dxa"/>
                  <w:tcBorders>
                    <w:top w:val="single" w:color="auto" w:sz="4" w:space="0"/>
                    <w:left w:val="single" w:color="auto" w:sz="4" w:space="0"/>
                    <w:bottom w:val="single" w:color="auto" w:sz="4" w:space="0"/>
                    <w:right w:val="single" w:color="auto" w:sz="4" w:space="0"/>
                  </w:tcBorders>
                  <w:vAlign w:val="center"/>
                </w:tcPr>
                <w:p w14:paraId="5ACE7B4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汽车整车制造</w:t>
                  </w:r>
                </w:p>
              </w:tc>
              <w:tc>
                <w:tcPr>
                  <w:tcW w:w="657" w:type="dxa"/>
                  <w:tcBorders>
                    <w:top w:val="single" w:color="auto" w:sz="4" w:space="0"/>
                    <w:left w:val="single" w:color="auto" w:sz="4" w:space="0"/>
                    <w:bottom w:val="single" w:color="auto" w:sz="4" w:space="0"/>
                    <w:right w:val="single" w:color="auto" w:sz="4" w:space="0"/>
                  </w:tcBorders>
                  <w:vAlign w:val="center"/>
                </w:tcPr>
                <w:p w14:paraId="248E387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restart"/>
                  <w:tcBorders>
                    <w:top w:val="single" w:color="auto" w:sz="4" w:space="0"/>
                    <w:left w:val="single" w:color="auto" w:sz="4" w:space="0"/>
                    <w:bottom w:val="single" w:color="auto" w:sz="4" w:space="0"/>
                    <w:right w:val="single" w:color="auto" w:sz="4" w:space="0"/>
                  </w:tcBorders>
                  <w:vAlign w:val="center"/>
                </w:tcPr>
                <w:p w14:paraId="0AB4DB37">
                  <w:pPr>
                    <w:pStyle w:val="200"/>
                    <w:spacing w:before="24" w:after="24"/>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本项目</w:t>
                  </w:r>
                  <w:r>
                    <w:rPr>
                      <w:rFonts w:hint="eastAsia" w:ascii="Times New Roman" w:hAnsi="Times New Roman" w:eastAsia="宋体" w:cs="Times New Roman"/>
                      <w:sz w:val="18"/>
                      <w:szCs w:val="18"/>
                    </w:rPr>
                    <w:t>产品</w:t>
                  </w:r>
                  <w:r>
                    <w:rPr>
                      <w:rFonts w:hint="eastAsia" w:ascii="Times New Roman" w:hAnsi="Times New Roman" w:eastAsia="宋体" w:cs="Times New Roman"/>
                      <w:sz w:val="18"/>
                      <w:szCs w:val="18"/>
                      <w:lang w:eastAsia="zh-CN"/>
                    </w:rPr>
                    <w:t>主要为生活、消防供水设备</w:t>
                  </w:r>
                  <w:r>
                    <w:rPr>
                      <w:rFonts w:hint="eastAsia" w:ascii="Times New Roman" w:hAnsi="Times New Roman" w:eastAsia="宋体" w:cs="Times New Roman"/>
                      <w:sz w:val="18"/>
                      <w:szCs w:val="18"/>
                      <w:lang w:val="en-US" w:eastAsia="zh-CN"/>
                    </w:rPr>
                    <w:t>，</w:t>
                  </w:r>
                  <w:r>
                    <w:rPr>
                      <w:rFonts w:hint="default" w:ascii="Times New Roman" w:hAnsi="Times New Roman" w:cs="Times New Roman"/>
                      <w:sz w:val="18"/>
                      <w:szCs w:val="18"/>
                    </w:rPr>
                    <w:t>属于</w:t>
                  </w:r>
                  <w:r>
                    <w:rPr>
                      <w:rFonts w:hint="eastAsia" w:ascii="Times New Roman" w:cs="Times New Roman"/>
                      <w:sz w:val="18"/>
                      <w:szCs w:val="18"/>
                      <w:lang w:val="en-US" w:eastAsia="zh-CN"/>
                    </w:rPr>
                    <w:t>通用设备制品</w:t>
                  </w:r>
                  <w:r>
                    <w:rPr>
                      <w:rFonts w:hint="eastAsia" w:ascii="Times New Roman" w:hAnsi="Times New Roman" w:eastAsia="宋体" w:cs="Times New Roman"/>
                      <w:sz w:val="18"/>
                      <w:szCs w:val="18"/>
                      <w:lang w:val="en-US" w:eastAsia="zh-CN"/>
                    </w:rPr>
                    <w:t>业、塑料制品业</w:t>
                  </w:r>
                  <w:r>
                    <w:rPr>
                      <w:rFonts w:hint="default" w:ascii="Times New Roman" w:hAnsi="Times New Roman" w:eastAsia="宋体" w:cs="Times New Roman"/>
                      <w:sz w:val="18"/>
                      <w:szCs w:val="18"/>
                      <w:lang w:eastAsia="zh-CN"/>
                    </w:rPr>
                    <w:t>，</w:t>
                  </w:r>
                  <w:r>
                    <w:rPr>
                      <w:rFonts w:hint="eastAsia" w:ascii="Times New Roman" w:hAnsi="Times New Roman" w:eastAsia="宋体" w:cs="Times New Roman"/>
                      <w:sz w:val="18"/>
                      <w:szCs w:val="18"/>
                      <w:lang w:val="en-US" w:eastAsia="zh-CN"/>
                    </w:rPr>
                    <w:t>不属于淄川经济开发区禁止</w:t>
                  </w:r>
                  <w:r>
                    <w:rPr>
                      <w:rFonts w:hint="eastAsia" w:ascii="Times New Roman" w:cs="Times New Roman"/>
                      <w:sz w:val="18"/>
                      <w:szCs w:val="18"/>
                      <w:lang w:val="en-US" w:eastAsia="zh-CN"/>
                    </w:rPr>
                    <w:t>进</w:t>
                  </w:r>
                  <w:r>
                    <w:rPr>
                      <w:rFonts w:hint="eastAsia" w:ascii="Times New Roman" w:hAnsi="Times New Roman" w:eastAsia="宋体" w:cs="Times New Roman"/>
                      <w:sz w:val="18"/>
                      <w:szCs w:val="18"/>
                      <w:lang w:val="en-US" w:eastAsia="zh-CN"/>
                    </w:rPr>
                    <w:t>入行业</w:t>
                  </w:r>
                  <w:r>
                    <w:rPr>
                      <w:rFonts w:hint="eastAsia" w:ascii="Times New Roman" w:cs="Times New Roman"/>
                      <w:sz w:val="18"/>
                      <w:szCs w:val="18"/>
                      <w:lang w:val="en-US" w:eastAsia="zh-CN"/>
                    </w:rPr>
                    <w:t>。</w:t>
                  </w:r>
                  <w:r>
                    <w:rPr>
                      <w:rFonts w:hint="eastAsia" w:ascii="Times New Roman" w:hAnsi="Times New Roman" w:eastAsia="宋体" w:cs="Times New Roman"/>
                      <w:sz w:val="18"/>
                      <w:szCs w:val="18"/>
                    </w:rPr>
                    <w:t>市场前景较好，</w:t>
                  </w:r>
                  <w:r>
                    <w:rPr>
                      <w:rFonts w:hint="eastAsia" w:ascii="Times New Roman" w:hAnsi="Times New Roman" w:eastAsia="宋体" w:cs="Times New Roman"/>
                      <w:sz w:val="18"/>
                      <w:szCs w:val="18"/>
                      <w:lang w:eastAsia="zh-CN"/>
                    </w:rPr>
                    <w:t>满足相</w:t>
                  </w:r>
                  <w:r>
                    <w:rPr>
                      <w:rFonts w:hint="eastAsia" w:ascii="Times New Roman" w:cs="Times New Roman"/>
                      <w:sz w:val="18"/>
                      <w:szCs w:val="18"/>
                      <w:lang w:eastAsia="zh-CN"/>
                    </w:rPr>
                    <w:t>关产业政策</w:t>
                  </w:r>
                </w:p>
              </w:tc>
              <w:tc>
                <w:tcPr>
                  <w:tcW w:w="719" w:type="dxa"/>
                  <w:vMerge w:val="restart"/>
                  <w:tcBorders>
                    <w:top w:val="single" w:color="auto" w:sz="4" w:space="0"/>
                    <w:left w:val="single" w:color="auto" w:sz="4" w:space="0"/>
                    <w:bottom w:val="single" w:color="auto" w:sz="4" w:space="0"/>
                    <w:right w:val="single" w:color="auto" w:sz="4" w:space="0"/>
                  </w:tcBorders>
                  <w:vAlign w:val="center"/>
                </w:tcPr>
                <w:p w14:paraId="2120A694">
                  <w:pPr>
                    <w:pStyle w:val="200"/>
                    <w:spacing w:before="24" w:after="24"/>
                    <w:rPr>
                      <w:rFonts w:hint="eastAsia" w:ascii="Times New Roman" w:hAnsi="Times New Roman" w:eastAsia="宋体" w:cs="Times New Roman"/>
                      <w:sz w:val="18"/>
                      <w:szCs w:val="18"/>
                      <w:lang w:eastAsia="zh-CN"/>
                    </w:rPr>
                  </w:pPr>
                  <w:r>
                    <w:rPr>
                      <w:rFonts w:hint="eastAsia" w:ascii="Times New Roman" w:cs="Times New Roman"/>
                      <w:sz w:val="18"/>
                      <w:szCs w:val="18"/>
                      <w:lang w:eastAsia="zh-CN"/>
                    </w:rPr>
                    <w:t>不属于禁止进入行业，符合</w:t>
                  </w:r>
                </w:p>
              </w:tc>
            </w:tr>
            <w:tr w14:paraId="4B658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162CAAF5">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5B25E2C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改装汽车制造</w:t>
                  </w:r>
                </w:p>
              </w:tc>
              <w:tc>
                <w:tcPr>
                  <w:tcW w:w="657" w:type="dxa"/>
                  <w:tcBorders>
                    <w:top w:val="single" w:color="auto" w:sz="4" w:space="0"/>
                    <w:left w:val="single" w:color="auto" w:sz="4" w:space="0"/>
                    <w:bottom w:val="single" w:color="auto" w:sz="4" w:space="0"/>
                    <w:right w:val="single" w:color="auto" w:sz="4" w:space="0"/>
                  </w:tcBorders>
                  <w:vAlign w:val="center"/>
                </w:tcPr>
                <w:p w14:paraId="41DB121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38BC0DFA">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463AB3EF">
                  <w:pPr>
                    <w:pStyle w:val="200"/>
                    <w:spacing w:before="24" w:after="24"/>
                    <w:rPr>
                      <w:rFonts w:hint="default" w:ascii="Times New Roman" w:hAnsi="Times New Roman" w:cs="Times New Roman"/>
                      <w:sz w:val="18"/>
                      <w:szCs w:val="18"/>
                    </w:rPr>
                  </w:pPr>
                </w:p>
              </w:tc>
            </w:tr>
            <w:tr w14:paraId="07606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1F60AC9E">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62F0D69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电车制造</w:t>
                  </w:r>
                </w:p>
              </w:tc>
              <w:tc>
                <w:tcPr>
                  <w:tcW w:w="657" w:type="dxa"/>
                  <w:tcBorders>
                    <w:top w:val="single" w:color="auto" w:sz="4" w:space="0"/>
                    <w:left w:val="single" w:color="auto" w:sz="4" w:space="0"/>
                    <w:bottom w:val="single" w:color="auto" w:sz="4" w:space="0"/>
                    <w:right w:val="single" w:color="auto" w:sz="4" w:space="0"/>
                  </w:tcBorders>
                  <w:vAlign w:val="center"/>
                </w:tcPr>
                <w:p w14:paraId="38205971">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507F06B1">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77A1104A">
                  <w:pPr>
                    <w:pStyle w:val="200"/>
                    <w:spacing w:before="24" w:after="24"/>
                    <w:rPr>
                      <w:rFonts w:hint="default" w:ascii="Times New Roman" w:hAnsi="Times New Roman" w:cs="Times New Roman"/>
                      <w:sz w:val="18"/>
                      <w:szCs w:val="18"/>
                    </w:rPr>
                  </w:pPr>
                </w:p>
              </w:tc>
            </w:tr>
            <w:tr w14:paraId="22C8CA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3EC8BA71">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31F0D5F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汽车车身、挂车的制造</w:t>
                  </w:r>
                </w:p>
              </w:tc>
              <w:tc>
                <w:tcPr>
                  <w:tcW w:w="657" w:type="dxa"/>
                  <w:tcBorders>
                    <w:top w:val="single" w:color="auto" w:sz="4" w:space="0"/>
                    <w:left w:val="single" w:color="auto" w:sz="4" w:space="0"/>
                    <w:bottom w:val="single" w:color="auto" w:sz="4" w:space="0"/>
                    <w:right w:val="single" w:color="auto" w:sz="4" w:space="0"/>
                  </w:tcBorders>
                  <w:vAlign w:val="center"/>
                </w:tcPr>
                <w:p w14:paraId="0315AC1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6BEBEB01">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22F04A8">
                  <w:pPr>
                    <w:pStyle w:val="200"/>
                    <w:spacing w:before="24" w:after="24"/>
                    <w:rPr>
                      <w:rFonts w:hint="default" w:ascii="Times New Roman" w:hAnsi="Times New Roman" w:cs="Times New Roman"/>
                      <w:sz w:val="18"/>
                      <w:szCs w:val="18"/>
                    </w:rPr>
                  </w:pPr>
                </w:p>
              </w:tc>
            </w:tr>
            <w:tr w14:paraId="3D58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6955271C">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03350EB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汽车零部件及配件制造</w:t>
                  </w:r>
                </w:p>
              </w:tc>
              <w:tc>
                <w:tcPr>
                  <w:tcW w:w="657" w:type="dxa"/>
                  <w:tcBorders>
                    <w:top w:val="single" w:color="auto" w:sz="4" w:space="0"/>
                    <w:left w:val="single" w:color="auto" w:sz="4" w:space="0"/>
                    <w:bottom w:val="single" w:color="auto" w:sz="4" w:space="0"/>
                    <w:right w:val="single" w:color="auto" w:sz="4" w:space="0"/>
                  </w:tcBorders>
                  <w:vAlign w:val="center"/>
                </w:tcPr>
                <w:p w14:paraId="4E36A41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6707E186">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8233744">
                  <w:pPr>
                    <w:pStyle w:val="200"/>
                    <w:spacing w:before="24" w:after="24"/>
                    <w:rPr>
                      <w:rFonts w:hint="default" w:ascii="Times New Roman" w:hAnsi="Times New Roman" w:cs="Times New Roman"/>
                      <w:sz w:val="18"/>
                      <w:szCs w:val="18"/>
                    </w:rPr>
                  </w:pPr>
                </w:p>
              </w:tc>
            </w:tr>
            <w:tr w14:paraId="17181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restart"/>
                  <w:tcBorders>
                    <w:top w:val="single" w:color="auto" w:sz="4" w:space="0"/>
                    <w:left w:val="single" w:color="auto" w:sz="4" w:space="0"/>
                    <w:bottom w:val="single" w:color="auto" w:sz="4" w:space="0"/>
                    <w:right w:val="single" w:color="auto" w:sz="4" w:space="0"/>
                  </w:tcBorders>
                  <w:vAlign w:val="center"/>
                </w:tcPr>
                <w:p w14:paraId="0EE29199">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纺织业</w:t>
                  </w:r>
                </w:p>
              </w:tc>
              <w:tc>
                <w:tcPr>
                  <w:tcW w:w="3689" w:type="dxa"/>
                  <w:tcBorders>
                    <w:top w:val="single" w:color="auto" w:sz="4" w:space="0"/>
                    <w:left w:val="single" w:color="auto" w:sz="4" w:space="0"/>
                    <w:bottom w:val="single" w:color="auto" w:sz="4" w:space="0"/>
                    <w:right w:val="single" w:color="auto" w:sz="4" w:space="0"/>
                  </w:tcBorders>
                  <w:vAlign w:val="center"/>
                </w:tcPr>
                <w:p w14:paraId="1500145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棉纺织业</w:t>
                  </w:r>
                </w:p>
              </w:tc>
              <w:tc>
                <w:tcPr>
                  <w:tcW w:w="657" w:type="dxa"/>
                  <w:tcBorders>
                    <w:top w:val="single" w:color="auto" w:sz="4" w:space="0"/>
                    <w:left w:val="single" w:color="auto" w:sz="4" w:space="0"/>
                    <w:bottom w:val="single" w:color="auto" w:sz="4" w:space="0"/>
                    <w:right w:val="single" w:color="auto" w:sz="4" w:space="0"/>
                  </w:tcBorders>
                  <w:vAlign w:val="center"/>
                </w:tcPr>
                <w:p w14:paraId="65312CD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1515A723">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249D4A78">
                  <w:pPr>
                    <w:pStyle w:val="200"/>
                    <w:spacing w:before="24" w:after="24"/>
                    <w:rPr>
                      <w:rFonts w:hint="default" w:ascii="Times New Roman" w:hAnsi="Times New Roman" w:cs="Times New Roman"/>
                      <w:sz w:val="18"/>
                      <w:szCs w:val="18"/>
                    </w:rPr>
                  </w:pPr>
                </w:p>
              </w:tc>
            </w:tr>
            <w:tr w14:paraId="2F699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4FE7A603">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2D220D8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印染业</w:t>
                  </w:r>
                </w:p>
              </w:tc>
              <w:tc>
                <w:tcPr>
                  <w:tcW w:w="657" w:type="dxa"/>
                  <w:tcBorders>
                    <w:top w:val="single" w:color="auto" w:sz="4" w:space="0"/>
                    <w:left w:val="single" w:color="auto" w:sz="4" w:space="0"/>
                    <w:bottom w:val="single" w:color="auto" w:sz="4" w:space="0"/>
                    <w:right w:val="single" w:color="auto" w:sz="4" w:space="0"/>
                  </w:tcBorders>
                  <w:vAlign w:val="center"/>
                </w:tcPr>
                <w:p w14:paraId="7993834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783FE71F">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7687868E">
                  <w:pPr>
                    <w:pStyle w:val="200"/>
                    <w:spacing w:before="24" w:after="24"/>
                    <w:rPr>
                      <w:rFonts w:hint="default" w:ascii="Times New Roman" w:hAnsi="Times New Roman" w:cs="Times New Roman"/>
                      <w:sz w:val="18"/>
                      <w:szCs w:val="18"/>
                    </w:rPr>
                  </w:pPr>
                </w:p>
              </w:tc>
            </w:tr>
            <w:tr w14:paraId="14C20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6B6D9674">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30D1EA6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高档地毯生产</w:t>
                  </w:r>
                </w:p>
              </w:tc>
              <w:tc>
                <w:tcPr>
                  <w:tcW w:w="657" w:type="dxa"/>
                  <w:tcBorders>
                    <w:top w:val="single" w:color="auto" w:sz="4" w:space="0"/>
                    <w:left w:val="single" w:color="auto" w:sz="4" w:space="0"/>
                    <w:bottom w:val="single" w:color="auto" w:sz="4" w:space="0"/>
                    <w:right w:val="single" w:color="auto" w:sz="4" w:space="0"/>
                  </w:tcBorders>
                  <w:vAlign w:val="center"/>
                </w:tcPr>
                <w:p w14:paraId="6F6E7CD8">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53BDAE7A">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0F775EB3">
                  <w:pPr>
                    <w:pStyle w:val="200"/>
                    <w:spacing w:before="24" w:after="24"/>
                    <w:rPr>
                      <w:rFonts w:hint="default" w:ascii="Times New Roman" w:hAnsi="Times New Roman" w:cs="Times New Roman"/>
                      <w:sz w:val="18"/>
                      <w:szCs w:val="18"/>
                    </w:rPr>
                  </w:pPr>
                </w:p>
              </w:tc>
            </w:tr>
            <w:tr w14:paraId="084A5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368455A1">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547160A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其它纺织业</w:t>
                  </w:r>
                </w:p>
              </w:tc>
              <w:tc>
                <w:tcPr>
                  <w:tcW w:w="657" w:type="dxa"/>
                  <w:tcBorders>
                    <w:top w:val="single" w:color="auto" w:sz="4" w:space="0"/>
                    <w:left w:val="single" w:color="auto" w:sz="4" w:space="0"/>
                    <w:bottom w:val="single" w:color="auto" w:sz="4" w:space="0"/>
                    <w:right w:val="single" w:color="auto" w:sz="4" w:space="0"/>
                  </w:tcBorders>
                  <w:vAlign w:val="center"/>
                </w:tcPr>
                <w:p w14:paraId="688C71F4">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0F8DEE91">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3BFC7B0">
                  <w:pPr>
                    <w:pStyle w:val="200"/>
                    <w:spacing w:before="24" w:after="24"/>
                    <w:rPr>
                      <w:rFonts w:hint="default" w:ascii="Times New Roman" w:hAnsi="Times New Roman" w:cs="Times New Roman"/>
                      <w:sz w:val="18"/>
                      <w:szCs w:val="18"/>
                    </w:rPr>
                  </w:pPr>
                </w:p>
              </w:tc>
            </w:tr>
            <w:tr w14:paraId="0586F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tcBorders>
                    <w:top w:val="single" w:color="auto" w:sz="4" w:space="0"/>
                    <w:left w:val="single" w:color="auto" w:sz="4" w:space="0"/>
                    <w:bottom w:val="single" w:color="auto" w:sz="4" w:space="0"/>
                    <w:right w:val="single" w:color="auto" w:sz="4" w:space="0"/>
                  </w:tcBorders>
                  <w:vAlign w:val="center"/>
                </w:tcPr>
                <w:p w14:paraId="1F65B5F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电子</w:t>
                  </w:r>
                </w:p>
              </w:tc>
              <w:tc>
                <w:tcPr>
                  <w:tcW w:w="3689" w:type="dxa"/>
                  <w:tcBorders>
                    <w:top w:val="single" w:color="auto" w:sz="4" w:space="0"/>
                    <w:left w:val="single" w:color="auto" w:sz="4" w:space="0"/>
                    <w:bottom w:val="single" w:color="auto" w:sz="4" w:space="0"/>
                    <w:right w:val="single" w:color="auto" w:sz="4" w:space="0"/>
                  </w:tcBorders>
                  <w:vAlign w:val="center"/>
                </w:tcPr>
                <w:p w14:paraId="62EA2AF9">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片式化电子元器件、敏感元件及传感器、电力电子模块、配电自动 化监控系统，各类分析、检测仪器及新型电子陶瓷材料等</w:t>
                  </w:r>
                </w:p>
              </w:tc>
              <w:tc>
                <w:tcPr>
                  <w:tcW w:w="657" w:type="dxa"/>
                  <w:tcBorders>
                    <w:top w:val="single" w:color="auto" w:sz="4" w:space="0"/>
                    <w:left w:val="single" w:color="auto" w:sz="4" w:space="0"/>
                    <w:bottom w:val="single" w:color="auto" w:sz="4" w:space="0"/>
                    <w:right w:val="single" w:color="auto" w:sz="4" w:space="0"/>
                  </w:tcBorders>
                  <w:vAlign w:val="center"/>
                </w:tcPr>
                <w:p w14:paraId="1D0EE775">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0A0BA580">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1ECF1C61">
                  <w:pPr>
                    <w:pStyle w:val="200"/>
                    <w:spacing w:before="24" w:after="24"/>
                    <w:rPr>
                      <w:rFonts w:hint="default" w:ascii="Times New Roman" w:hAnsi="Times New Roman" w:cs="Times New Roman"/>
                      <w:sz w:val="18"/>
                      <w:szCs w:val="18"/>
                    </w:rPr>
                  </w:pPr>
                </w:p>
              </w:tc>
            </w:tr>
            <w:tr w14:paraId="61CA0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restart"/>
                  <w:tcBorders>
                    <w:top w:val="single" w:color="auto" w:sz="4" w:space="0"/>
                    <w:left w:val="single" w:color="auto" w:sz="4" w:space="0"/>
                    <w:bottom w:val="single" w:color="auto" w:sz="4" w:space="0"/>
                    <w:right w:val="single" w:color="auto" w:sz="4" w:space="0"/>
                  </w:tcBorders>
                  <w:vAlign w:val="center"/>
                </w:tcPr>
                <w:p w14:paraId="0F59673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新材料</w:t>
                  </w:r>
                </w:p>
              </w:tc>
              <w:tc>
                <w:tcPr>
                  <w:tcW w:w="3689" w:type="dxa"/>
                  <w:tcBorders>
                    <w:top w:val="single" w:color="auto" w:sz="4" w:space="0"/>
                    <w:left w:val="single" w:color="auto" w:sz="4" w:space="0"/>
                    <w:bottom w:val="single" w:color="auto" w:sz="4" w:space="0"/>
                    <w:right w:val="single" w:color="auto" w:sz="4" w:space="0"/>
                  </w:tcBorders>
                  <w:vAlign w:val="center"/>
                </w:tcPr>
                <w:p w14:paraId="27752A9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高分子材料</w:t>
                  </w:r>
                </w:p>
              </w:tc>
              <w:tc>
                <w:tcPr>
                  <w:tcW w:w="657" w:type="dxa"/>
                  <w:tcBorders>
                    <w:top w:val="single" w:color="auto" w:sz="4" w:space="0"/>
                    <w:left w:val="single" w:color="auto" w:sz="4" w:space="0"/>
                    <w:bottom w:val="single" w:color="auto" w:sz="4" w:space="0"/>
                    <w:right w:val="single" w:color="auto" w:sz="4" w:space="0"/>
                  </w:tcBorders>
                  <w:vAlign w:val="center"/>
                </w:tcPr>
                <w:p w14:paraId="5F6FC33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7D3A26BC">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14E228F3">
                  <w:pPr>
                    <w:pStyle w:val="200"/>
                    <w:spacing w:before="24" w:after="24"/>
                    <w:rPr>
                      <w:rFonts w:hint="default" w:ascii="Times New Roman" w:hAnsi="Times New Roman" w:cs="Times New Roman"/>
                      <w:sz w:val="18"/>
                      <w:szCs w:val="18"/>
                    </w:rPr>
                  </w:pPr>
                </w:p>
              </w:tc>
            </w:tr>
            <w:tr w14:paraId="7B24BC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01E0DCD7">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0E70BDA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陶瓷新材料</w:t>
                  </w:r>
                </w:p>
              </w:tc>
              <w:tc>
                <w:tcPr>
                  <w:tcW w:w="657" w:type="dxa"/>
                  <w:tcBorders>
                    <w:top w:val="single" w:color="auto" w:sz="4" w:space="0"/>
                    <w:left w:val="single" w:color="auto" w:sz="4" w:space="0"/>
                    <w:bottom w:val="single" w:color="auto" w:sz="4" w:space="0"/>
                    <w:right w:val="single" w:color="auto" w:sz="4" w:space="0"/>
                  </w:tcBorders>
                  <w:vAlign w:val="center"/>
                </w:tcPr>
                <w:p w14:paraId="63540562">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76B6A43F">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7E8DB9EE">
                  <w:pPr>
                    <w:pStyle w:val="200"/>
                    <w:spacing w:before="24" w:after="24"/>
                    <w:rPr>
                      <w:rFonts w:hint="default" w:ascii="Times New Roman" w:hAnsi="Times New Roman" w:cs="Times New Roman"/>
                      <w:sz w:val="18"/>
                      <w:szCs w:val="18"/>
                    </w:rPr>
                  </w:pPr>
                </w:p>
              </w:tc>
            </w:tr>
            <w:tr w14:paraId="36EE5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1624B2BB">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10CDA941">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新型耐火材料</w:t>
                  </w:r>
                </w:p>
              </w:tc>
              <w:tc>
                <w:tcPr>
                  <w:tcW w:w="657" w:type="dxa"/>
                  <w:tcBorders>
                    <w:top w:val="single" w:color="auto" w:sz="4" w:space="0"/>
                    <w:left w:val="single" w:color="auto" w:sz="4" w:space="0"/>
                    <w:bottom w:val="single" w:color="auto" w:sz="4" w:space="0"/>
                    <w:right w:val="single" w:color="auto" w:sz="4" w:space="0"/>
                  </w:tcBorders>
                  <w:vAlign w:val="center"/>
                </w:tcPr>
                <w:p w14:paraId="021BF02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7BF7A37D">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880E28B">
                  <w:pPr>
                    <w:pStyle w:val="200"/>
                    <w:spacing w:before="24" w:after="24"/>
                    <w:rPr>
                      <w:rFonts w:hint="default" w:ascii="Times New Roman" w:hAnsi="Times New Roman" w:cs="Times New Roman"/>
                      <w:sz w:val="18"/>
                      <w:szCs w:val="18"/>
                    </w:rPr>
                  </w:pPr>
                </w:p>
              </w:tc>
            </w:tr>
            <w:tr w14:paraId="27EE7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3F9C41A6">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7A83C7A6">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节能新材料</w:t>
                  </w:r>
                </w:p>
              </w:tc>
              <w:tc>
                <w:tcPr>
                  <w:tcW w:w="657" w:type="dxa"/>
                  <w:tcBorders>
                    <w:top w:val="single" w:color="auto" w:sz="4" w:space="0"/>
                    <w:left w:val="single" w:color="auto" w:sz="4" w:space="0"/>
                    <w:bottom w:val="single" w:color="auto" w:sz="4" w:space="0"/>
                    <w:right w:val="single" w:color="auto" w:sz="4" w:space="0"/>
                  </w:tcBorders>
                  <w:vAlign w:val="center"/>
                </w:tcPr>
                <w:p w14:paraId="58CF0815">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33EDA9A8">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28FABB4F">
                  <w:pPr>
                    <w:pStyle w:val="200"/>
                    <w:spacing w:before="24" w:after="24"/>
                    <w:rPr>
                      <w:rFonts w:hint="default" w:ascii="Times New Roman" w:hAnsi="Times New Roman" w:cs="Times New Roman"/>
                      <w:sz w:val="18"/>
                      <w:szCs w:val="18"/>
                    </w:rPr>
                  </w:pPr>
                </w:p>
              </w:tc>
            </w:tr>
            <w:tr w14:paraId="4CD7D6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restart"/>
                  <w:tcBorders>
                    <w:top w:val="single" w:color="auto" w:sz="4" w:space="0"/>
                    <w:left w:val="single" w:color="auto" w:sz="4" w:space="0"/>
                    <w:bottom w:val="single" w:color="auto" w:sz="4" w:space="0"/>
                    <w:right w:val="single" w:color="auto" w:sz="4" w:space="0"/>
                  </w:tcBorders>
                  <w:vAlign w:val="center"/>
                </w:tcPr>
                <w:p w14:paraId="1295D75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普通机械制造</w:t>
                  </w:r>
                </w:p>
              </w:tc>
              <w:tc>
                <w:tcPr>
                  <w:tcW w:w="3689" w:type="dxa"/>
                  <w:tcBorders>
                    <w:top w:val="single" w:color="auto" w:sz="4" w:space="0"/>
                    <w:left w:val="single" w:color="auto" w:sz="4" w:space="0"/>
                    <w:bottom w:val="single" w:color="auto" w:sz="4" w:space="0"/>
                    <w:right w:val="single" w:color="auto" w:sz="4" w:space="0"/>
                  </w:tcBorders>
                  <w:vAlign w:val="center"/>
                </w:tcPr>
                <w:p w14:paraId="2BBE744B">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金属加工机械制造业、轴承、阀门制造业、其它通用零部件制造业</w:t>
                  </w:r>
                </w:p>
              </w:tc>
              <w:tc>
                <w:tcPr>
                  <w:tcW w:w="657" w:type="dxa"/>
                  <w:tcBorders>
                    <w:top w:val="single" w:color="auto" w:sz="4" w:space="0"/>
                    <w:left w:val="single" w:color="auto" w:sz="4" w:space="0"/>
                    <w:bottom w:val="single" w:color="auto" w:sz="4" w:space="0"/>
                    <w:right w:val="single" w:color="auto" w:sz="4" w:space="0"/>
                  </w:tcBorders>
                  <w:vAlign w:val="center"/>
                </w:tcPr>
                <w:p w14:paraId="41573A57">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413B93FE">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7D8E41D">
                  <w:pPr>
                    <w:pStyle w:val="200"/>
                    <w:spacing w:before="24" w:after="24"/>
                    <w:rPr>
                      <w:rFonts w:hint="default" w:ascii="Times New Roman" w:hAnsi="Times New Roman" w:cs="Times New Roman"/>
                      <w:sz w:val="18"/>
                      <w:szCs w:val="18"/>
                    </w:rPr>
                  </w:pPr>
                </w:p>
              </w:tc>
            </w:tr>
            <w:tr w14:paraId="4F0004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26E4F7AD">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17DD7EEA">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锅炉、铸锻件制造业</w:t>
                  </w:r>
                </w:p>
              </w:tc>
              <w:tc>
                <w:tcPr>
                  <w:tcW w:w="657" w:type="dxa"/>
                  <w:tcBorders>
                    <w:top w:val="single" w:color="auto" w:sz="4" w:space="0"/>
                    <w:left w:val="single" w:color="auto" w:sz="4" w:space="0"/>
                    <w:bottom w:val="single" w:color="auto" w:sz="4" w:space="0"/>
                    <w:right w:val="single" w:color="auto" w:sz="4" w:space="0"/>
                  </w:tcBorders>
                  <w:vAlign w:val="center"/>
                </w:tcPr>
                <w:p w14:paraId="750742FE">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408D7BB9">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D9CD2B8">
                  <w:pPr>
                    <w:pStyle w:val="200"/>
                    <w:spacing w:before="24" w:after="24"/>
                    <w:rPr>
                      <w:rFonts w:hint="default" w:ascii="Times New Roman" w:hAnsi="Times New Roman" w:cs="Times New Roman"/>
                      <w:sz w:val="18"/>
                      <w:szCs w:val="18"/>
                    </w:rPr>
                  </w:pPr>
                </w:p>
              </w:tc>
            </w:tr>
            <w:tr w14:paraId="5B43F2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05" w:type="dxa"/>
                  <w:vMerge w:val="continue"/>
                  <w:tcBorders>
                    <w:top w:val="single" w:color="auto" w:sz="4" w:space="0"/>
                    <w:left w:val="single" w:color="auto" w:sz="4" w:space="0"/>
                    <w:bottom w:val="single" w:color="auto" w:sz="4" w:space="0"/>
                    <w:right w:val="single" w:color="auto" w:sz="4" w:space="0"/>
                  </w:tcBorders>
                  <w:vAlign w:val="center"/>
                </w:tcPr>
                <w:p w14:paraId="51903EF6">
                  <w:pPr>
                    <w:pStyle w:val="200"/>
                    <w:spacing w:before="24" w:after="24"/>
                    <w:rPr>
                      <w:rFonts w:hint="default" w:ascii="Times New Roman" w:hAnsi="Times New Roman" w:cs="Times New Roman"/>
                      <w:sz w:val="18"/>
                      <w:szCs w:val="18"/>
                    </w:rPr>
                  </w:pPr>
                </w:p>
              </w:tc>
              <w:tc>
                <w:tcPr>
                  <w:tcW w:w="3689" w:type="dxa"/>
                  <w:tcBorders>
                    <w:top w:val="single" w:color="auto" w:sz="4" w:space="0"/>
                    <w:left w:val="single" w:color="auto" w:sz="4" w:space="0"/>
                    <w:bottom w:val="single" w:color="auto" w:sz="4" w:space="0"/>
                    <w:right w:val="single" w:color="auto" w:sz="4" w:space="0"/>
                  </w:tcBorders>
                  <w:vAlign w:val="center"/>
                </w:tcPr>
                <w:p w14:paraId="31C37B70">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电动机制造业、通用设备制造业</w:t>
                  </w:r>
                </w:p>
              </w:tc>
              <w:tc>
                <w:tcPr>
                  <w:tcW w:w="657" w:type="dxa"/>
                  <w:tcBorders>
                    <w:top w:val="single" w:color="auto" w:sz="4" w:space="0"/>
                    <w:left w:val="single" w:color="auto" w:sz="4" w:space="0"/>
                    <w:bottom w:val="single" w:color="auto" w:sz="4" w:space="0"/>
                    <w:right w:val="single" w:color="auto" w:sz="4" w:space="0"/>
                  </w:tcBorders>
                  <w:vAlign w:val="center"/>
                </w:tcPr>
                <w:p w14:paraId="05FB654F">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2" w:type="dxa"/>
                  <w:vMerge w:val="continue"/>
                  <w:tcBorders>
                    <w:top w:val="single" w:color="auto" w:sz="4" w:space="0"/>
                    <w:left w:val="single" w:color="auto" w:sz="4" w:space="0"/>
                    <w:bottom w:val="single" w:color="auto" w:sz="4" w:space="0"/>
                    <w:right w:val="single" w:color="auto" w:sz="4" w:space="0"/>
                  </w:tcBorders>
                  <w:vAlign w:val="center"/>
                </w:tcPr>
                <w:p w14:paraId="52F0CACB">
                  <w:pPr>
                    <w:pStyle w:val="200"/>
                    <w:spacing w:before="24" w:after="24"/>
                    <w:rPr>
                      <w:rFonts w:hint="default" w:ascii="Times New Roman" w:hAnsi="Times New Roman" w:cs="Times New Roman"/>
                      <w:sz w:val="18"/>
                      <w:szCs w:val="18"/>
                    </w:rPr>
                  </w:pPr>
                </w:p>
              </w:tc>
              <w:tc>
                <w:tcPr>
                  <w:tcW w:w="719" w:type="dxa"/>
                  <w:vMerge w:val="continue"/>
                  <w:tcBorders>
                    <w:top w:val="single" w:color="auto" w:sz="4" w:space="0"/>
                    <w:left w:val="single" w:color="auto" w:sz="4" w:space="0"/>
                    <w:bottom w:val="single" w:color="auto" w:sz="4" w:space="0"/>
                    <w:right w:val="single" w:color="auto" w:sz="4" w:space="0"/>
                  </w:tcBorders>
                  <w:vAlign w:val="center"/>
                </w:tcPr>
                <w:p w14:paraId="3787BC5F">
                  <w:pPr>
                    <w:pStyle w:val="200"/>
                    <w:spacing w:before="24" w:after="24"/>
                    <w:rPr>
                      <w:rFonts w:hint="default" w:ascii="Times New Roman" w:hAnsi="Times New Roman" w:cs="Times New Roman"/>
                      <w:sz w:val="18"/>
                      <w:szCs w:val="18"/>
                    </w:rPr>
                  </w:pPr>
                </w:p>
              </w:tc>
            </w:tr>
            <w:tr w14:paraId="37DE9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412" w:type="dxa"/>
                  <w:gridSpan w:val="5"/>
                  <w:tcBorders>
                    <w:top w:val="single" w:color="auto" w:sz="4" w:space="0"/>
                    <w:left w:val="single" w:color="auto" w:sz="4" w:space="0"/>
                    <w:bottom w:val="single" w:color="auto" w:sz="4" w:space="0"/>
                    <w:right w:val="single" w:color="auto" w:sz="4" w:space="0"/>
                  </w:tcBorders>
                  <w:vAlign w:val="center"/>
                </w:tcPr>
                <w:p w14:paraId="48528873">
                  <w:pPr>
                    <w:pStyle w:val="200"/>
                    <w:spacing w:before="24" w:after="24"/>
                    <w:rPr>
                      <w:rFonts w:hint="default" w:ascii="Times New Roman" w:hAnsi="Times New Roman" w:cs="Times New Roman"/>
                      <w:sz w:val="18"/>
                      <w:szCs w:val="18"/>
                    </w:rPr>
                  </w:pPr>
                  <w:r>
                    <w:rPr>
                      <w:rFonts w:hint="default" w:ascii="Times New Roman" w:hAnsi="Times New Roman" w:cs="Times New Roman"/>
                      <w:sz w:val="18"/>
                      <w:szCs w:val="18"/>
                    </w:rPr>
                    <w:t>注：★—优先进入行业；●—准许进入行业；×—禁止进入行业。</w:t>
                  </w:r>
                </w:p>
              </w:tc>
            </w:tr>
          </w:tbl>
          <w:p w14:paraId="0B1CB1BF">
            <w:pPr>
              <w:autoSpaceDE w:val="0"/>
              <w:autoSpaceDN w:val="0"/>
              <w:adjustRightInd w:val="0"/>
              <w:snapToGrid w:val="0"/>
              <w:spacing w:line="360" w:lineRule="auto"/>
              <w:ind w:firstLine="420" w:firstLineChars="200"/>
              <w:rPr>
                <w:rFonts w:hint="default" w:ascii="Times New Roman" w:hAnsi="Times New Roman" w:cs="Times New Roman"/>
                <w:szCs w:val="21"/>
                <w:lang w:val="zh-CN"/>
              </w:rPr>
            </w:pPr>
            <w:r>
              <w:rPr>
                <w:rFonts w:hint="default" w:ascii="Times New Roman" w:hAnsi="Times New Roman" w:cs="Times New Roman"/>
                <w:szCs w:val="21"/>
              </w:rPr>
              <w:t>由表1-4可见，本项目</w:t>
            </w:r>
            <w:r>
              <w:rPr>
                <w:rFonts w:hint="eastAsia" w:ascii="Times New Roman" w:hAnsi="Times New Roman" w:cs="Times New Roman"/>
                <w:szCs w:val="21"/>
                <w:lang w:eastAsia="zh-CN"/>
              </w:rPr>
              <w:t>不</w:t>
            </w:r>
            <w:r>
              <w:rPr>
                <w:rFonts w:hint="default" w:ascii="Times New Roman" w:hAnsi="Times New Roman" w:cs="Times New Roman"/>
                <w:szCs w:val="21"/>
                <w:lang w:val="zh-CN"/>
              </w:rPr>
              <w:t>属于</w:t>
            </w:r>
            <w:r>
              <w:rPr>
                <w:rFonts w:hint="eastAsia" w:ascii="Times New Roman" w:hAnsi="Times New Roman" w:cs="Times New Roman"/>
                <w:szCs w:val="21"/>
                <w:lang w:val="zh-CN"/>
              </w:rPr>
              <w:t>禁止</w:t>
            </w:r>
            <w:r>
              <w:rPr>
                <w:rFonts w:hint="default" w:ascii="Times New Roman" w:hAnsi="Times New Roman" w:cs="Times New Roman"/>
                <w:szCs w:val="21"/>
                <w:lang w:val="zh-CN"/>
              </w:rPr>
              <w:t>准入行业</w:t>
            </w:r>
            <w:r>
              <w:rPr>
                <w:rFonts w:hint="eastAsia" w:cs="Times New Roman"/>
                <w:sz w:val="21"/>
                <w:szCs w:val="21"/>
                <w:lang w:val="zh-CN"/>
              </w:rPr>
              <w:t>，</w:t>
            </w:r>
            <w:r>
              <w:rPr>
                <w:rFonts w:hint="default" w:ascii="Times New Roman" w:hAnsi="Times New Roman" w:cs="Times New Roman"/>
                <w:szCs w:val="21"/>
                <w:lang w:val="zh-CN"/>
              </w:rPr>
              <w:t>因此</w:t>
            </w:r>
            <w:r>
              <w:rPr>
                <w:rFonts w:hint="default" w:ascii="Times New Roman" w:hAnsi="Times New Roman" w:cs="Times New Roman"/>
                <w:szCs w:val="21"/>
              </w:rPr>
              <w:t>本项目</w:t>
            </w:r>
            <w:r>
              <w:rPr>
                <w:rFonts w:hint="default" w:ascii="Times New Roman" w:hAnsi="Times New Roman" w:cs="Times New Roman"/>
                <w:szCs w:val="21"/>
                <w:lang w:val="zh-CN"/>
              </w:rPr>
              <w:t>符合淄川经济开发区环境准入要求。</w:t>
            </w:r>
          </w:p>
          <w:p w14:paraId="7A0F76F9">
            <w:pPr>
              <w:autoSpaceDE w:val="0"/>
              <w:autoSpaceDN w:val="0"/>
              <w:adjustRightInd w:val="0"/>
              <w:snapToGrid w:val="0"/>
              <w:spacing w:line="360" w:lineRule="auto"/>
              <w:ind w:firstLine="422" w:firstLineChars="200"/>
              <w:rPr>
                <w:kern w:val="0"/>
              </w:rPr>
            </w:pPr>
            <w:r>
              <w:rPr>
                <w:b/>
                <w:kern w:val="0"/>
              </w:rPr>
              <w:t>二、</w:t>
            </w:r>
            <w:r>
              <w:rPr>
                <w:b/>
              </w:rPr>
              <w:t>项目政策符合性分析</w:t>
            </w:r>
          </w:p>
          <w:p w14:paraId="5A68D961">
            <w:pPr>
              <w:adjustRightInd w:val="0"/>
              <w:snapToGrid w:val="0"/>
              <w:spacing w:line="360" w:lineRule="auto"/>
              <w:ind w:firstLine="420" w:firstLineChars="200"/>
            </w:pPr>
            <w:r>
              <w:t>1、产业政策符合性</w:t>
            </w:r>
          </w:p>
          <w:p w14:paraId="687633E2">
            <w:pPr>
              <w:adjustRightInd w:val="0"/>
              <w:snapToGrid w:val="0"/>
              <w:spacing w:line="360" w:lineRule="auto"/>
              <w:ind w:firstLine="420" w:firstLineChars="200"/>
            </w:pPr>
            <w:r>
              <w:rPr>
                <w:kern w:val="0"/>
              </w:rPr>
              <w:t>项目的规模、产品、工艺以及采用的生产设备不属于《产业结构调整指导目录（20</w:t>
            </w:r>
            <w:r>
              <w:rPr>
                <w:rFonts w:hint="eastAsia"/>
                <w:kern w:val="0"/>
                <w:lang w:val="en-US" w:eastAsia="zh-CN"/>
              </w:rPr>
              <w:t>24</w:t>
            </w:r>
            <w:r>
              <w:rPr>
                <w:kern w:val="0"/>
              </w:rPr>
              <w:t>年本）》中的</w:t>
            </w:r>
            <w:r>
              <w:rPr>
                <w:rFonts w:hint="eastAsia"/>
                <w:kern w:val="0"/>
                <w:lang w:eastAsia="zh-CN"/>
              </w:rPr>
              <w:t>鼓励类、</w:t>
            </w:r>
            <w:r>
              <w:rPr>
                <w:kern w:val="0"/>
              </w:rPr>
              <w:t>限制类和淘汰类项目</w:t>
            </w:r>
            <w:r>
              <w:rPr>
                <w:rFonts w:hint="eastAsia"/>
                <w:kern w:val="0"/>
                <w:lang w:eastAsia="zh-CN"/>
              </w:rPr>
              <w:t>，属于允许类项目</w:t>
            </w:r>
            <w:r>
              <w:rPr>
                <w:kern w:val="0"/>
              </w:rPr>
              <w:t>。根据</w:t>
            </w:r>
            <w:r>
              <w:rPr>
                <w:rFonts w:hint="eastAsia"/>
                <w:kern w:val="0"/>
                <w:lang w:eastAsia="zh-CN"/>
              </w:rPr>
              <w:t>淄博华鲁供水设备有限公司</w:t>
            </w:r>
            <w:r>
              <w:rPr>
                <w:kern w:val="0"/>
              </w:rPr>
              <w:t>申请的《山东省建设项目登记备案证明》（项目代码：</w:t>
            </w:r>
            <w:r>
              <w:rPr>
                <w:rFonts w:hint="eastAsia"/>
                <w:lang w:eastAsia="zh-CN"/>
              </w:rPr>
              <w:t>2403-370302-89-02-254574</w:t>
            </w:r>
            <w:r>
              <w:rPr>
                <w:kern w:val="0"/>
              </w:rPr>
              <w:t>），本项目符合国家产业政策。</w:t>
            </w:r>
          </w:p>
          <w:p w14:paraId="6096A8A3">
            <w:pPr>
              <w:adjustRightInd w:val="0"/>
              <w:snapToGrid w:val="0"/>
              <w:spacing w:line="360" w:lineRule="auto"/>
              <w:ind w:firstLine="420" w:firstLineChars="200"/>
            </w:pPr>
            <w:r>
              <w:t>2、土地政策符合性</w:t>
            </w:r>
          </w:p>
          <w:p w14:paraId="59CE59B0">
            <w:pPr>
              <w:pStyle w:val="29"/>
              <w:spacing w:line="360" w:lineRule="auto"/>
              <w:ind w:firstLine="420" w:firstLineChars="200"/>
              <w:rPr>
                <w:rFonts w:hint="eastAsia" w:eastAsia="宋体"/>
                <w:sz w:val="21"/>
                <w:szCs w:val="21"/>
                <w:highlight w:val="none"/>
                <w:lang w:val="en-US" w:eastAsia="zh-CN"/>
              </w:rPr>
            </w:pPr>
            <w:r>
              <w:rPr>
                <w:rFonts w:hint="eastAsia" w:cs="Times New Roman"/>
                <w:color w:val="auto"/>
                <w:sz w:val="21"/>
                <w:szCs w:val="21"/>
                <w:highlight w:val="none"/>
                <w:lang w:val="en-US" w:eastAsia="zh-CN"/>
              </w:rPr>
              <w:t>（1）</w:t>
            </w:r>
            <w:r>
              <w:rPr>
                <w:color w:val="auto"/>
                <w:kern w:val="0"/>
                <w:sz w:val="21"/>
                <w:szCs w:val="21"/>
              </w:rPr>
              <w:t>对照《</w:t>
            </w:r>
            <w:r>
              <w:rPr>
                <w:rFonts w:hint="eastAsia" w:ascii="Times New Roman" w:hAnsi="Times New Roman" w:eastAsia="宋体" w:cs="Times New Roman"/>
                <w:color w:val="auto"/>
                <w:kern w:val="0"/>
                <w:sz w:val="21"/>
                <w:szCs w:val="21"/>
                <w:highlight w:val="none"/>
                <w:lang w:val="en-US" w:eastAsia="zh-CN" w:bidi="ar-SA"/>
              </w:rPr>
              <w:t>自然资源要素支撑产业高质量发展指导目录（2024年本）</w:t>
            </w:r>
            <w:r>
              <w:rPr>
                <w:color w:val="auto"/>
                <w:kern w:val="0"/>
                <w:sz w:val="21"/>
                <w:szCs w:val="21"/>
              </w:rPr>
              <w:t>》，本项目不属于其规定的限制用地和禁止用地项目范畴，可视为允许建设项目</w:t>
            </w:r>
            <w:r>
              <w:rPr>
                <w:rFonts w:hint="eastAsia"/>
                <w:color w:val="auto"/>
                <w:kern w:val="0"/>
                <w:lang w:eastAsia="zh-CN"/>
              </w:rPr>
              <w:t>。</w:t>
            </w:r>
          </w:p>
          <w:p w14:paraId="43F2F30D">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w:t>
            </w:r>
            <w:r>
              <w:rPr>
                <w:rFonts w:hint="eastAsia" w:cs="Times New Roman"/>
                <w:szCs w:val="21"/>
                <w:highlight w:val="none"/>
                <w:lang w:val="en-US" w:eastAsia="zh-CN"/>
              </w:rPr>
              <w:t>2</w:t>
            </w:r>
            <w:r>
              <w:rPr>
                <w:rFonts w:hint="default" w:ascii="Times New Roman" w:hAnsi="Times New Roman" w:cs="Times New Roman"/>
                <w:color w:val="auto"/>
                <w:szCs w:val="21"/>
                <w:highlight w:val="none"/>
              </w:rPr>
              <w:t>）</w:t>
            </w:r>
            <w:r>
              <w:rPr>
                <w:rFonts w:hint="eastAsia" w:cs="Times New Roman"/>
                <w:color w:val="auto"/>
                <w:szCs w:val="21"/>
                <w:highlight w:val="none"/>
                <w:lang w:eastAsia="zh-CN"/>
              </w:rPr>
              <w:t>根据项目与</w:t>
            </w:r>
            <w:r>
              <w:rPr>
                <w:rFonts w:hint="default" w:ascii="Times New Roman" w:hAnsi="Times New Roman" w:cs="Times New Roman"/>
                <w:color w:val="auto"/>
                <w:szCs w:val="21"/>
                <w:highlight w:val="none"/>
              </w:rPr>
              <w:t>淄博市</w:t>
            </w:r>
            <w:r>
              <w:rPr>
                <w:rFonts w:hint="eastAsia" w:cs="Times New Roman"/>
                <w:color w:val="auto"/>
                <w:szCs w:val="21"/>
                <w:highlight w:val="none"/>
                <w:lang w:eastAsia="zh-CN"/>
              </w:rPr>
              <w:t>国土空间总体</w:t>
            </w:r>
            <w:r>
              <w:rPr>
                <w:rFonts w:hint="default" w:ascii="Times New Roman" w:hAnsi="Times New Roman" w:cs="Times New Roman"/>
                <w:color w:val="auto"/>
                <w:szCs w:val="21"/>
                <w:highlight w:val="none"/>
              </w:rPr>
              <w:t>规划</w:t>
            </w:r>
            <w:r>
              <w:rPr>
                <w:rFonts w:hint="eastAsia" w:cs="Times New Roman"/>
                <w:color w:val="auto"/>
                <w:szCs w:val="21"/>
                <w:highlight w:val="none"/>
                <w:lang w:eastAsia="zh-CN"/>
              </w:rPr>
              <w:t>位置关系</w:t>
            </w:r>
            <w:r>
              <w:rPr>
                <w:rFonts w:hint="default" w:ascii="Times New Roman" w:hAnsi="Times New Roman" w:cs="Times New Roman"/>
                <w:color w:val="auto"/>
                <w:szCs w:val="21"/>
                <w:highlight w:val="none"/>
              </w:rPr>
              <w:t>图（详见附图</w:t>
            </w:r>
            <w:r>
              <w:rPr>
                <w:rFonts w:hint="eastAsia" w:cs="Times New Roman"/>
                <w:color w:val="auto"/>
                <w:szCs w:val="21"/>
                <w:highlight w:val="none"/>
                <w:lang w:val="en-US" w:eastAsia="zh-CN"/>
              </w:rPr>
              <w:t>5</w:t>
            </w:r>
            <w:r>
              <w:rPr>
                <w:rFonts w:hint="default" w:ascii="Times New Roman" w:hAnsi="Times New Roman" w:cs="Times New Roman"/>
                <w:color w:val="auto"/>
                <w:szCs w:val="21"/>
                <w:highlight w:val="none"/>
              </w:rPr>
              <w:t>），本项目用地</w:t>
            </w:r>
            <w:r>
              <w:rPr>
                <w:rFonts w:hint="eastAsia" w:cs="Times New Roman"/>
                <w:color w:val="auto"/>
                <w:szCs w:val="21"/>
                <w:highlight w:val="none"/>
                <w:lang w:eastAsia="zh-CN"/>
              </w:rPr>
              <w:t>位于城镇开发边界内</w:t>
            </w:r>
            <w:r>
              <w:rPr>
                <w:rFonts w:hint="default" w:ascii="Times New Roman" w:hAnsi="Times New Roman" w:cs="Times New Roman"/>
                <w:color w:val="auto"/>
                <w:szCs w:val="21"/>
                <w:highlight w:val="none"/>
              </w:rPr>
              <w:t>，本项目的建设符合国土空间用途管制要求。</w:t>
            </w:r>
          </w:p>
          <w:p w14:paraId="3C870AEF">
            <w:pPr>
              <w:spacing w:line="360" w:lineRule="auto"/>
              <w:ind w:firstLine="420" w:firstLineChars="200"/>
              <w:rPr>
                <w:rFonts w:hint="default" w:ascii="Times New Roman" w:hAnsi="Times New Roman" w:cs="Times New Roman"/>
                <w:szCs w:val="21"/>
              </w:rPr>
            </w:pPr>
            <w:r>
              <w:rPr>
                <w:rFonts w:hint="eastAsia" w:cs="Times New Roman"/>
                <w:color w:val="auto"/>
                <w:szCs w:val="21"/>
                <w:highlight w:val="none"/>
                <w:lang w:eastAsia="zh-CN"/>
              </w:rPr>
              <w:t>（</w:t>
            </w:r>
            <w:r>
              <w:rPr>
                <w:rFonts w:hint="eastAsia" w:cs="Times New Roman"/>
                <w:color w:val="auto"/>
                <w:szCs w:val="21"/>
                <w:highlight w:val="none"/>
                <w:lang w:val="en-US" w:eastAsia="zh-CN"/>
              </w:rPr>
              <w:t>3</w:t>
            </w:r>
            <w:r>
              <w:rPr>
                <w:rFonts w:hint="eastAsia" w:cs="Times New Roman"/>
                <w:color w:val="auto"/>
                <w:szCs w:val="21"/>
                <w:highlight w:val="none"/>
                <w:lang w:eastAsia="zh-CN"/>
              </w:rPr>
              <w:t>）根据</w:t>
            </w:r>
            <w:r>
              <w:rPr>
                <w:rFonts w:hint="default" w:ascii="Times New Roman" w:hAnsi="Times New Roman" w:cs="Times New Roman"/>
                <w:color w:val="auto"/>
                <w:szCs w:val="21"/>
                <w:highlight w:val="none"/>
              </w:rPr>
              <w:t>《淄博市淄川经济开发区总体规划-土地利用规划图》（2012-2030年）（详见附图</w:t>
            </w:r>
            <w:r>
              <w:rPr>
                <w:rFonts w:hint="eastAsia" w:cs="Times New Roman"/>
                <w:color w:val="auto"/>
                <w:szCs w:val="21"/>
                <w:highlight w:val="none"/>
                <w:lang w:val="en-US" w:eastAsia="zh-CN"/>
              </w:rPr>
              <w:t>6</w:t>
            </w:r>
            <w:r>
              <w:rPr>
                <w:rFonts w:hint="default" w:ascii="Times New Roman" w:hAnsi="Times New Roman" w:cs="Times New Roman"/>
                <w:color w:val="auto"/>
                <w:szCs w:val="21"/>
                <w:highlight w:val="none"/>
              </w:rPr>
              <w:t>），本项目用地属于工业用地，本项目的建设符合国土空间用途管制要求。</w:t>
            </w:r>
          </w:p>
          <w:p w14:paraId="5B7CF983">
            <w:pPr>
              <w:pStyle w:val="76"/>
              <w:adjustRightInd w:val="0"/>
              <w:snapToGrid w:val="0"/>
              <w:spacing w:before="0" w:beforeAutospacing="0" w:after="0" w:afterAutospacing="0" w:line="360" w:lineRule="auto"/>
              <w:ind w:firstLine="420" w:firstLineChars="200"/>
              <w:jc w:val="both"/>
              <w:rPr>
                <w:rFonts w:ascii="Times New Roman" w:hAnsi="Times New Roman"/>
                <w:sz w:val="21"/>
                <w:szCs w:val="21"/>
              </w:rPr>
            </w:pPr>
            <w:r>
              <w:rPr>
                <w:rFonts w:ascii="Times New Roman" w:hAnsi="Times New Roman"/>
                <w:sz w:val="21"/>
                <w:szCs w:val="21"/>
              </w:rPr>
              <w:t>3、环保政策符合性分析</w:t>
            </w:r>
          </w:p>
          <w:p w14:paraId="70284723">
            <w:pPr>
              <w:tabs>
                <w:tab w:val="left" w:pos="5427"/>
              </w:tabs>
              <w:adjustRightInd w:val="0"/>
              <w:snapToGrid w:val="0"/>
              <w:spacing w:line="360" w:lineRule="auto"/>
              <w:ind w:firstLine="420" w:firstLineChars="200"/>
            </w:pPr>
            <w:r>
              <w:rPr>
                <w:bCs/>
              </w:rPr>
              <w:t>（1）</w:t>
            </w:r>
            <w:r>
              <w:t>与《关于做好环境影响评价制度与排污许可制衔接相关工作的通知》（环办环评[2017]84号）的符合性分析</w:t>
            </w:r>
          </w:p>
          <w:p w14:paraId="4259390D">
            <w:pPr>
              <w:adjustRightInd w:val="0"/>
              <w:snapToGrid w:val="0"/>
              <w:spacing w:line="360" w:lineRule="auto"/>
              <w:jc w:val="center"/>
              <w:rPr>
                <w:b/>
              </w:rPr>
            </w:pPr>
            <w:r>
              <w:rPr>
                <w:b/>
              </w:rPr>
              <w:t>表1-</w:t>
            </w:r>
            <w:r>
              <w:rPr>
                <w:rFonts w:hint="eastAsia"/>
                <w:b/>
                <w:lang w:val="en-US" w:eastAsia="zh-CN"/>
              </w:rPr>
              <w:t>5</w:t>
            </w:r>
            <w:r>
              <w:rPr>
                <w:b/>
              </w:rPr>
              <w:t>项目与环办环评[2017]84号文件符合性分析</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61"/>
              <w:gridCol w:w="2847"/>
              <w:gridCol w:w="644"/>
            </w:tblGrid>
            <w:tr w14:paraId="0F2035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45D0B3B9">
                  <w:pPr>
                    <w:pStyle w:val="200"/>
                    <w:spacing w:before="24" w:after="24"/>
                    <w:rPr>
                      <w:rFonts w:ascii="Times New Roman"/>
                      <w:b/>
                      <w:bCs/>
                      <w:color w:val="auto"/>
                      <w:sz w:val="18"/>
                      <w:szCs w:val="18"/>
                    </w:rPr>
                  </w:pPr>
                  <w:r>
                    <w:rPr>
                      <w:rFonts w:ascii="Times New Roman"/>
                      <w:b/>
                      <w:bCs/>
                      <w:color w:val="auto"/>
                      <w:sz w:val="18"/>
                      <w:szCs w:val="18"/>
                    </w:rPr>
                    <w:t>文件要求</w:t>
                  </w:r>
                </w:p>
              </w:tc>
              <w:tc>
                <w:tcPr>
                  <w:tcW w:w="2847" w:type="dxa"/>
                  <w:vAlign w:val="center"/>
                </w:tcPr>
                <w:p w14:paraId="01F6D023">
                  <w:pPr>
                    <w:pStyle w:val="200"/>
                    <w:spacing w:before="24" w:after="24"/>
                    <w:rPr>
                      <w:rFonts w:ascii="Times New Roman"/>
                      <w:b/>
                      <w:bCs/>
                      <w:color w:val="auto"/>
                      <w:sz w:val="18"/>
                      <w:szCs w:val="18"/>
                    </w:rPr>
                  </w:pPr>
                  <w:r>
                    <w:rPr>
                      <w:rFonts w:ascii="Times New Roman"/>
                      <w:b/>
                      <w:bCs/>
                      <w:color w:val="auto"/>
                      <w:sz w:val="18"/>
                      <w:szCs w:val="18"/>
                    </w:rPr>
                    <w:t>项目情况</w:t>
                  </w:r>
                </w:p>
              </w:tc>
              <w:tc>
                <w:tcPr>
                  <w:tcW w:w="644" w:type="dxa"/>
                  <w:tcMar>
                    <w:left w:w="28" w:type="dxa"/>
                    <w:right w:w="28" w:type="dxa"/>
                  </w:tcMar>
                  <w:vAlign w:val="center"/>
                </w:tcPr>
                <w:p w14:paraId="25D673FA">
                  <w:pPr>
                    <w:pStyle w:val="200"/>
                    <w:spacing w:before="24" w:after="24"/>
                    <w:rPr>
                      <w:rFonts w:ascii="Times New Roman"/>
                      <w:b/>
                      <w:bCs/>
                      <w:color w:val="auto"/>
                      <w:sz w:val="18"/>
                      <w:szCs w:val="18"/>
                    </w:rPr>
                  </w:pPr>
                  <w:r>
                    <w:rPr>
                      <w:rFonts w:ascii="Times New Roman"/>
                      <w:b/>
                      <w:bCs/>
                      <w:color w:val="auto"/>
                      <w:sz w:val="18"/>
                      <w:szCs w:val="18"/>
                    </w:rPr>
                    <w:t>符合性</w:t>
                  </w:r>
                </w:p>
              </w:tc>
            </w:tr>
            <w:tr w14:paraId="5EC18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30FE2D1B">
                  <w:pPr>
                    <w:pStyle w:val="200"/>
                    <w:spacing w:before="24" w:after="24"/>
                    <w:rPr>
                      <w:rFonts w:ascii="Times New Roman"/>
                      <w:color w:val="auto"/>
                      <w:sz w:val="18"/>
                      <w:szCs w:val="18"/>
                    </w:rPr>
                  </w:pPr>
                  <w:r>
                    <w:rPr>
                      <w:rFonts w:ascii="Times New Roman"/>
                      <w:color w:val="auto"/>
                      <w:sz w:val="18"/>
                      <w:szCs w:val="18"/>
                    </w:rPr>
                    <w:t>环境影响评价审批部门要做好建设项目环境影响报告书(表)的审查，结合排污许可证申请与核发技术规范，核定建设项目的产排污环节、污染物种类及污染防治设施和措施等基本信息；依据国家或地方污染物排放标准、环境质量标准和总量控制要求等管理规定，按照污染源源强核算技术指南、环境影响评价要素导则等技术文件，严格核定排放口数量、位置以及每个排放口的污染物种类、允许排放浓度和允许排放量、排放方式、排放去向、自行监测计划等与污染物排放相关的主要内容。</w:t>
                  </w:r>
                </w:p>
              </w:tc>
              <w:tc>
                <w:tcPr>
                  <w:tcW w:w="2847" w:type="dxa"/>
                  <w:vAlign w:val="center"/>
                </w:tcPr>
                <w:p w14:paraId="6D705017">
                  <w:pPr>
                    <w:pStyle w:val="200"/>
                    <w:spacing w:before="24" w:after="24"/>
                    <w:rPr>
                      <w:rFonts w:ascii="Times New Roman"/>
                      <w:color w:val="auto"/>
                      <w:sz w:val="18"/>
                      <w:szCs w:val="18"/>
                      <w:highlight w:val="yellow"/>
                    </w:rPr>
                  </w:pPr>
                  <w:r>
                    <w:rPr>
                      <w:rFonts w:ascii="Times New Roman"/>
                      <w:color w:val="auto"/>
                      <w:sz w:val="18"/>
                      <w:szCs w:val="18"/>
                    </w:rPr>
                    <w:t>本次环评根据环境影响评价要素导则严格核定了产排污环节、污染物种类及污染防治设施和措施、排放口数量、位置以及每个排放口的污染物种类、允许排放浓度和允许排放量、排放方式、排放去向、自行监测计划等与污染物排放相关的主要内容；污染物排放均依据国家相应标准要求进行核算。</w:t>
                  </w:r>
                </w:p>
              </w:tc>
              <w:tc>
                <w:tcPr>
                  <w:tcW w:w="644" w:type="dxa"/>
                  <w:vAlign w:val="center"/>
                </w:tcPr>
                <w:p w14:paraId="2A870663">
                  <w:pPr>
                    <w:pStyle w:val="200"/>
                    <w:spacing w:before="24" w:after="24"/>
                    <w:rPr>
                      <w:rFonts w:ascii="Times New Roman"/>
                      <w:color w:val="auto"/>
                      <w:sz w:val="18"/>
                      <w:szCs w:val="18"/>
                    </w:rPr>
                  </w:pPr>
                  <w:r>
                    <w:rPr>
                      <w:rFonts w:ascii="Times New Roman"/>
                      <w:color w:val="auto"/>
                      <w:sz w:val="18"/>
                      <w:szCs w:val="18"/>
                    </w:rPr>
                    <w:t>符合</w:t>
                  </w:r>
                </w:p>
              </w:tc>
            </w:tr>
            <w:tr w14:paraId="25ED87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662" w:type="dxa"/>
                  <w:vAlign w:val="center"/>
                </w:tcPr>
                <w:p w14:paraId="030EAD69">
                  <w:pPr>
                    <w:pStyle w:val="200"/>
                    <w:spacing w:before="24" w:after="24"/>
                    <w:rPr>
                      <w:rFonts w:ascii="Times New Roman"/>
                      <w:color w:val="auto"/>
                      <w:sz w:val="18"/>
                      <w:szCs w:val="18"/>
                    </w:rPr>
                  </w:pPr>
                  <w:r>
                    <w:rPr>
                      <w:rFonts w:ascii="Times New Roman"/>
                      <w:color w:val="auto"/>
                      <w:sz w:val="18"/>
                      <w:szCs w:val="18"/>
                    </w:rPr>
                    <w:t>建设项目发生实际排污行为之前，排污单位应当按照国家环境保护相关法律法规以及排污许可证申请与核发技术规范要求申请排污许可证，不得无证排污或不按证排污。环境影响报告书（表）2015年1月1日（含）后获得批准的建设项目，其环境影响报告书（表）以及审批文件中与污染物排放相关的主要内容应当纳入排污许可证。建设项目无证排污或不按证排污的，建设单位不得出具该项目验收合格的意见，验收报告中与污染物排放相关的主要内容应当纳入该项目验收完成当年排污许可证执行年报。排污许可证执行报告、台账记录以及自行监测执行情况等应作为开展建设项目环境影响后评价的重要依据。</w:t>
                  </w:r>
                </w:p>
              </w:tc>
              <w:tc>
                <w:tcPr>
                  <w:tcW w:w="2847" w:type="dxa"/>
                  <w:vAlign w:val="center"/>
                </w:tcPr>
                <w:p w14:paraId="5D390448">
                  <w:pPr>
                    <w:pStyle w:val="200"/>
                    <w:spacing w:before="24" w:after="24"/>
                    <w:rPr>
                      <w:rFonts w:ascii="Times New Roman"/>
                      <w:color w:val="auto"/>
                      <w:sz w:val="18"/>
                      <w:szCs w:val="18"/>
                    </w:rPr>
                  </w:pPr>
                  <w:r>
                    <w:rPr>
                      <w:rFonts w:ascii="Times New Roman"/>
                      <w:color w:val="auto"/>
                      <w:sz w:val="18"/>
                      <w:szCs w:val="18"/>
                    </w:rPr>
                    <w:t>本项目应当按照国家环境保护相关法律法规以及排污许可证申请与核发技术规范要求进行排污许可证的申请。建设项目未取得排污证，建设单位不得出具该项目验收合格的意见。</w:t>
                  </w:r>
                </w:p>
              </w:tc>
              <w:tc>
                <w:tcPr>
                  <w:tcW w:w="644" w:type="dxa"/>
                  <w:vAlign w:val="center"/>
                </w:tcPr>
                <w:p w14:paraId="44AE5109">
                  <w:pPr>
                    <w:pStyle w:val="200"/>
                    <w:spacing w:before="24" w:after="24"/>
                    <w:rPr>
                      <w:rFonts w:ascii="Times New Roman"/>
                      <w:color w:val="auto"/>
                      <w:sz w:val="18"/>
                      <w:szCs w:val="18"/>
                    </w:rPr>
                  </w:pPr>
                  <w:r>
                    <w:rPr>
                      <w:rFonts w:ascii="Times New Roman"/>
                      <w:color w:val="auto"/>
                      <w:sz w:val="18"/>
                      <w:szCs w:val="18"/>
                    </w:rPr>
                    <w:t>符合</w:t>
                  </w:r>
                </w:p>
              </w:tc>
            </w:tr>
          </w:tbl>
          <w:p w14:paraId="57DA7991">
            <w:pPr>
              <w:tabs>
                <w:tab w:val="left" w:pos="5427"/>
              </w:tabs>
              <w:spacing w:line="360" w:lineRule="auto"/>
              <w:ind w:firstLine="420" w:firstLineChars="200"/>
              <w:rPr>
                <w:bCs/>
                <w:highlight w:val="none"/>
              </w:rPr>
            </w:pPr>
            <w:r>
              <w:t>（2</w:t>
            </w:r>
            <w:r>
              <w:rPr>
                <w:highlight w:val="none"/>
              </w:rPr>
              <w:t>）</w:t>
            </w:r>
            <w:r>
              <w:rPr>
                <w:bCs/>
                <w:highlight w:val="none"/>
              </w:rPr>
              <w:t>与鲁环办函[2016]141号的相关符合性分析</w:t>
            </w:r>
          </w:p>
          <w:p w14:paraId="73FA84A8">
            <w:pPr>
              <w:tabs>
                <w:tab w:val="left" w:pos="5427"/>
              </w:tabs>
              <w:spacing w:line="360" w:lineRule="auto"/>
              <w:ind w:firstLine="420" w:firstLineChars="200"/>
              <w:rPr>
                <w:bCs/>
                <w:highlight w:val="none"/>
              </w:rPr>
            </w:pPr>
            <w:r>
              <w:rPr>
                <w:bCs/>
                <w:highlight w:val="none"/>
              </w:rPr>
              <w:t>山东省环保厅于2016年9月印发了《关于进一步加强建设项目固体废物环境管理的通知》（鲁环办函[2016]141号）。项目与该文件的符合性见下表。</w:t>
            </w:r>
          </w:p>
          <w:p w14:paraId="38A42BE6">
            <w:pPr>
              <w:spacing w:line="360" w:lineRule="auto"/>
              <w:jc w:val="center"/>
              <w:rPr>
                <w:b/>
                <w:sz w:val="18"/>
                <w:szCs w:val="18"/>
              </w:rPr>
            </w:pPr>
            <w:r>
              <w:rPr>
                <w:b/>
              </w:rPr>
              <w:t>表1-</w:t>
            </w:r>
            <w:r>
              <w:rPr>
                <w:rFonts w:hint="eastAsia"/>
                <w:b/>
                <w:lang w:val="en-US" w:eastAsia="zh-CN"/>
              </w:rPr>
              <w:t>6</w:t>
            </w:r>
            <w:r>
              <w:rPr>
                <w:b/>
              </w:rPr>
              <w:t>项目建设与鲁环办函[2016]141号文符合性分析</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2"/>
              <w:gridCol w:w="4570"/>
              <w:gridCol w:w="2930"/>
            </w:tblGrid>
            <w:tr w14:paraId="2B15D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18DE0F6C">
                  <w:pPr>
                    <w:pStyle w:val="200"/>
                    <w:spacing w:before="24" w:after="24"/>
                    <w:rPr>
                      <w:rFonts w:ascii="Times New Roman"/>
                      <w:b/>
                      <w:bCs/>
                      <w:color w:val="auto"/>
                      <w:sz w:val="18"/>
                      <w:szCs w:val="18"/>
                    </w:rPr>
                  </w:pPr>
                  <w:r>
                    <w:rPr>
                      <w:rFonts w:ascii="Times New Roman"/>
                      <w:b/>
                      <w:bCs/>
                      <w:color w:val="auto"/>
                      <w:sz w:val="18"/>
                      <w:szCs w:val="18"/>
                    </w:rPr>
                    <w:t>序号</w:t>
                  </w:r>
                </w:p>
              </w:tc>
              <w:tc>
                <w:tcPr>
                  <w:tcW w:w="4570" w:type="dxa"/>
                  <w:vAlign w:val="center"/>
                </w:tcPr>
                <w:p w14:paraId="462D9D50">
                  <w:pPr>
                    <w:pStyle w:val="200"/>
                    <w:spacing w:before="24" w:after="24"/>
                    <w:rPr>
                      <w:rFonts w:ascii="Times New Roman"/>
                      <w:b/>
                      <w:bCs/>
                      <w:color w:val="auto"/>
                      <w:sz w:val="18"/>
                      <w:szCs w:val="18"/>
                    </w:rPr>
                  </w:pPr>
                  <w:r>
                    <w:rPr>
                      <w:rFonts w:ascii="Times New Roman"/>
                      <w:b/>
                      <w:bCs/>
                      <w:color w:val="auto"/>
                      <w:sz w:val="18"/>
                      <w:szCs w:val="18"/>
                    </w:rPr>
                    <w:t>文件内容</w:t>
                  </w:r>
                </w:p>
              </w:tc>
              <w:tc>
                <w:tcPr>
                  <w:tcW w:w="2930" w:type="dxa"/>
                  <w:vAlign w:val="center"/>
                </w:tcPr>
                <w:p w14:paraId="14CC1DE9">
                  <w:pPr>
                    <w:pStyle w:val="200"/>
                    <w:spacing w:before="24" w:after="24"/>
                    <w:rPr>
                      <w:rFonts w:ascii="Times New Roman"/>
                      <w:b/>
                      <w:bCs/>
                      <w:color w:val="auto"/>
                      <w:sz w:val="18"/>
                      <w:szCs w:val="18"/>
                    </w:rPr>
                  </w:pPr>
                  <w:r>
                    <w:rPr>
                      <w:rFonts w:ascii="Times New Roman"/>
                      <w:b/>
                      <w:bCs/>
                      <w:color w:val="auto"/>
                      <w:sz w:val="18"/>
                      <w:szCs w:val="18"/>
                    </w:rPr>
                    <w:t>项目符合性</w:t>
                  </w:r>
                </w:p>
              </w:tc>
            </w:tr>
            <w:tr w14:paraId="1608B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76D7D5D9">
                  <w:pPr>
                    <w:pStyle w:val="200"/>
                    <w:spacing w:before="24" w:after="24"/>
                    <w:rPr>
                      <w:rFonts w:ascii="Times New Roman"/>
                      <w:color w:val="auto"/>
                      <w:sz w:val="18"/>
                      <w:szCs w:val="18"/>
                    </w:rPr>
                  </w:pPr>
                  <w:r>
                    <w:rPr>
                      <w:rFonts w:ascii="Times New Roman"/>
                      <w:color w:val="auto"/>
                      <w:sz w:val="18"/>
                      <w:szCs w:val="18"/>
                    </w:rPr>
                    <w:t>1</w:t>
                  </w:r>
                </w:p>
              </w:tc>
              <w:tc>
                <w:tcPr>
                  <w:tcW w:w="4570" w:type="dxa"/>
                  <w:vAlign w:val="center"/>
                </w:tcPr>
                <w:p w14:paraId="2013274B">
                  <w:pPr>
                    <w:pStyle w:val="324"/>
                    <w:jc w:val="both"/>
                    <w:rPr>
                      <w:sz w:val="18"/>
                      <w:szCs w:val="18"/>
                    </w:rPr>
                  </w:pPr>
                  <w:r>
                    <w:rPr>
                      <w:sz w:val="18"/>
                      <w:szCs w:val="18"/>
                    </w:rPr>
                    <w:t>环境影响评价机构在编制建设项目环境影响评价文件时，要依据原辅料、工艺设计和物料平衡，深入分析固体废物的产生环节、种类、性质及危害特性，科学预测产生量，评价其综合利用和无害化处置方式的环境影响，并提出相应的对策措施：一要结合建设项目的工艺过程，梳理说明各类固体废物(固态、半固态及高浓度液体)的产生环节、主要成分和理化特性；二要根据《固体废物鉴别导则(试行)》(国家环保总局公告2006年11号)的规定，对建设项目产生的各类副产物是否属于固体废物进行判断，属于固体废物的，应依据《国家危险废物名录》(以下简称《名录》)判断其是否属于危险废物，凡列入《名录》的，属于危险废物，不需再进行危险特性鉴别；未列入《名录》、但疑似危险废物的，应根据产生环节和主要成分进行分析，对可能含有危险组分的，应明确在项目试生产阶段，对其作危险特性鉴别要求，并提出鉴别指标选取的建议方案；三要对分析结果进行汇总，以列表形式说明建设项目产生的固体废物的名称、类别、属性和数量等情况。在评价建设项目固体废物的环境影响时，要逐项评价建设项目业主单位提出的固体废物利用处置方案是否符合环保要求，并对其可行性进行论证。环评机构要根据建设项目固体废物工程分析和环境影响预测结果，提出废物分类收集、安全贮存、综合利用和无害化处置的合理建议，按照《环境影响评价技术导则》的有关要求，编写环境影响报告固体废物污染防治章节。</w:t>
                  </w:r>
                </w:p>
              </w:tc>
              <w:tc>
                <w:tcPr>
                  <w:tcW w:w="2930" w:type="dxa"/>
                  <w:vAlign w:val="center"/>
                </w:tcPr>
                <w:p w14:paraId="18EC245D">
                  <w:pPr>
                    <w:pStyle w:val="324"/>
                    <w:jc w:val="both"/>
                    <w:rPr>
                      <w:color w:val="FF0000"/>
                      <w:sz w:val="18"/>
                      <w:szCs w:val="18"/>
                    </w:rPr>
                  </w:pPr>
                  <w:r>
                    <w:rPr>
                      <w:sz w:val="18"/>
                      <w:szCs w:val="18"/>
                    </w:rPr>
                    <w:t>本次评价环评编制期间，深入分析了固体废物的产生环节、种类、性质及危害特性，根据项目实际运行情况统计了相应固废产生量，并核实了相应处置措施的可行性，报告表提出废物分类收集、安全贮存、综合利用和无害化处置的合理建议。</w:t>
                  </w:r>
                </w:p>
              </w:tc>
            </w:tr>
            <w:tr w14:paraId="3BAA0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7" w:hRule="atLeast"/>
                <w:jc w:val="center"/>
              </w:trPr>
              <w:tc>
                <w:tcPr>
                  <w:tcW w:w="652" w:type="dxa"/>
                  <w:vAlign w:val="center"/>
                </w:tcPr>
                <w:p w14:paraId="16860165">
                  <w:pPr>
                    <w:pStyle w:val="200"/>
                    <w:spacing w:before="24" w:after="24"/>
                    <w:rPr>
                      <w:rFonts w:hint="eastAsia" w:ascii="Times New Roman" w:eastAsia="宋体"/>
                      <w:color w:val="auto"/>
                      <w:sz w:val="18"/>
                      <w:szCs w:val="18"/>
                      <w:lang w:eastAsia="zh-CN"/>
                    </w:rPr>
                  </w:pPr>
                  <w:r>
                    <w:rPr>
                      <w:rFonts w:hint="eastAsia" w:ascii="Times New Roman"/>
                      <w:color w:val="auto"/>
                      <w:sz w:val="18"/>
                      <w:szCs w:val="18"/>
                      <w:lang w:val="en-US" w:eastAsia="zh-CN"/>
                    </w:rPr>
                    <w:t>2</w:t>
                  </w:r>
                </w:p>
              </w:tc>
              <w:tc>
                <w:tcPr>
                  <w:tcW w:w="4570" w:type="dxa"/>
                  <w:vAlign w:val="center"/>
                </w:tcPr>
                <w:p w14:paraId="51993167">
                  <w:pPr>
                    <w:pStyle w:val="200"/>
                    <w:spacing w:before="24" w:after="24"/>
                    <w:jc w:val="both"/>
                    <w:rPr>
                      <w:rFonts w:ascii="Times New Roman"/>
                      <w:color w:val="auto"/>
                      <w:sz w:val="18"/>
                      <w:szCs w:val="18"/>
                    </w:rPr>
                  </w:pPr>
                  <w:r>
                    <w:rPr>
                      <w:rFonts w:ascii="Times New Roman"/>
                      <w:color w:val="auto"/>
                      <w:sz w:val="18"/>
                      <w:szCs w:val="18"/>
                    </w:rPr>
                    <w:t>核实配套工程落实情况：建有固体废物或危险废物贮存设施的，分别按一般工业固体废物和危险废物贮存有关技术标准检查，重点检查贮存设施的标志标识、防渗、污水导排、包装容器和分类存放等内容。建有固体废物填埋、焚烧等处置设施的，要对试生产期间设施的运行和污染物排放情况分析和监测。</w:t>
                  </w:r>
                </w:p>
              </w:tc>
              <w:tc>
                <w:tcPr>
                  <w:tcW w:w="2930" w:type="dxa"/>
                  <w:vAlign w:val="center"/>
                </w:tcPr>
                <w:p w14:paraId="3C5924CA">
                  <w:pPr>
                    <w:pStyle w:val="200"/>
                    <w:spacing w:before="24" w:after="24"/>
                    <w:jc w:val="both"/>
                    <w:rPr>
                      <w:rFonts w:ascii="Times New Roman"/>
                      <w:color w:val="auto"/>
                      <w:sz w:val="18"/>
                      <w:szCs w:val="18"/>
                    </w:rPr>
                  </w:pPr>
                  <w:r>
                    <w:rPr>
                      <w:rFonts w:ascii="Times New Roman"/>
                      <w:color w:val="auto"/>
                      <w:sz w:val="18"/>
                      <w:szCs w:val="18"/>
                    </w:rPr>
                    <w:t>企业</w:t>
                  </w:r>
                  <w:r>
                    <w:rPr>
                      <w:rFonts w:hint="eastAsia" w:ascii="Times New Roman"/>
                      <w:color w:val="auto"/>
                      <w:sz w:val="18"/>
                      <w:szCs w:val="18"/>
                      <w:lang w:eastAsia="zh-CN"/>
                    </w:rPr>
                    <w:t>新建一般固废仓库，</w:t>
                  </w:r>
                  <w:r>
                    <w:rPr>
                      <w:rFonts w:ascii="Times New Roman"/>
                      <w:color w:val="auto"/>
                      <w:sz w:val="18"/>
                      <w:szCs w:val="18"/>
                    </w:rPr>
                    <w:t>一般固废</w:t>
                  </w:r>
                  <w:r>
                    <w:rPr>
                      <w:rFonts w:hint="eastAsia" w:ascii="Times New Roman"/>
                      <w:color w:val="auto"/>
                      <w:sz w:val="18"/>
                      <w:szCs w:val="18"/>
                      <w:lang w:eastAsia="zh-CN"/>
                    </w:rPr>
                    <w:t>仓库</w:t>
                  </w:r>
                  <w:r>
                    <w:rPr>
                      <w:rFonts w:ascii="Times New Roman"/>
                      <w:color w:val="auto"/>
                      <w:sz w:val="18"/>
                      <w:szCs w:val="18"/>
                    </w:rPr>
                    <w:t>严格按照</w:t>
                  </w:r>
                  <w:r>
                    <w:rPr>
                      <w:rFonts w:hint="default" w:ascii="Times New Roman" w:hAnsi="Times New Roman" w:eastAsia="宋体" w:cs="Times New Roman"/>
                      <w:color w:val="auto"/>
                      <w:sz w:val="18"/>
                      <w:szCs w:val="18"/>
                      <w:lang w:eastAsia="zh-CN"/>
                    </w:rPr>
                    <w:t>《中华人民共和国固体废物污染环境防治法》</w:t>
                  </w:r>
                  <w:r>
                    <w:rPr>
                      <w:rFonts w:hint="eastAsia" w:ascii="Times New Roman" w:hAnsi="Times New Roman" w:eastAsia="宋体" w:cs="Times New Roman"/>
                      <w:color w:val="auto"/>
                      <w:sz w:val="18"/>
                      <w:szCs w:val="18"/>
                      <w:lang w:eastAsia="zh-CN"/>
                    </w:rPr>
                    <w:t>中的相关要求进行</w:t>
                  </w:r>
                  <w:r>
                    <w:rPr>
                      <w:rFonts w:ascii="Times New Roman"/>
                      <w:color w:val="auto"/>
                      <w:sz w:val="18"/>
                      <w:szCs w:val="18"/>
                    </w:rPr>
                    <w:t>设置；</w:t>
                  </w:r>
                  <w:r>
                    <w:rPr>
                      <w:rFonts w:hint="eastAsia" w:ascii="Times New Roman"/>
                      <w:color w:val="auto"/>
                      <w:sz w:val="18"/>
                      <w:szCs w:val="18"/>
                      <w:lang w:eastAsia="zh-CN"/>
                    </w:rPr>
                    <w:t>新建</w:t>
                  </w:r>
                  <w:r>
                    <w:rPr>
                      <w:rFonts w:ascii="Times New Roman"/>
                      <w:color w:val="auto"/>
                      <w:sz w:val="18"/>
                      <w:szCs w:val="18"/>
                    </w:rPr>
                    <w:t>危废暂存间，根</w:t>
                  </w:r>
                  <w:r>
                    <w:rPr>
                      <w:rFonts w:hint="default" w:ascii="Times New Roman" w:hAnsi="Times New Roman" w:eastAsia="宋体" w:cs="Times New Roman"/>
                      <w:color w:val="auto"/>
                      <w:sz w:val="18"/>
                      <w:szCs w:val="18"/>
                      <w:lang w:eastAsia="zh-CN"/>
                    </w:rPr>
                    <w:t>据《危险废物贮存污染控制标准》（GB18597-20</w:t>
                  </w:r>
                  <w:r>
                    <w:rPr>
                      <w:rFonts w:hint="eastAsia" w:ascii="Times New Roman" w:hAnsi="Times New Roman" w:eastAsia="宋体" w:cs="Times New Roman"/>
                      <w:color w:val="auto"/>
                      <w:sz w:val="18"/>
                      <w:szCs w:val="18"/>
                      <w:lang w:val="en-US" w:eastAsia="zh-CN"/>
                    </w:rPr>
                    <w:t>23</w:t>
                  </w:r>
                  <w:r>
                    <w:rPr>
                      <w:rFonts w:hint="default" w:ascii="Times New Roman" w:hAnsi="Times New Roman" w:eastAsia="宋体" w:cs="Times New Roman"/>
                      <w:color w:val="auto"/>
                      <w:sz w:val="18"/>
                      <w:szCs w:val="18"/>
                      <w:lang w:eastAsia="zh-CN"/>
                    </w:rPr>
                    <w:t>）要求设置贮存设施的标志标识</w:t>
                  </w:r>
                  <w:r>
                    <w:rPr>
                      <w:rFonts w:ascii="Times New Roman"/>
                      <w:color w:val="auto"/>
                      <w:sz w:val="18"/>
                      <w:szCs w:val="18"/>
                    </w:rPr>
                    <w:t>、防渗和污水导排等设施，分类存放，定期进行检查</w:t>
                  </w:r>
                  <w:r>
                    <w:rPr>
                      <w:rFonts w:hint="eastAsia" w:ascii="Times New Roman"/>
                      <w:color w:val="auto"/>
                      <w:sz w:val="18"/>
                      <w:szCs w:val="18"/>
                      <w:lang w:eastAsia="zh-CN"/>
                    </w:rPr>
                    <w:t>。</w:t>
                  </w:r>
                </w:p>
              </w:tc>
            </w:tr>
            <w:tr w14:paraId="26AFD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652" w:type="dxa"/>
                  <w:vAlign w:val="center"/>
                </w:tcPr>
                <w:p w14:paraId="2ACF8630">
                  <w:pPr>
                    <w:pStyle w:val="200"/>
                    <w:spacing w:before="24" w:after="24"/>
                    <w:rPr>
                      <w:rFonts w:hint="eastAsia" w:ascii="Times New Roman" w:eastAsia="宋体"/>
                      <w:color w:val="auto"/>
                      <w:sz w:val="18"/>
                      <w:szCs w:val="18"/>
                      <w:lang w:eastAsia="zh-CN"/>
                    </w:rPr>
                  </w:pPr>
                  <w:r>
                    <w:rPr>
                      <w:rFonts w:hint="eastAsia" w:ascii="Times New Roman"/>
                      <w:color w:val="auto"/>
                      <w:sz w:val="18"/>
                      <w:szCs w:val="18"/>
                      <w:lang w:val="en-US" w:eastAsia="zh-CN"/>
                    </w:rPr>
                    <w:t>3</w:t>
                  </w:r>
                </w:p>
              </w:tc>
              <w:tc>
                <w:tcPr>
                  <w:tcW w:w="4570" w:type="dxa"/>
                  <w:vAlign w:val="center"/>
                </w:tcPr>
                <w:p w14:paraId="283AE212">
                  <w:pPr>
                    <w:pStyle w:val="200"/>
                    <w:spacing w:before="24" w:after="24"/>
                    <w:jc w:val="both"/>
                    <w:rPr>
                      <w:rFonts w:ascii="Times New Roman"/>
                      <w:color w:val="auto"/>
                      <w:sz w:val="18"/>
                      <w:szCs w:val="18"/>
                    </w:rPr>
                  </w:pPr>
                  <w:r>
                    <w:rPr>
                      <w:rFonts w:ascii="Times New Roman"/>
                      <w:color w:val="auto"/>
                      <w:sz w:val="18"/>
                      <w:szCs w:val="18"/>
                    </w:rPr>
                    <w:t>检查固体废物利用处置方案和管理制度落实情况：应与环评报告提出的利用处置方案、污染事故应急预案和相关管理制度等进行对比，特别是对固体废物综合利用和无害化处置的情况要跟踪落实。利用处置工艺或接受单位发生变更的，要说明原因。属危险废物委托利用处置的，要核实接受单位资质情况，检查委托利用处置等协议合同，并说明试生产期间转移联单执行情况。</w:t>
                  </w:r>
                </w:p>
              </w:tc>
              <w:tc>
                <w:tcPr>
                  <w:tcW w:w="2930" w:type="dxa"/>
                  <w:vAlign w:val="center"/>
                </w:tcPr>
                <w:p w14:paraId="36D45113">
                  <w:pPr>
                    <w:pStyle w:val="200"/>
                    <w:spacing w:before="24" w:after="24"/>
                    <w:jc w:val="both"/>
                    <w:rPr>
                      <w:rFonts w:hint="eastAsia" w:ascii="Times New Roman" w:eastAsia="宋体"/>
                      <w:color w:val="auto"/>
                      <w:sz w:val="18"/>
                      <w:szCs w:val="18"/>
                      <w:lang w:eastAsia="zh-CN"/>
                    </w:rPr>
                  </w:pPr>
                  <w:r>
                    <w:rPr>
                      <w:rFonts w:hint="eastAsia" w:ascii="Times New Roman" w:cs="Times New Roman"/>
                      <w:caps w:val="0"/>
                      <w:color w:val="0C0C0C"/>
                      <w:spacing w:val="0"/>
                      <w:position w:val="0"/>
                      <w:sz w:val="18"/>
                      <w:szCs w:val="18"/>
                      <w:highlight w:val="none"/>
                      <w:lang w:eastAsia="zh-CN" w:bidi="ar"/>
                    </w:rPr>
                    <w:t>建立固体废物利用处置方案，制定固体废物管理制度并严格落实。本项目</w:t>
                  </w:r>
                  <w:r>
                    <w:rPr>
                      <w:rFonts w:hint="default" w:ascii="Times New Roman" w:hAnsi="Times New Roman" w:eastAsia="宋体" w:cs="Times New Roman"/>
                      <w:caps w:val="0"/>
                      <w:color w:val="0C0C0C"/>
                      <w:spacing w:val="0"/>
                      <w:position w:val="0"/>
                      <w:sz w:val="18"/>
                      <w:szCs w:val="18"/>
                      <w:highlight w:val="none"/>
                      <w:lang w:eastAsia="zh-CN" w:bidi="ar"/>
                    </w:rPr>
                    <w:t>生活垃圾存放于</w:t>
                  </w:r>
                  <w:r>
                    <w:rPr>
                      <w:rFonts w:hint="default" w:ascii="Times New Roman" w:hAnsi="Times New Roman" w:eastAsia="宋体" w:cs="Times New Roman"/>
                      <w:caps w:val="0"/>
                      <w:color w:val="0C0C0C"/>
                      <w:spacing w:val="0"/>
                      <w:position w:val="0"/>
                      <w:sz w:val="18"/>
                      <w:szCs w:val="18"/>
                      <w:highlight w:val="none"/>
                      <w:lang w:bidi="ar"/>
                    </w:rPr>
                    <w:t>厂区</w:t>
                  </w:r>
                  <w:r>
                    <w:rPr>
                      <w:rFonts w:hint="default" w:ascii="Times New Roman" w:hAnsi="Times New Roman" w:eastAsia="宋体" w:cs="Times New Roman"/>
                      <w:caps w:val="0"/>
                      <w:color w:val="0C0C0C"/>
                      <w:spacing w:val="0"/>
                      <w:position w:val="0"/>
                      <w:sz w:val="18"/>
                      <w:szCs w:val="18"/>
                      <w:highlight w:val="none"/>
                      <w:lang w:eastAsia="zh-CN" w:bidi="ar"/>
                    </w:rPr>
                    <w:t>垃圾桶内</w:t>
                  </w:r>
                  <w:r>
                    <w:rPr>
                      <w:rFonts w:hint="default" w:ascii="Times New Roman" w:hAnsi="Times New Roman" w:eastAsia="宋体" w:cs="Times New Roman"/>
                      <w:caps w:val="0"/>
                      <w:color w:val="0C0C0C"/>
                      <w:spacing w:val="0"/>
                      <w:position w:val="0"/>
                      <w:sz w:val="18"/>
                      <w:szCs w:val="18"/>
                      <w:highlight w:val="none"/>
                      <w:lang w:bidi="ar"/>
                    </w:rPr>
                    <w:t>，</w:t>
                  </w:r>
                  <w:r>
                    <w:rPr>
                      <w:rFonts w:hint="default" w:ascii="Times New Roman" w:hAnsi="Times New Roman" w:eastAsia="宋体" w:cs="Times New Roman"/>
                      <w:caps w:val="0"/>
                      <w:color w:val="0C0C0C"/>
                      <w:spacing w:val="0"/>
                      <w:position w:val="0"/>
                      <w:sz w:val="18"/>
                      <w:szCs w:val="18"/>
                      <w:highlight w:val="none"/>
                      <w:lang w:eastAsia="zh-CN" w:bidi="ar"/>
                    </w:rPr>
                    <w:t>由环卫部门定期清运</w:t>
                  </w:r>
                  <w:r>
                    <w:rPr>
                      <w:rFonts w:hint="default" w:ascii="Times New Roman" w:hAnsi="Times New Roman" w:eastAsia="宋体" w:cs="Times New Roman"/>
                      <w:caps w:val="0"/>
                      <w:color w:val="0C0C0C"/>
                      <w:spacing w:val="0"/>
                      <w:position w:val="0"/>
                      <w:sz w:val="18"/>
                      <w:szCs w:val="18"/>
                      <w:highlight w:val="none"/>
                      <w:lang w:bidi="ar"/>
                    </w:rPr>
                    <w:t>处理</w:t>
                  </w:r>
                  <w:r>
                    <w:rPr>
                      <w:rFonts w:hint="default" w:ascii="Times New Roman" w:hAnsi="Times New Roman" w:eastAsia="宋体" w:cs="Times New Roman"/>
                      <w:caps w:val="0"/>
                      <w:color w:val="0C0C0C"/>
                      <w:spacing w:val="0"/>
                      <w:position w:val="0"/>
                      <w:sz w:val="18"/>
                      <w:szCs w:val="18"/>
                      <w:highlight w:val="none"/>
                      <w:lang w:eastAsia="zh-CN" w:bidi="ar"/>
                    </w:rPr>
                    <w:t>；</w:t>
                  </w:r>
                  <w:r>
                    <w:rPr>
                      <w:rFonts w:hint="eastAsia" w:ascii="Times New Roman" w:cs="Times New Roman"/>
                      <w:caps w:val="0"/>
                      <w:color w:val="0C0C0C"/>
                      <w:spacing w:val="0"/>
                      <w:position w:val="0"/>
                      <w:sz w:val="18"/>
                      <w:szCs w:val="18"/>
                      <w:highlight w:val="none"/>
                      <w:lang w:eastAsia="zh-CN" w:bidi="ar"/>
                    </w:rPr>
                    <w:t>废金属边角料、废塑料边角料、</w:t>
                  </w:r>
                  <w:r>
                    <w:rPr>
                      <w:rFonts w:hint="eastAsia"/>
                      <w:sz w:val="18"/>
                      <w:szCs w:val="18"/>
                      <w:lang w:eastAsia="zh-CN"/>
                    </w:rPr>
                    <w:t>废包装袋、焊烟净化器收集的粉尘、废焊渣外卖处理，废油漆桶、稀释剂桶、废漆渣、废机油、废液压油、废过滤箱、过滤棉、废活性炭产生后暂存危废间，委托危废处置资质单位定期处置，委托处置前核实危废处置资质单位资质情况，签署处置协议合同，并严格执行转移联单制度。</w:t>
                  </w:r>
                </w:p>
              </w:tc>
            </w:tr>
            <w:tr w14:paraId="58F0F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52" w:type="dxa"/>
                  <w:vAlign w:val="center"/>
                </w:tcPr>
                <w:p w14:paraId="44B4F014">
                  <w:pPr>
                    <w:pStyle w:val="200"/>
                    <w:spacing w:before="24" w:after="24"/>
                    <w:rPr>
                      <w:rFonts w:hint="eastAsia" w:ascii="Times New Roman" w:eastAsia="宋体"/>
                      <w:color w:val="auto"/>
                      <w:sz w:val="18"/>
                      <w:szCs w:val="18"/>
                      <w:lang w:eastAsia="zh-CN"/>
                    </w:rPr>
                  </w:pPr>
                  <w:r>
                    <w:rPr>
                      <w:rFonts w:hint="eastAsia" w:ascii="Times New Roman"/>
                      <w:color w:val="auto"/>
                      <w:sz w:val="18"/>
                      <w:szCs w:val="18"/>
                      <w:lang w:val="en-US" w:eastAsia="zh-CN"/>
                    </w:rPr>
                    <w:t>4</w:t>
                  </w:r>
                </w:p>
              </w:tc>
              <w:tc>
                <w:tcPr>
                  <w:tcW w:w="4570" w:type="dxa"/>
                  <w:vAlign w:val="center"/>
                </w:tcPr>
                <w:p w14:paraId="442C7738">
                  <w:pPr>
                    <w:pStyle w:val="200"/>
                    <w:spacing w:before="24" w:after="24"/>
                    <w:jc w:val="both"/>
                    <w:rPr>
                      <w:rFonts w:ascii="Times New Roman"/>
                      <w:color w:val="auto"/>
                      <w:sz w:val="18"/>
                      <w:szCs w:val="18"/>
                    </w:rPr>
                  </w:pPr>
                  <w:r>
                    <w:rPr>
                      <w:rFonts w:ascii="Times New Roman"/>
                      <w:color w:val="auto"/>
                      <w:sz w:val="18"/>
                      <w:szCs w:val="18"/>
                    </w:rPr>
                    <w:t>建设项目的业主或负有管理责任的单位(以下统称“产生者”)对其产生的固体废物，应承担污染防治主体责任。在建设项目正式投入生产前，产生者应当如实提供建设项目的生产工艺、设备和原辅材料种类、性质和数量，分析可能产生固体废物的环节、数量和性质以及固体废物贮存、处置的方法和途径，供有关评价或验收监测机构参考。产生者应按国家有关法规要求，妥善利用处置产生的固体废物。属委托利用处置危险废物的，在委托前，产生者应对被委托方的处置资格、能力等进行调查核实，在此基础上，产生者应与被委托方签订书面委托协议，明确拟交与危险废物的种类、性质、数量、交付方式、运输和利用处置要求与标准等事项。处置时，产生者应主动了解、核实处置情况，保证委托协议得到实施，确保危险废物得到妥善、安全和无害化利用或处置。</w:t>
                  </w:r>
                </w:p>
              </w:tc>
              <w:tc>
                <w:tcPr>
                  <w:tcW w:w="2930" w:type="dxa"/>
                  <w:vAlign w:val="center"/>
                </w:tcPr>
                <w:p w14:paraId="121BEA4E">
                  <w:pPr>
                    <w:pStyle w:val="200"/>
                    <w:spacing w:before="24" w:after="24"/>
                    <w:jc w:val="both"/>
                    <w:rPr>
                      <w:rFonts w:ascii="Times New Roman"/>
                      <w:color w:val="auto"/>
                      <w:sz w:val="18"/>
                      <w:szCs w:val="18"/>
                    </w:rPr>
                  </w:pPr>
                  <w:r>
                    <w:rPr>
                      <w:rFonts w:hint="default" w:ascii="Times New Roman" w:hAnsi="Times New Roman" w:eastAsia="宋体" w:cs="Times New Roman"/>
                      <w:caps w:val="0"/>
                      <w:color w:val="0C0C0C"/>
                      <w:spacing w:val="0"/>
                      <w:position w:val="0"/>
                      <w:sz w:val="18"/>
                      <w:szCs w:val="18"/>
                      <w:highlight w:val="none"/>
                      <w:lang w:eastAsia="zh-CN" w:bidi="ar"/>
                    </w:rPr>
                    <w:t>生活垃圾存放于</w:t>
                  </w:r>
                  <w:r>
                    <w:rPr>
                      <w:rFonts w:hint="default" w:ascii="Times New Roman" w:hAnsi="Times New Roman" w:eastAsia="宋体" w:cs="Times New Roman"/>
                      <w:caps w:val="0"/>
                      <w:color w:val="0C0C0C"/>
                      <w:spacing w:val="0"/>
                      <w:position w:val="0"/>
                      <w:sz w:val="18"/>
                      <w:szCs w:val="18"/>
                      <w:highlight w:val="none"/>
                      <w:lang w:bidi="ar"/>
                    </w:rPr>
                    <w:t>厂区</w:t>
                  </w:r>
                  <w:r>
                    <w:rPr>
                      <w:rFonts w:hint="default" w:ascii="Times New Roman" w:hAnsi="Times New Roman" w:eastAsia="宋体" w:cs="Times New Roman"/>
                      <w:caps w:val="0"/>
                      <w:color w:val="0C0C0C"/>
                      <w:spacing w:val="0"/>
                      <w:position w:val="0"/>
                      <w:sz w:val="18"/>
                      <w:szCs w:val="18"/>
                      <w:highlight w:val="none"/>
                      <w:lang w:eastAsia="zh-CN" w:bidi="ar"/>
                    </w:rPr>
                    <w:t>垃圾桶内</w:t>
                  </w:r>
                  <w:r>
                    <w:rPr>
                      <w:rFonts w:hint="default" w:ascii="Times New Roman" w:hAnsi="Times New Roman" w:eastAsia="宋体" w:cs="Times New Roman"/>
                      <w:caps w:val="0"/>
                      <w:color w:val="0C0C0C"/>
                      <w:spacing w:val="0"/>
                      <w:position w:val="0"/>
                      <w:sz w:val="18"/>
                      <w:szCs w:val="18"/>
                      <w:highlight w:val="none"/>
                      <w:lang w:bidi="ar"/>
                    </w:rPr>
                    <w:t>，</w:t>
                  </w:r>
                  <w:r>
                    <w:rPr>
                      <w:rFonts w:hint="default" w:ascii="Times New Roman" w:hAnsi="Times New Roman" w:eastAsia="宋体" w:cs="Times New Roman"/>
                      <w:caps w:val="0"/>
                      <w:color w:val="0C0C0C"/>
                      <w:spacing w:val="0"/>
                      <w:position w:val="0"/>
                      <w:sz w:val="18"/>
                      <w:szCs w:val="18"/>
                      <w:highlight w:val="none"/>
                      <w:lang w:eastAsia="zh-CN" w:bidi="ar"/>
                    </w:rPr>
                    <w:t>由环卫部门定期清运</w:t>
                  </w:r>
                  <w:r>
                    <w:rPr>
                      <w:rFonts w:hint="default" w:ascii="Times New Roman" w:hAnsi="Times New Roman" w:eastAsia="宋体" w:cs="Times New Roman"/>
                      <w:caps w:val="0"/>
                      <w:color w:val="0C0C0C"/>
                      <w:spacing w:val="0"/>
                      <w:position w:val="0"/>
                      <w:sz w:val="18"/>
                      <w:szCs w:val="18"/>
                      <w:highlight w:val="none"/>
                      <w:lang w:bidi="ar"/>
                    </w:rPr>
                    <w:t>处理</w:t>
                  </w:r>
                  <w:r>
                    <w:rPr>
                      <w:rFonts w:hint="default" w:ascii="Times New Roman" w:hAnsi="Times New Roman" w:eastAsia="宋体" w:cs="Times New Roman"/>
                      <w:caps w:val="0"/>
                      <w:color w:val="0C0C0C"/>
                      <w:spacing w:val="0"/>
                      <w:position w:val="0"/>
                      <w:sz w:val="18"/>
                      <w:szCs w:val="18"/>
                      <w:highlight w:val="none"/>
                      <w:lang w:eastAsia="zh-CN" w:bidi="ar"/>
                    </w:rPr>
                    <w:t>；</w:t>
                  </w:r>
                  <w:r>
                    <w:rPr>
                      <w:rFonts w:hint="eastAsia" w:ascii="Times New Roman" w:cs="Times New Roman"/>
                      <w:caps w:val="0"/>
                      <w:color w:val="0C0C0C"/>
                      <w:spacing w:val="0"/>
                      <w:position w:val="0"/>
                      <w:sz w:val="18"/>
                      <w:szCs w:val="18"/>
                      <w:highlight w:val="none"/>
                      <w:lang w:eastAsia="zh-CN" w:bidi="ar"/>
                    </w:rPr>
                    <w:t>废金属边角料、废塑料边角料、</w:t>
                  </w:r>
                  <w:r>
                    <w:rPr>
                      <w:rFonts w:hint="eastAsia"/>
                      <w:sz w:val="18"/>
                      <w:szCs w:val="18"/>
                      <w:lang w:eastAsia="zh-CN"/>
                    </w:rPr>
                    <w:t>废包装袋、焊烟净化器收集的粉尘、废焊渣外卖处理，废油漆桶、稀释剂桶、废漆渣、废机油、废液压油、废过滤箱、过滤棉、废活性炭产生后暂存危废间，委托危废处置资质单位定期处置，项目产生的所有固体废物均能得到合理处置。</w:t>
                  </w:r>
                </w:p>
              </w:tc>
            </w:tr>
          </w:tbl>
          <w:p w14:paraId="49002875">
            <w:pPr>
              <w:pStyle w:val="2"/>
              <w:spacing w:line="420" w:lineRule="exact"/>
              <w:ind w:left="0" w:leftChars="0" w:firstLine="420" w:firstLineChars="200"/>
              <w:rPr>
                <w:sz w:val="21"/>
                <w:szCs w:val="21"/>
              </w:rPr>
            </w:pPr>
            <w:r>
              <w:rPr>
                <w:bCs/>
                <w:sz w:val="21"/>
                <w:szCs w:val="21"/>
              </w:rPr>
              <w:t>由上表可知，项目符合《关于进一步加强建设项目固体废物环境管理的通知》（鲁环办函[2016]141号）的要求。</w:t>
            </w:r>
          </w:p>
          <w:p w14:paraId="50B6C0CF">
            <w:pPr>
              <w:tabs>
                <w:tab w:val="left" w:pos="5427"/>
              </w:tabs>
              <w:spacing w:line="360" w:lineRule="auto"/>
              <w:ind w:firstLine="420" w:firstLineChars="200"/>
              <w:rPr>
                <w:bCs/>
              </w:rPr>
            </w:pPr>
            <w:r>
              <w:t>（3）</w:t>
            </w:r>
            <w:r>
              <w:rPr>
                <w:bCs/>
              </w:rPr>
              <w:t xml:space="preserve">与《山东省大气污染防治条例》的相关符合性分析 </w:t>
            </w:r>
          </w:p>
          <w:p w14:paraId="1BD112C1">
            <w:pPr>
              <w:tabs>
                <w:tab w:val="left" w:pos="5427"/>
              </w:tabs>
              <w:spacing w:line="360" w:lineRule="auto"/>
              <w:ind w:firstLine="420" w:firstLineChars="200"/>
              <w:rPr>
                <w:bCs/>
              </w:rPr>
            </w:pPr>
            <w:r>
              <w:rPr>
                <w:bCs/>
              </w:rPr>
              <w:t>本项目与《山东省大气污染防治条例》的符合性见下表：</w:t>
            </w:r>
          </w:p>
          <w:p w14:paraId="1EF273EC">
            <w:pPr>
              <w:spacing w:line="360" w:lineRule="auto"/>
              <w:jc w:val="center"/>
              <w:rPr>
                <w:b/>
              </w:rPr>
            </w:pPr>
            <w:r>
              <w:rPr>
                <w:b/>
              </w:rPr>
              <w:t>表1-</w:t>
            </w:r>
            <w:r>
              <w:rPr>
                <w:rFonts w:hint="eastAsia"/>
                <w:b/>
                <w:lang w:val="en-US" w:eastAsia="zh-CN"/>
              </w:rPr>
              <w:t>7</w:t>
            </w:r>
            <w:r>
              <w:rPr>
                <w:b/>
              </w:rPr>
              <w:t>项目与山东省大气污染防治条例符合情况分析</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82"/>
              <w:gridCol w:w="5358"/>
              <w:gridCol w:w="2212"/>
            </w:tblGrid>
            <w:tr w14:paraId="46A47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5" w:hRule="exact"/>
                <w:jc w:val="center"/>
              </w:trPr>
              <w:tc>
                <w:tcPr>
                  <w:tcW w:w="582" w:type="dxa"/>
                  <w:vAlign w:val="center"/>
                </w:tcPr>
                <w:p w14:paraId="7895D30B">
                  <w:pPr>
                    <w:pStyle w:val="1313"/>
                    <w:ind w:right="62"/>
                    <w:jc w:val="center"/>
                    <w:textAlignment w:val="baseline"/>
                    <w:rPr>
                      <w:rFonts w:ascii="Times New Roman" w:hAnsi="Times New Roman" w:cs="Times New Roman"/>
                      <w:b/>
                      <w:bCs/>
                      <w:sz w:val="18"/>
                      <w:szCs w:val="21"/>
                    </w:rPr>
                  </w:pPr>
                  <w:r>
                    <w:rPr>
                      <w:rFonts w:ascii="Times New Roman" w:hAnsi="Times New Roman" w:cs="Times New Roman"/>
                      <w:b/>
                      <w:bCs/>
                      <w:sz w:val="18"/>
                      <w:szCs w:val="16"/>
                    </w:rPr>
                    <w:t>序号</w:t>
                  </w:r>
                </w:p>
              </w:tc>
              <w:tc>
                <w:tcPr>
                  <w:tcW w:w="5358" w:type="dxa"/>
                  <w:vAlign w:val="center"/>
                </w:tcPr>
                <w:p w14:paraId="721AF841">
                  <w:pPr>
                    <w:pStyle w:val="1313"/>
                    <w:ind w:left="19"/>
                    <w:jc w:val="center"/>
                    <w:textAlignment w:val="baseline"/>
                    <w:rPr>
                      <w:rFonts w:ascii="Times New Roman" w:hAnsi="Times New Roman" w:cs="Times New Roman"/>
                      <w:b/>
                      <w:bCs/>
                      <w:sz w:val="18"/>
                      <w:szCs w:val="21"/>
                    </w:rPr>
                  </w:pPr>
                  <w:r>
                    <w:rPr>
                      <w:rFonts w:ascii="Times New Roman" w:hAnsi="Times New Roman" w:cs="Times New Roman"/>
                      <w:b/>
                      <w:bCs/>
                      <w:sz w:val="18"/>
                      <w:szCs w:val="16"/>
                    </w:rPr>
                    <w:t xml:space="preserve">规划要求 </w:t>
                  </w:r>
                </w:p>
              </w:tc>
              <w:tc>
                <w:tcPr>
                  <w:tcW w:w="2212" w:type="dxa"/>
                  <w:vAlign w:val="center"/>
                </w:tcPr>
                <w:p w14:paraId="121955DC">
                  <w:pPr>
                    <w:pStyle w:val="1313"/>
                    <w:ind w:left="57"/>
                    <w:jc w:val="center"/>
                    <w:textAlignment w:val="baseline"/>
                    <w:rPr>
                      <w:rFonts w:ascii="Times New Roman" w:hAnsi="Times New Roman" w:cs="Times New Roman"/>
                      <w:b/>
                      <w:bCs/>
                      <w:sz w:val="18"/>
                      <w:szCs w:val="21"/>
                    </w:rPr>
                  </w:pPr>
                  <w:r>
                    <w:rPr>
                      <w:rFonts w:ascii="Times New Roman" w:hAnsi="Times New Roman" w:cs="Times New Roman"/>
                      <w:b/>
                      <w:bCs/>
                      <w:sz w:val="18"/>
                      <w:szCs w:val="16"/>
                    </w:rPr>
                    <w:t>项目符合性</w:t>
                  </w:r>
                </w:p>
              </w:tc>
            </w:tr>
            <w:tr w14:paraId="611905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459" w:hRule="atLeast"/>
                <w:jc w:val="center"/>
              </w:trPr>
              <w:tc>
                <w:tcPr>
                  <w:tcW w:w="582" w:type="dxa"/>
                  <w:vAlign w:val="center"/>
                </w:tcPr>
                <w:p w14:paraId="5C602D98">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1</w:t>
                  </w:r>
                </w:p>
              </w:tc>
              <w:tc>
                <w:tcPr>
                  <w:tcW w:w="5358" w:type="dxa"/>
                  <w:vAlign w:val="center"/>
                </w:tcPr>
                <w:p w14:paraId="6550B72A">
                  <w:pPr>
                    <w:pStyle w:val="1313"/>
                    <w:ind w:left="129"/>
                    <w:jc w:val="both"/>
                    <w:textAlignment w:val="baseline"/>
                    <w:rPr>
                      <w:rFonts w:ascii="Times New Roman" w:hAnsi="Times New Roman" w:cs="Times New Roman"/>
                      <w:sz w:val="18"/>
                      <w:szCs w:val="21"/>
                    </w:rPr>
                  </w:pPr>
                  <w:r>
                    <w:rPr>
                      <w:rFonts w:ascii="Times New Roman" w:hAnsi="Times New Roman" w:cs="Times New Roman"/>
                      <w:sz w:val="18"/>
                      <w:szCs w:val="21"/>
                    </w:rPr>
                    <w:t>设区的市、县（市、区）人民政府应当制定本行政区域锅炉整治计划，按照国家和省有关规定要求淘汰、拆除燃煤小锅炉、分散燃煤锅炉和不能达标排放的其他燃煤锅炉，并对现有的燃煤锅炉进行超低排放改造。除国家和省另有规定外，在城市建成区、开发区、工业园区内不得新建额定蒸发量二十吨以下的直接燃煤、重油、渣油锅炉以及直接燃用生物质的锅炉。</w:t>
                  </w:r>
                </w:p>
              </w:tc>
              <w:tc>
                <w:tcPr>
                  <w:tcW w:w="2212" w:type="dxa"/>
                  <w:vAlign w:val="center"/>
                </w:tcPr>
                <w:p w14:paraId="37D9C22A">
                  <w:pPr>
                    <w:pStyle w:val="1313"/>
                    <w:jc w:val="center"/>
                    <w:textAlignment w:val="baseline"/>
                    <w:rPr>
                      <w:rFonts w:ascii="Times New Roman" w:hAnsi="Times New Roman" w:cs="Times New Roman"/>
                      <w:sz w:val="18"/>
                      <w:szCs w:val="21"/>
                      <w:lang w:val="en-US"/>
                    </w:rPr>
                  </w:pPr>
                  <w:r>
                    <w:rPr>
                      <w:rFonts w:ascii="Times New Roman" w:hAnsi="Times New Roman" w:cs="Times New Roman"/>
                      <w:sz w:val="18"/>
                      <w:szCs w:val="16"/>
                    </w:rPr>
                    <w:t>项目</w:t>
                  </w:r>
                  <w:r>
                    <w:rPr>
                      <w:rFonts w:ascii="Times New Roman" w:hAnsi="Times New Roman" w:cs="Times New Roman"/>
                      <w:sz w:val="18"/>
                      <w:szCs w:val="16"/>
                      <w:lang w:val="en-US"/>
                    </w:rPr>
                    <w:t>不涉及锅炉</w:t>
                  </w:r>
                </w:p>
              </w:tc>
            </w:tr>
            <w:tr w14:paraId="7641BF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9" w:hRule="atLeast"/>
                <w:jc w:val="center"/>
              </w:trPr>
              <w:tc>
                <w:tcPr>
                  <w:tcW w:w="582" w:type="dxa"/>
                  <w:vAlign w:val="center"/>
                </w:tcPr>
                <w:p w14:paraId="74AB8481">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2</w:t>
                  </w:r>
                </w:p>
              </w:tc>
              <w:tc>
                <w:tcPr>
                  <w:tcW w:w="5358" w:type="dxa"/>
                  <w:vAlign w:val="center"/>
                </w:tcPr>
                <w:p w14:paraId="4792D3E0">
                  <w:pPr>
                    <w:pStyle w:val="1313"/>
                    <w:ind w:left="129"/>
                    <w:jc w:val="both"/>
                    <w:textAlignment w:val="baseline"/>
                    <w:rPr>
                      <w:rFonts w:ascii="Times New Roman" w:hAnsi="Times New Roman" w:cs="Times New Roman"/>
                      <w:sz w:val="18"/>
                      <w:szCs w:val="21"/>
                    </w:rPr>
                  </w:pPr>
                  <w:r>
                    <w:rPr>
                      <w:rFonts w:ascii="Times New Roman" w:hAnsi="Times New Roman" w:cs="Times New Roman"/>
                      <w:sz w:val="18"/>
                      <w:szCs w:val="21"/>
                    </w:rPr>
                    <w:t>县级以上人民政府供热主管部门应当组织编制供热专项规划，发展分布式能源，统筹热源和管网建设，逐步扩大城乡集中供热范围。在集中供热管网覆盖区域内，禁止新建、扩建分散燃煤供热锅炉；已建成的分散燃煤供热锅炉应当在县级以上人民政府环境保护主管部门规定的期限内停止使用。</w:t>
                  </w:r>
                </w:p>
              </w:tc>
              <w:tc>
                <w:tcPr>
                  <w:tcW w:w="2212" w:type="dxa"/>
                  <w:vAlign w:val="center"/>
                </w:tcPr>
                <w:p w14:paraId="0191544F">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企业办公用热使用空调供热</w:t>
                  </w:r>
                </w:p>
              </w:tc>
            </w:tr>
            <w:tr w14:paraId="6C731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582" w:type="dxa"/>
                  <w:vAlign w:val="center"/>
                </w:tcPr>
                <w:p w14:paraId="2E7E7B3B">
                  <w:pPr>
                    <w:pStyle w:val="1313"/>
                    <w:ind w:right="62"/>
                    <w:jc w:val="center"/>
                    <w:textAlignment w:val="baseline"/>
                    <w:rPr>
                      <w:rFonts w:ascii="Times New Roman" w:hAnsi="Times New Roman" w:cs="Times New Roman"/>
                      <w:sz w:val="18"/>
                      <w:szCs w:val="21"/>
                    </w:rPr>
                  </w:pPr>
                  <w:r>
                    <w:rPr>
                      <w:rFonts w:ascii="Times New Roman" w:hAnsi="Times New Roman" w:cs="Times New Roman"/>
                      <w:sz w:val="18"/>
                      <w:szCs w:val="21"/>
                    </w:rPr>
                    <w:t>3</w:t>
                  </w:r>
                </w:p>
              </w:tc>
              <w:tc>
                <w:tcPr>
                  <w:tcW w:w="5358" w:type="dxa"/>
                  <w:vAlign w:val="center"/>
                </w:tcPr>
                <w:p w14:paraId="525544B9">
                  <w:pPr>
                    <w:pStyle w:val="1313"/>
                    <w:ind w:left="129"/>
                    <w:jc w:val="both"/>
                    <w:textAlignment w:val="baseline"/>
                    <w:rPr>
                      <w:rFonts w:ascii="Times New Roman" w:hAnsi="Times New Roman" w:cs="Times New Roman"/>
                      <w:sz w:val="18"/>
                      <w:szCs w:val="21"/>
                    </w:rPr>
                  </w:pPr>
                  <w:r>
                    <w:rPr>
                      <w:rFonts w:ascii="Times New Roman" w:hAnsi="Times New Roman" w:cs="Times New Roman"/>
                      <w:sz w:val="18"/>
                      <w:szCs w:val="16"/>
                    </w:rPr>
                    <w:t xml:space="preserve">燃煤机组应当实现超低排放，使大气污染物排放浓度符合规定限值。 </w:t>
                  </w:r>
                </w:p>
              </w:tc>
              <w:tc>
                <w:tcPr>
                  <w:tcW w:w="2212" w:type="dxa"/>
                  <w:vAlign w:val="center"/>
                </w:tcPr>
                <w:p w14:paraId="14741401">
                  <w:pPr>
                    <w:pStyle w:val="1313"/>
                    <w:ind w:left="57"/>
                    <w:jc w:val="center"/>
                    <w:textAlignment w:val="baseline"/>
                    <w:rPr>
                      <w:rFonts w:ascii="Times New Roman" w:hAnsi="Times New Roman" w:cs="Times New Roman"/>
                      <w:sz w:val="18"/>
                      <w:szCs w:val="21"/>
                    </w:rPr>
                  </w:pPr>
                  <w:r>
                    <w:rPr>
                      <w:rFonts w:ascii="Times New Roman" w:hAnsi="Times New Roman" w:cs="Times New Roman"/>
                      <w:sz w:val="18"/>
                      <w:szCs w:val="16"/>
                    </w:rPr>
                    <w:t>项目不涉及燃煤机组</w:t>
                  </w:r>
                </w:p>
              </w:tc>
            </w:tr>
            <w:tr w14:paraId="4C04A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0" w:hRule="atLeast"/>
                <w:jc w:val="center"/>
              </w:trPr>
              <w:tc>
                <w:tcPr>
                  <w:tcW w:w="582" w:type="dxa"/>
                  <w:vAlign w:val="center"/>
                </w:tcPr>
                <w:p w14:paraId="3771F5A4">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4</w:t>
                  </w:r>
                </w:p>
              </w:tc>
              <w:tc>
                <w:tcPr>
                  <w:tcW w:w="5358" w:type="dxa"/>
                  <w:vAlign w:val="center"/>
                </w:tcPr>
                <w:p w14:paraId="49C5AC5B">
                  <w:pPr>
                    <w:pStyle w:val="1313"/>
                    <w:ind w:left="129"/>
                    <w:jc w:val="both"/>
                    <w:textAlignment w:val="baseline"/>
                    <w:rPr>
                      <w:rFonts w:ascii="Times New Roman" w:hAnsi="Times New Roman" w:cs="Times New Roman"/>
                      <w:sz w:val="18"/>
                      <w:szCs w:val="21"/>
                    </w:rPr>
                  </w:pPr>
                  <w:r>
                    <w:rPr>
                      <w:rFonts w:ascii="Times New Roman" w:hAnsi="Times New Roman" w:cs="Times New Roman"/>
                      <w:sz w:val="18"/>
                      <w:szCs w:val="21"/>
                    </w:rPr>
                    <w:t>使用燃煤炉窑、煤气发生炉等设施的单位应当采用清洁生产工艺，配套建设除尘、脱硫、脱硝等装置，或者采取技术改造等其他控制大气污染物排放的措施。</w:t>
                  </w:r>
                </w:p>
              </w:tc>
              <w:tc>
                <w:tcPr>
                  <w:tcW w:w="2212" w:type="dxa"/>
                  <w:vAlign w:val="center"/>
                </w:tcPr>
                <w:p w14:paraId="20113999">
                  <w:pPr>
                    <w:pStyle w:val="1313"/>
                    <w:ind w:left="57"/>
                    <w:jc w:val="center"/>
                    <w:textAlignment w:val="baseline"/>
                    <w:rPr>
                      <w:rFonts w:ascii="Times New Roman" w:hAnsi="Times New Roman" w:cs="Times New Roman"/>
                      <w:sz w:val="18"/>
                      <w:szCs w:val="21"/>
                    </w:rPr>
                  </w:pPr>
                  <w:r>
                    <w:rPr>
                      <w:rFonts w:ascii="Times New Roman" w:hAnsi="Times New Roman" w:cs="Times New Roman"/>
                      <w:sz w:val="18"/>
                      <w:szCs w:val="21"/>
                    </w:rPr>
                    <w:t>项目不涉及燃煤炉窑、煤气发生炉</w:t>
                  </w:r>
                </w:p>
              </w:tc>
            </w:tr>
            <w:tr w14:paraId="6D16D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48" w:hRule="atLeast"/>
                <w:jc w:val="center"/>
              </w:trPr>
              <w:tc>
                <w:tcPr>
                  <w:tcW w:w="582" w:type="dxa"/>
                  <w:vAlign w:val="center"/>
                </w:tcPr>
                <w:p w14:paraId="679CB5EF">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5</w:t>
                  </w:r>
                </w:p>
              </w:tc>
              <w:tc>
                <w:tcPr>
                  <w:tcW w:w="5358" w:type="dxa"/>
                  <w:vAlign w:val="center"/>
                </w:tcPr>
                <w:p w14:paraId="33CE6698">
                  <w:pPr>
                    <w:pStyle w:val="1313"/>
                    <w:ind w:left="129"/>
                    <w:jc w:val="both"/>
                    <w:textAlignment w:val="baseline"/>
                    <w:rPr>
                      <w:rFonts w:ascii="Times New Roman" w:hAnsi="Times New Roman" w:cs="Times New Roman"/>
                      <w:sz w:val="18"/>
                      <w:szCs w:val="21"/>
                    </w:rPr>
                  </w:pPr>
                  <w:r>
                    <w:rPr>
                      <w:rFonts w:ascii="Times New Roman" w:hAnsi="Times New Roman" w:cs="Times New Roman"/>
                      <w:sz w:val="18"/>
                      <w:szCs w:val="21"/>
                    </w:rPr>
                    <w:t>县级以上人民政府应当合理确定产业布局和发展规模，制定产业投资项目负面清单，严格控制新建、扩建钢铁、石化、化工、有色金属冶炼、水泥、平板玻璃、建筑陶瓷等工业项目，鼓励、支持现有的工业企业进行技术升级改造。在城市建成区及其周边的重污染企业，应当逐步进行搬迁改造或者转型退出。</w:t>
                  </w:r>
                </w:p>
              </w:tc>
              <w:tc>
                <w:tcPr>
                  <w:tcW w:w="2212" w:type="dxa"/>
                  <w:vAlign w:val="center"/>
                </w:tcPr>
                <w:p w14:paraId="2F60AA1E">
                  <w:pPr>
                    <w:pStyle w:val="1313"/>
                    <w:jc w:val="center"/>
                    <w:textAlignment w:val="baseline"/>
                    <w:rPr>
                      <w:rFonts w:ascii="Times New Roman" w:hAnsi="Times New Roman" w:cs="Times New Roman"/>
                      <w:sz w:val="18"/>
                      <w:szCs w:val="21"/>
                      <w:lang w:val="en-US"/>
                    </w:rPr>
                  </w:pPr>
                  <w:r>
                    <w:rPr>
                      <w:rFonts w:hint="eastAsia" w:ascii="Times New Roman" w:hAnsi="Times New Roman" w:cs="Times New Roman"/>
                      <w:sz w:val="18"/>
                      <w:szCs w:val="21"/>
                      <w:lang w:eastAsia="zh-CN"/>
                    </w:rPr>
                    <w:t>本项目属于</w:t>
                  </w:r>
                  <w:r>
                    <w:rPr>
                      <w:rFonts w:hint="eastAsia" w:cs="Times New Roman"/>
                      <w:sz w:val="18"/>
                      <w:szCs w:val="18"/>
                      <w:lang w:val="en-US" w:eastAsia="zh-CN"/>
                    </w:rPr>
                    <w:t>通用设备制造业、塑料制品业</w:t>
                  </w:r>
                  <w:r>
                    <w:rPr>
                      <w:rFonts w:hint="eastAsia" w:ascii="Times New Roman" w:hAnsi="Times New Roman" w:cs="Times New Roman"/>
                      <w:sz w:val="18"/>
                      <w:szCs w:val="21"/>
                      <w:lang w:eastAsia="zh-CN"/>
                    </w:rPr>
                    <w:t>，</w:t>
                  </w:r>
                  <w:r>
                    <w:rPr>
                      <w:rFonts w:ascii="Times New Roman" w:hAnsi="Times New Roman" w:cs="Times New Roman"/>
                      <w:sz w:val="18"/>
                      <w:szCs w:val="21"/>
                    </w:rPr>
                    <w:t>项目</w:t>
                  </w:r>
                  <w:r>
                    <w:rPr>
                      <w:rFonts w:ascii="Times New Roman" w:hAnsi="Times New Roman" w:cs="Times New Roman"/>
                      <w:sz w:val="18"/>
                      <w:szCs w:val="21"/>
                      <w:lang w:val="en-US"/>
                    </w:rPr>
                    <w:t>不涉及钢铁、石化、化工、有色金属冶炼、水泥、平板玻璃、建筑陶瓷等工业项目。</w:t>
                  </w:r>
                </w:p>
              </w:tc>
            </w:tr>
            <w:tr w14:paraId="18C10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82" w:type="dxa"/>
                  <w:vAlign w:val="center"/>
                </w:tcPr>
                <w:p w14:paraId="6EF49E14">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6</w:t>
                  </w:r>
                </w:p>
              </w:tc>
              <w:tc>
                <w:tcPr>
                  <w:tcW w:w="5358" w:type="dxa"/>
                  <w:vAlign w:val="center"/>
                </w:tcPr>
                <w:p w14:paraId="31142E7D">
                  <w:pPr>
                    <w:pStyle w:val="1313"/>
                    <w:ind w:left="129"/>
                    <w:jc w:val="both"/>
                    <w:textAlignment w:val="baseline"/>
                    <w:rPr>
                      <w:rFonts w:ascii="Times New Roman" w:hAnsi="Times New Roman" w:cs="Times New Roman"/>
                      <w:sz w:val="18"/>
                      <w:szCs w:val="21"/>
                    </w:rPr>
                  </w:pPr>
                  <w:r>
                    <w:rPr>
                      <w:rFonts w:ascii="Times New Roman" w:hAnsi="Times New Roman" w:cs="Times New Roman"/>
                      <w:sz w:val="18"/>
                      <w:szCs w:val="21"/>
                    </w:rPr>
                    <w:t>对不经过排气筒集中排放的大气污染物，排污单位应当采取密闭、封闭、集中收集、吸附、分解等处理措施，严格控制生产过程以及内部物料堆存、传输、装卸等环节产生的粉尘和气态污染物的排放。</w:t>
                  </w:r>
                </w:p>
              </w:tc>
              <w:tc>
                <w:tcPr>
                  <w:tcW w:w="2212" w:type="dxa"/>
                  <w:vAlign w:val="center"/>
                </w:tcPr>
                <w:p w14:paraId="52C8E40F">
                  <w:pPr>
                    <w:pStyle w:val="1313"/>
                    <w:jc w:val="center"/>
                    <w:textAlignment w:val="baseline"/>
                    <w:rPr>
                      <w:rFonts w:ascii="Times New Roman" w:hAnsi="Times New Roman" w:cs="Times New Roman"/>
                      <w:sz w:val="18"/>
                      <w:szCs w:val="21"/>
                      <w:lang w:val="en-US"/>
                    </w:rPr>
                  </w:pPr>
                  <w:r>
                    <w:rPr>
                      <w:rFonts w:ascii="Times New Roman" w:hAnsi="Times New Roman" w:cs="Times New Roman"/>
                      <w:sz w:val="18"/>
                      <w:szCs w:val="21"/>
                    </w:rPr>
                    <w:t>本项目所有产污工序均进行密闭、局部封闭</w:t>
                  </w:r>
                  <w:r>
                    <w:rPr>
                      <w:rFonts w:hint="eastAsia" w:ascii="Times New Roman" w:hAnsi="Times New Roman" w:cs="Times New Roman"/>
                      <w:sz w:val="18"/>
                      <w:szCs w:val="21"/>
                      <w:lang w:eastAsia="zh-CN"/>
                    </w:rPr>
                    <w:t>或</w:t>
                  </w:r>
                  <w:r>
                    <w:rPr>
                      <w:rFonts w:ascii="Times New Roman" w:hAnsi="Times New Roman" w:cs="Times New Roman"/>
                      <w:sz w:val="18"/>
                      <w:szCs w:val="21"/>
                    </w:rPr>
                    <w:t>集中收集，通过</w:t>
                  </w:r>
                  <w:r>
                    <w:rPr>
                      <w:rFonts w:ascii="Times New Roman" w:hAnsi="Times New Roman" w:cs="Times New Roman"/>
                      <w:sz w:val="18"/>
                      <w:szCs w:val="21"/>
                      <w:lang w:val="en-US"/>
                    </w:rPr>
                    <w:t>环保设施</w:t>
                  </w:r>
                  <w:r>
                    <w:rPr>
                      <w:rFonts w:ascii="Times New Roman" w:hAnsi="Times New Roman" w:cs="Times New Roman"/>
                      <w:sz w:val="18"/>
                      <w:szCs w:val="21"/>
                    </w:rPr>
                    <w:t>处理后有组织排放</w:t>
                  </w:r>
                </w:p>
              </w:tc>
            </w:tr>
            <w:tr w14:paraId="250098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63" w:hRule="atLeast"/>
                <w:jc w:val="center"/>
              </w:trPr>
              <w:tc>
                <w:tcPr>
                  <w:tcW w:w="582" w:type="dxa"/>
                  <w:vAlign w:val="center"/>
                </w:tcPr>
                <w:p w14:paraId="78320407">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7</w:t>
                  </w:r>
                </w:p>
              </w:tc>
              <w:tc>
                <w:tcPr>
                  <w:tcW w:w="5358" w:type="dxa"/>
                  <w:vAlign w:val="center"/>
                </w:tcPr>
                <w:p w14:paraId="08A4993C">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石化、重点有机化工等工业企业应当建立泄漏检测与修复体系，对管道、设备等进行日常检修、维护，及时收集处理泄漏物料。</w:t>
                  </w:r>
                </w:p>
              </w:tc>
              <w:tc>
                <w:tcPr>
                  <w:tcW w:w="2212" w:type="dxa"/>
                  <w:vAlign w:val="center"/>
                </w:tcPr>
                <w:p w14:paraId="740F956C">
                  <w:pPr>
                    <w:pStyle w:val="1313"/>
                    <w:ind w:left="57"/>
                    <w:jc w:val="center"/>
                    <w:textAlignment w:val="baseline"/>
                    <w:rPr>
                      <w:rFonts w:ascii="Times New Roman" w:hAnsi="Times New Roman" w:cs="Times New Roman"/>
                      <w:sz w:val="18"/>
                      <w:szCs w:val="21"/>
                      <w:lang w:val="en-US"/>
                    </w:rPr>
                  </w:pPr>
                  <w:r>
                    <w:rPr>
                      <w:rFonts w:ascii="Times New Roman" w:hAnsi="Times New Roman" w:cs="Times New Roman"/>
                      <w:sz w:val="18"/>
                      <w:szCs w:val="21"/>
                    </w:rPr>
                    <w:t>项目不涉及石化、重点有机化工</w:t>
                  </w:r>
                  <w:r>
                    <w:rPr>
                      <w:rFonts w:ascii="Times New Roman" w:hAnsi="Times New Roman" w:cs="Times New Roman"/>
                      <w:sz w:val="18"/>
                      <w:szCs w:val="21"/>
                      <w:lang w:val="en-US"/>
                    </w:rPr>
                    <w:t>行业</w:t>
                  </w:r>
                </w:p>
              </w:tc>
            </w:tr>
            <w:tr w14:paraId="677628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393" w:hRule="atLeast"/>
                <w:jc w:val="center"/>
              </w:trPr>
              <w:tc>
                <w:tcPr>
                  <w:tcW w:w="582" w:type="dxa"/>
                  <w:vAlign w:val="center"/>
                </w:tcPr>
                <w:p w14:paraId="6E78B496">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8</w:t>
                  </w:r>
                </w:p>
              </w:tc>
              <w:tc>
                <w:tcPr>
                  <w:tcW w:w="5358" w:type="dxa"/>
                  <w:vAlign w:val="center"/>
                </w:tcPr>
                <w:p w14:paraId="17F7BD02">
                  <w:pPr>
                    <w:pStyle w:val="1313"/>
                    <w:ind w:left="129"/>
                    <w:jc w:val="both"/>
                    <w:textAlignment w:val="baseline"/>
                    <w:rPr>
                      <w:rFonts w:ascii="Times New Roman" w:hAnsi="Times New Roman" w:cs="Times New Roman"/>
                      <w:sz w:val="18"/>
                      <w:szCs w:val="21"/>
                    </w:rPr>
                  </w:pPr>
                  <w:r>
                    <w:rPr>
                      <w:rFonts w:ascii="Times New Roman" w:hAnsi="Times New Roman" w:cs="Times New Roman"/>
                      <w:sz w:val="18"/>
                      <w:szCs w:val="21"/>
                    </w:rPr>
                    <w:t>生产、销售、使用含挥发性有机物的原材料和产品的，其挥发性有机物含量应当符合质量标准或者要求。省人民政府质量技术监督部门应当会同环境保护等部门，定期制定、调整低挥发性有机物含量产品目录和高挥发性有机物含量产品目录并向社会公布。列入高挥发性有机物含量产品目录的产品，应当在其包装或者说明中予以标注。</w:t>
                  </w:r>
                </w:p>
              </w:tc>
              <w:tc>
                <w:tcPr>
                  <w:tcW w:w="2212" w:type="dxa"/>
                  <w:vAlign w:val="center"/>
                </w:tcPr>
                <w:p w14:paraId="142F7B28">
                  <w:pPr>
                    <w:pStyle w:val="1313"/>
                    <w:jc w:val="center"/>
                    <w:textAlignment w:val="baseline"/>
                    <w:rPr>
                      <w:rFonts w:hint="eastAsia" w:ascii="Times New Roman" w:hAnsi="Times New Roman" w:eastAsia="宋体" w:cs="Times New Roman"/>
                      <w:sz w:val="18"/>
                      <w:szCs w:val="21"/>
                      <w:lang w:eastAsia="zh-CN"/>
                    </w:rPr>
                  </w:pPr>
                  <w:r>
                    <w:rPr>
                      <w:rFonts w:ascii="Times New Roman" w:hAnsi="Times New Roman" w:cs="Times New Roman"/>
                      <w:sz w:val="18"/>
                      <w:szCs w:val="21"/>
                    </w:rPr>
                    <w:t>项目</w:t>
                  </w:r>
                  <w:r>
                    <w:rPr>
                      <w:rFonts w:hint="eastAsia" w:ascii="Times New Roman" w:hAnsi="Times New Roman" w:cs="Times New Roman"/>
                      <w:sz w:val="18"/>
                      <w:szCs w:val="21"/>
                      <w:lang w:eastAsia="zh-CN"/>
                    </w:rPr>
                    <w:t>使用的不饱和聚酯树脂不属于</w:t>
                  </w:r>
                  <w:r>
                    <w:rPr>
                      <w:rFonts w:ascii="Times New Roman" w:hAnsi="Times New Roman" w:cs="Times New Roman"/>
                      <w:sz w:val="18"/>
                      <w:szCs w:val="21"/>
                    </w:rPr>
                    <w:t>高挥发性有机物含量</w:t>
                  </w:r>
                  <w:r>
                    <w:rPr>
                      <w:rFonts w:hint="eastAsia" w:ascii="Times New Roman" w:hAnsi="Times New Roman" w:cs="Times New Roman"/>
                      <w:sz w:val="18"/>
                      <w:szCs w:val="21"/>
                      <w:lang w:eastAsia="zh-CN"/>
                    </w:rPr>
                    <w:t>原料，使用的油性漆、稀释剂属于</w:t>
                  </w:r>
                  <w:r>
                    <w:rPr>
                      <w:rFonts w:ascii="Times New Roman" w:hAnsi="Times New Roman" w:cs="Times New Roman"/>
                      <w:sz w:val="18"/>
                      <w:szCs w:val="21"/>
                    </w:rPr>
                    <w:t>高挥发性有机物</w:t>
                  </w:r>
                  <w:r>
                    <w:rPr>
                      <w:rFonts w:hint="eastAsia" w:ascii="Times New Roman" w:hAnsi="Times New Roman" w:cs="Times New Roman"/>
                      <w:sz w:val="18"/>
                      <w:szCs w:val="21"/>
                      <w:lang w:eastAsia="zh-CN"/>
                    </w:rPr>
                    <w:t>原料，在产品包装或说明中予以标注。</w:t>
                  </w:r>
                </w:p>
              </w:tc>
            </w:tr>
            <w:tr w14:paraId="61401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33" w:hRule="atLeast"/>
                <w:jc w:val="center"/>
              </w:trPr>
              <w:tc>
                <w:tcPr>
                  <w:tcW w:w="582" w:type="dxa"/>
                  <w:vAlign w:val="center"/>
                </w:tcPr>
                <w:p w14:paraId="445DA2CF">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9</w:t>
                  </w:r>
                </w:p>
              </w:tc>
              <w:tc>
                <w:tcPr>
                  <w:tcW w:w="5358" w:type="dxa"/>
                  <w:vAlign w:val="center"/>
                </w:tcPr>
                <w:p w14:paraId="0A75BD64">
                  <w:pPr>
                    <w:pStyle w:val="1313"/>
                    <w:ind w:left="129"/>
                    <w:jc w:val="both"/>
                    <w:textAlignment w:val="baseline"/>
                    <w:rPr>
                      <w:rFonts w:ascii="Times New Roman" w:hAnsi="Times New Roman" w:cs="Times New Roman"/>
                      <w:color w:val="auto"/>
                      <w:sz w:val="18"/>
                      <w:szCs w:val="21"/>
                    </w:rPr>
                  </w:pPr>
                  <w:r>
                    <w:rPr>
                      <w:rFonts w:ascii="Times New Roman" w:hAnsi="Times New Roman" w:cs="Times New Roman"/>
                      <w:color w:val="auto"/>
                      <w:sz w:val="18"/>
                      <w:szCs w:val="21"/>
                    </w:rPr>
                    <w:t>向大气排放恶臭气体的排污单位以及垃圾处置场、污水处理厂，应当按照规定设置合理的防护距离，安装净化装置或者采取其他措施减少恶臭气体排放。</w:t>
                  </w:r>
                </w:p>
              </w:tc>
              <w:tc>
                <w:tcPr>
                  <w:tcW w:w="2212" w:type="dxa"/>
                  <w:vAlign w:val="center"/>
                </w:tcPr>
                <w:p w14:paraId="1FBBD2F8">
                  <w:pPr>
                    <w:pStyle w:val="1313"/>
                    <w:ind w:right="57"/>
                    <w:jc w:val="center"/>
                    <w:textAlignment w:val="baseline"/>
                    <w:rPr>
                      <w:rFonts w:hint="eastAsia" w:ascii="Times New Roman" w:hAnsi="Times New Roman" w:eastAsia="宋体" w:cs="Times New Roman"/>
                      <w:color w:val="auto"/>
                      <w:sz w:val="18"/>
                      <w:szCs w:val="21"/>
                      <w:lang w:val="en-US" w:eastAsia="zh-CN"/>
                    </w:rPr>
                  </w:pPr>
                  <w:r>
                    <w:rPr>
                      <w:rFonts w:ascii="Times New Roman" w:hAnsi="Times New Roman" w:cs="Times New Roman"/>
                      <w:color w:val="auto"/>
                      <w:sz w:val="18"/>
                      <w:szCs w:val="21"/>
                    </w:rPr>
                    <w:t>项目</w:t>
                  </w:r>
                  <w:r>
                    <w:rPr>
                      <w:rFonts w:hint="eastAsia" w:ascii="Times New Roman" w:hAnsi="Times New Roman" w:cs="Times New Roman"/>
                      <w:color w:val="auto"/>
                      <w:sz w:val="18"/>
                      <w:szCs w:val="21"/>
                      <w:lang w:val="en-US"/>
                    </w:rPr>
                    <w:t>不涉及</w:t>
                  </w:r>
                  <w:r>
                    <w:rPr>
                      <w:rFonts w:ascii="Times New Roman" w:hAnsi="Times New Roman" w:cs="Times New Roman"/>
                      <w:color w:val="auto"/>
                      <w:sz w:val="18"/>
                      <w:szCs w:val="21"/>
                    </w:rPr>
                    <w:t>垃圾处置场、污水处理厂</w:t>
                  </w:r>
                  <w:r>
                    <w:rPr>
                      <w:rFonts w:hint="eastAsia" w:ascii="Times New Roman" w:hAnsi="Times New Roman" w:cs="Times New Roman"/>
                      <w:color w:val="auto"/>
                      <w:sz w:val="18"/>
                      <w:szCs w:val="21"/>
                      <w:lang w:val="en-US"/>
                    </w:rPr>
                    <w:t>，</w:t>
                  </w:r>
                  <w:r>
                    <w:rPr>
                      <w:rFonts w:hint="eastAsia" w:ascii="Times New Roman" w:hAnsi="Times New Roman" w:cs="Times New Roman"/>
                      <w:color w:val="auto"/>
                      <w:sz w:val="18"/>
                      <w:szCs w:val="21"/>
                      <w:lang w:val="en-US" w:eastAsia="zh-CN"/>
                    </w:rPr>
                    <w:t>不需设置防护距离</w:t>
                  </w:r>
                </w:p>
              </w:tc>
            </w:tr>
          </w:tbl>
          <w:p w14:paraId="339D189D">
            <w:pPr>
              <w:tabs>
                <w:tab w:val="left" w:pos="5427"/>
              </w:tabs>
              <w:spacing w:line="360" w:lineRule="auto"/>
              <w:ind w:firstLine="420" w:firstLineChars="200"/>
              <w:rPr>
                <w:bCs/>
              </w:rPr>
            </w:pPr>
            <w:r>
              <w:rPr>
                <w:bCs/>
              </w:rPr>
              <w:t>由上表可知，项目符合《山东省大气污染防治条例》的要求。</w:t>
            </w:r>
          </w:p>
          <w:p w14:paraId="2DC28E2D">
            <w:pPr>
              <w:tabs>
                <w:tab w:val="left" w:pos="5427"/>
              </w:tabs>
              <w:spacing w:line="360" w:lineRule="auto"/>
              <w:ind w:firstLine="420" w:firstLineChars="200"/>
              <w:rPr>
                <w:bCs/>
              </w:rPr>
            </w:pPr>
            <w:r>
              <w:rPr>
                <w:bCs/>
              </w:rPr>
              <w:t>（4）《山东省工业企业无组织排放分行业管控指导意见》鲁环发[2020]30 号的符合性分析</w:t>
            </w:r>
          </w:p>
          <w:p w14:paraId="3640E876">
            <w:pPr>
              <w:tabs>
                <w:tab w:val="left" w:pos="5427"/>
              </w:tabs>
              <w:spacing w:line="360" w:lineRule="auto"/>
              <w:ind w:firstLine="420" w:firstLineChars="200"/>
              <w:rPr>
                <w:bCs/>
              </w:rPr>
            </w:pPr>
            <w:r>
              <w:rPr>
                <w:bCs/>
              </w:rPr>
              <w:t>本项目与鲁环发[2020]30 号的符合性分析见下表。</w:t>
            </w:r>
          </w:p>
          <w:p w14:paraId="2294B182">
            <w:pPr>
              <w:pStyle w:val="11"/>
              <w:spacing w:line="360" w:lineRule="auto"/>
              <w:ind w:firstLine="422"/>
              <w:jc w:val="center"/>
              <w:rPr>
                <w:lang w:eastAsia="zh"/>
              </w:rPr>
            </w:pPr>
            <w:r>
              <w:rPr>
                <w:b/>
              </w:rPr>
              <w:t>表1-</w:t>
            </w:r>
            <w:r>
              <w:rPr>
                <w:rFonts w:hint="eastAsia"/>
                <w:b/>
                <w:lang w:val="en-US" w:eastAsia="zh-CN"/>
              </w:rPr>
              <w:t>8</w:t>
            </w:r>
            <w:r>
              <w:rPr>
                <w:b/>
              </w:rPr>
              <w:t>项目与鲁环发[2020]30 号符合情况分析</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6"/>
              <w:gridCol w:w="4453"/>
              <w:gridCol w:w="2515"/>
              <w:gridCol w:w="698"/>
            </w:tblGrid>
            <w:tr w14:paraId="7FBC00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Align w:val="center"/>
                </w:tcPr>
                <w:p w14:paraId="0CBCD020">
                  <w:pPr>
                    <w:pStyle w:val="1313"/>
                    <w:ind w:right="24"/>
                    <w:jc w:val="center"/>
                    <w:textAlignment w:val="baseline"/>
                    <w:rPr>
                      <w:rFonts w:ascii="Times New Roman" w:hAnsi="Times New Roman" w:cs="Times New Roman"/>
                      <w:b/>
                      <w:bCs/>
                      <w:sz w:val="18"/>
                      <w:szCs w:val="21"/>
                    </w:rPr>
                  </w:pPr>
                  <w:r>
                    <w:rPr>
                      <w:rFonts w:ascii="Times New Roman" w:hAnsi="Times New Roman" w:cs="Times New Roman"/>
                      <w:b/>
                      <w:bCs/>
                      <w:sz w:val="18"/>
                      <w:szCs w:val="21"/>
                    </w:rPr>
                    <w:t>分类</w:t>
                  </w:r>
                </w:p>
              </w:tc>
              <w:tc>
                <w:tcPr>
                  <w:tcW w:w="4453" w:type="dxa"/>
                  <w:vAlign w:val="center"/>
                </w:tcPr>
                <w:p w14:paraId="4E46B0C2">
                  <w:pPr>
                    <w:pStyle w:val="1313"/>
                    <w:ind w:left="19"/>
                    <w:jc w:val="center"/>
                    <w:textAlignment w:val="baseline"/>
                    <w:rPr>
                      <w:rFonts w:ascii="Times New Roman" w:hAnsi="Times New Roman" w:cs="Times New Roman"/>
                      <w:b/>
                      <w:bCs/>
                      <w:sz w:val="18"/>
                      <w:szCs w:val="21"/>
                    </w:rPr>
                  </w:pPr>
                  <w:r>
                    <w:rPr>
                      <w:rFonts w:ascii="Times New Roman" w:hAnsi="Times New Roman" w:cs="Times New Roman"/>
                      <w:b/>
                      <w:bCs/>
                      <w:sz w:val="18"/>
                      <w:szCs w:val="21"/>
                    </w:rPr>
                    <w:t>文件要求</w:t>
                  </w:r>
                </w:p>
              </w:tc>
              <w:tc>
                <w:tcPr>
                  <w:tcW w:w="2515" w:type="dxa"/>
                  <w:vAlign w:val="center"/>
                </w:tcPr>
                <w:p w14:paraId="13954AFB">
                  <w:pPr>
                    <w:pStyle w:val="1313"/>
                    <w:ind w:left="19"/>
                    <w:jc w:val="center"/>
                    <w:textAlignment w:val="baseline"/>
                    <w:rPr>
                      <w:rFonts w:ascii="Times New Roman" w:hAnsi="Times New Roman" w:cs="Times New Roman"/>
                      <w:b/>
                      <w:bCs/>
                      <w:sz w:val="18"/>
                      <w:szCs w:val="21"/>
                    </w:rPr>
                  </w:pPr>
                  <w:r>
                    <w:rPr>
                      <w:rFonts w:ascii="Times New Roman" w:hAnsi="Times New Roman" w:cs="Times New Roman"/>
                      <w:b/>
                      <w:bCs/>
                      <w:sz w:val="18"/>
                      <w:szCs w:val="21"/>
                    </w:rPr>
                    <w:t>本项目情况</w:t>
                  </w:r>
                </w:p>
              </w:tc>
              <w:tc>
                <w:tcPr>
                  <w:tcW w:w="698" w:type="dxa"/>
                  <w:vAlign w:val="center"/>
                </w:tcPr>
                <w:p w14:paraId="124473BC">
                  <w:pPr>
                    <w:pStyle w:val="1313"/>
                    <w:ind w:left="48"/>
                    <w:jc w:val="center"/>
                    <w:textAlignment w:val="baseline"/>
                    <w:rPr>
                      <w:rFonts w:ascii="Times New Roman" w:hAnsi="Times New Roman" w:cs="Times New Roman"/>
                      <w:b/>
                      <w:bCs/>
                      <w:sz w:val="18"/>
                      <w:szCs w:val="21"/>
                    </w:rPr>
                  </w:pPr>
                  <w:r>
                    <w:rPr>
                      <w:rFonts w:ascii="Times New Roman" w:hAnsi="Times New Roman" w:cs="Times New Roman"/>
                      <w:b/>
                      <w:bCs/>
                      <w:sz w:val="18"/>
                      <w:szCs w:val="21"/>
                    </w:rPr>
                    <w:t>符合性</w:t>
                  </w:r>
                </w:p>
              </w:tc>
            </w:tr>
            <w:tr w14:paraId="7B142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restart"/>
                  <w:vAlign w:val="center"/>
                </w:tcPr>
                <w:p w14:paraId="3CDCF1DD">
                  <w:pPr>
                    <w:pStyle w:val="1313"/>
                    <w:jc w:val="center"/>
                    <w:textAlignment w:val="baseline"/>
                    <w:rPr>
                      <w:rFonts w:ascii="Times New Roman" w:hAnsi="Times New Roman" w:cs="Times New Roman"/>
                      <w:sz w:val="18"/>
                      <w:szCs w:val="18"/>
                    </w:rPr>
                  </w:pPr>
                  <w:r>
                    <w:rPr>
                      <w:rFonts w:ascii="Times New Roman" w:hAnsi="Times New Roman" w:cs="Times New Roman"/>
                      <w:sz w:val="18"/>
                      <w:szCs w:val="18"/>
                    </w:rPr>
                    <w:t>管控要求</w:t>
                  </w:r>
                </w:p>
              </w:tc>
              <w:tc>
                <w:tcPr>
                  <w:tcW w:w="4453" w:type="dxa"/>
                  <w:vAlign w:val="center"/>
                </w:tcPr>
                <w:p w14:paraId="241B78D1">
                  <w:pPr>
                    <w:pStyle w:val="1313"/>
                    <w:ind w:left="76"/>
                    <w:jc w:val="center"/>
                    <w:textAlignment w:val="baseline"/>
                    <w:rPr>
                      <w:rFonts w:ascii="Times New Roman" w:hAnsi="Times New Roman" w:cs="Times New Roman"/>
                      <w:sz w:val="18"/>
                      <w:szCs w:val="18"/>
                    </w:rPr>
                  </w:pPr>
                  <w:r>
                    <w:rPr>
                      <w:rFonts w:ascii="Times New Roman" w:hAnsi="Times New Roman" w:cs="Times New Roman"/>
                      <w:sz w:val="18"/>
                      <w:szCs w:val="18"/>
                    </w:rPr>
                    <w:t>1、加强物料运输、装卸环节管控。煤粉、粉煤灰、石灰、除尘灰、脱硫灰、原料药等粉状物料采用管状带式输送机、气力输送、真空罐车、密闭车厢等密闭方式运输；砂石、矿石、煤、铁精矿、脱硫石膏等块状、粒状或粘湿物料采用皮带通廊、封闭车厢等封闭方式运输或苫盖严密，防止沿途抛洒和飞扬。料场或厂区出入口配备车辆清洗装置或采取其他控制措施，确保出场车辆清洁、运输不起尘。厂区道路硬化，平整无破损、无积尘，厂区无裸露空地，闲置裸露空地及时绿化或硬化，厂区道路定期洒水清扫。块状、粒状或粘湿物料直接卸落至储存料场，装卸过程配备有效抑尘、集尘除尘设施，粉状物料装卸口配备密封防尘装置且不得直接卸落到地面。挥发性有机液体装车采用顶部浸没式或底部装载，严禁喷溅，运输相关产品的车辆具备油气回收接口。</w:t>
                  </w:r>
                </w:p>
              </w:tc>
              <w:tc>
                <w:tcPr>
                  <w:tcW w:w="2515" w:type="dxa"/>
                  <w:vAlign w:val="center"/>
                </w:tcPr>
                <w:p w14:paraId="386E99A2">
                  <w:pPr>
                    <w:pStyle w:val="1313"/>
                    <w:ind w:left="72"/>
                    <w:jc w:val="center"/>
                    <w:textAlignment w:val="baseline"/>
                    <w:rPr>
                      <w:rFonts w:hint="default" w:ascii="Times New Roman" w:hAnsi="Times New Roman" w:eastAsia="宋体" w:cs="Times New Roman"/>
                      <w:sz w:val="18"/>
                      <w:szCs w:val="21"/>
                      <w:lang w:val="en-US" w:eastAsia="zh-CN"/>
                    </w:rPr>
                  </w:pPr>
                  <w:r>
                    <w:rPr>
                      <w:rFonts w:hint="eastAsia" w:ascii="Times New Roman" w:hAnsi="Times New Roman" w:cs="Times New Roman"/>
                      <w:sz w:val="18"/>
                      <w:szCs w:val="18"/>
                      <w:lang w:eastAsia="zh-CN"/>
                    </w:rPr>
                    <w:t>项目原辅料均袋装或桶装，密闭运输。</w:t>
                  </w:r>
                  <w:r>
                    <w:rPr>
                      <w:rFonts w:hint="default" w:ascii="Times New Roman" w:hAnsi="Times New Roman" w:cs="Times New Roman"/>
                      <w:sz w:val="18"/>
                      <w:szCs w:val="18"/>
                      <w:lang w:eastAsia="zh-CN"/>
                    </w:rPr>
                    <w:t>喷漆房</w:t>
                  </w:r>
                  <w:r>
                    <w:rPr>
                      <w:rFonts w:hint="default" w:ascii="Times New Roman" w:hAnsi="Times New Roman" w:cs="Times New Roman"/>
                      <w:sz w:val="18"/>
                      <w:szCs w:val="18"/>
                    </w:rPr>
                    <w:t>涂装过程</w:t>
                  </w:r>
                  <w:r>
                    <w:rPr>
                      <w:rFonts w:hint="default" w:ascii="Times New Roman" w:hAnsi="Times New Roman" w:cs="Times New Roman"/>
                      <w:sz w:val="18"/>
                      <w:szCs w:val="18"/>
                      <w:lang w:eastAsia="zh-CN"/>
                    </w:rPr>
                    <w:t>产生的漆雾颗粒、</w:t>
                  </w:r>
                  <w:r>
                    <w:rPr>
                      <w:rFonts w:hint="default" w:ascii="Times New Roman" w:hAnsi="Times New Roman" w:cs="Times New Roman"/>
                      <w:sz w:val="18"/>
                      <w:szCs w:val="18"/>
                      <w:lang w:val="en-US" w:eastAsia="zh-CN"/>
                    </w:rPr>
                    <w:t>VOCs</w:t>
                  </w:r>
                  <w:r>
                    <w:rPr>
                      <w:rFonts w:hint="default" w:ascii="Times New Roman" w:hAnsi="Times New Roman" w:cs="Times New Roman"/>
                      <w:sz w:val="18"/>
                      <w:szCs w:val="18"/>
                      <w:lang w:eastAsia="zh-CN"/>
                    </w:rPr>
                    <w:t>经</w:t>
                  </w:r>
                  <w:r>
                    <w:rPr>
                      <w:rFonts w:hint="eastAsia" w:ascii="Times New Roman" w:hAnsi="Times New Roman" w:cs="Times New Roman"/>
                      <w:sz w:val="18"/>
                      <w:szCs w:val="18"/>
                      <w:lang w:eastAsia="zh-CN"/>
                    </w:rPr>
                    <w:t>迷宫式过滤箱</w:t>
                  </w:r>
                  <w:r>
                    <w:rPr>
                      <w:rFonts w:hint="default" w:ascii="Times New Roman" w:hAnsi="Times New Roman" w:cs="Times New Roman"/>
                      <w:sz w:val="18"/>
                      <w:szCs w:val="18"/>
                      <w:lang w:eastAsia="zh-CN"/>
                    </w:rPr>
                    <w:t>处理漆雾颗粒</w:t>
                  </w:r>
                  <w:r>
                    <w:rPr>
                      <w:rFonts w:hint="eastAsia" w:ascii="Times New Roman" w:hAnsi="Times New Roman" w:cs="Times New Roman"/>
                      <w:sz w:val="18"/>
                      <w:szCs w:val="18"/>
                      <w:lang w:eastAsia="zh-CN"/>
                    </w:rPr>
                    <w:t>后</w:t>
                  </w:r>
                  <w:r>
                    <w:rPr>
                      <w:rFonts w:hint="eastAsia" w:ascii="Times New Roman" w:hAnsi="Times New Roman" w:cs="Times New Roman"/>
                      <w:sz w:val="18"/>
                      <w:szCs w:val="18"/>
                      <w:lang w:val="en-US" w:eastAsia="zh-CN"/>
                    </w:rPr>
                    <w:t>，静电喷塑后固化产生的VOCs，与电机浸漆、烘干工序负压收集的VOCs、苯乙烯、臭气浓度，及</w:t>
                  </w:r>
                  <w:r>
                    <w:rPr>
                      <w:rFonts w:hint="default" w:ascii="Times New Roman" w:hAnsi="Times New Roman" w:cs="Times New Roman"/>
                      <w:bCs/>
                      <w:color w:val="auto"/>
                      <w:sz w:val="18"/>
                      <w:szCs w:val="18"/>
                      <w:lang w:eastAsia="zh-CN"/>
                    </w:rPr>
                    <w:t>玻璃钢缠绕罐原料投料、缠绕成型、</w:t>
                  </w:r>
                  <w:r>
                    <w:rPr>
                      <w:rFonts w:hint="default" w:ascii="Times New Roman" w:hAnsi="Times New Roman" w:cs="Times New Roman"/>
                      <w:b w:val="0"/>
                      <w:bCs w:val="0"/>
                      <w:kern w:val="2"/>
                      <w:sz w:val="18"/>
                      <w:szCs w:val="18"/>
                      <w:lang w:val="en-US" w:eastAsia="zh-CN" w:bidi="ar-SA"/>
                    </w:rPr>
                    <w:t>常温固化、原料装模、组装、粘接工序集气罩收集的VOCs、苯乙烯</w:t>
                  </w:r>
                  <w:r>
                    <w:rPr>
                      <w:rFonts w:hint="eastAsia" w:ascii="Times New Roman" w:hAnsi="Times New Roman" w:cs="Times New Roman"/>
                      <w:b w:val="0"/>
                      <w:bCs w:val="0"/>
                      <w:kern w:val="2"/>
                      <w:sz w:val="18"/>
                      <w:szCs w:val="18"/>
                      <w:lang w:val="en-US" w:eastAsia="zh-CN" w:bidi="ar-SA"/>
                    </w:rPr>
                    <w:t>、臭气浓度，</w:t>
                  </w:r>
                  <w:r>
                    <w:rPr>
                      <w:rFonts w:hint="default" w:ascii="Times New Roman" w:hAnsi="Times New Roman" w:cs="Times New Roman"/>
                      <w:b w:val="0"/>
                      <w:bCs w:val="0"/>
                      <w:kern w:val="2"/>
                      <w:sz w:val="18"/>
                      <w:szCs w:val="18"/>
                      <w:lang w:val="en-US" w:eastAsia="zh-CN" w:bidi="ar-SA"/>
                    </w:rPr>
                    <w:t>PPH缠绕罐加热熔融、缠绕成型、常温固化、人工装模、组装、粘接工序集气罩收集的VOCs，一同汇入</w:t>
                  </w:r>
                  <w:r>
                    <w:rPr>
                      <w:rFonts w:hint="default" w:ascii="Times New Roman" w:hAnsi="Times New Roman" w:cs="Times New Roman"/>
                      <w:sz w:val="18"/>
                      <w:szCs w:val="18"/>
                      <w:lang w:eastAsia="zh-CN"/>
                    </w:rPr>
                    <w:t>两级活性炭吸附装置处理，最后经</w:t>
                  </w:r>
                  <w:r>
                    <w:rPr>
                      <w:rFonts w:hint="default" w:ascii="Times New Roman" w:hAnsi="Times New Roman" w:cs="Times New Roman"/>
                      <w:sz w:val="18"/>
                      <w:szCs w:val="18"/>
                      <w:lang w:val="en-US" w:eastAsia="zh-CN"/>
                    </w:rPr>
                    <w:t>15mDA001排气筒有组织排放</w:t>
                  </w:r>
                  <w:r>
                    <w:rPr>
                      <w:rFonts w:hint="default" w:ascii="Times New Roman" w:hAnsi="Times New Roman" w:cs="Times New Roman"/>
                      <w:bCs/>
                      <w:color w:val="000000"/>
                      <w:sz w:val="18"/>
                      <w:szCs w:val="18"/>
                      <w:lang w:val="en-US" w:eastAsia="zh-CN"/>
                    </w:rPr>
                    <w:t>；</w:t>
                  </w:r>
                  <w:r>
                    <w:rPr>
                      <w:rFonts w:hint="eastAsia" w:cs="Times New Roman"/>
                      <w:sz w:val="18"/>
                      <w:szCs w:val="18"/>
                      <w:highlight w:val="none"/>
                      <w:lang w:val="en-US" w:eastAsia="zh-CN"/>
                    </w:rPr>
                    <w:t>喷塑工序产生的颗粒物经喷塑房底部集气罩收集后经配套滤筒除尘器处理后经15mDA002排气筒有组织排放。</w:t>
                  </w:r>
                  <w:r>
                    <w:rPr>
                      <w:rFonts w:hint="default" w:ascii="Times New Roman" w:hAnsi="Times New Roman" w:cs="Times New Roman"/>
                      <w:sz w:val="18"/>
                      <w:szCs w:val="18"/>
                      <w:lang w:val="en-US" w:eastAsia="zh-CN"/>
                    </w:rPr>
                    <w:t>火焰、等离子切割下料、开孔及焊接工序</w:t>
                  </w:r>
                  <w:r>
                    <w:rPr>
                      <w:rFonts w:hint="default" w:ascii="Times New Roman" w:hAnsi="Times New Roman" w:cs="Times New Roman"/>
                      <w:sz w:val="18"/>
                      <w:szCs w:val="18"/>
                      <w:lang w:val="en-US"/>
                    </w:rPr>
                    <w:t>产生的</w:t>
                  </w:r>
                  <w:r>
                    <w:rPr>
                      <w:rFonts w:hint="default" w:ascii="Times New Roman" w:hAnsi="Times New Roman" w:cs="Times New Roman"/>
                      <w:sz w:val="18"/>
                      <w:szCs w:val="18"/>
                      <w:lang w:val="en-US" w:eastAsia="zh-CN"/>
                    </w:rPr>
                    <w:t>颗粒物经移动式焊烟净化器处理后无组织排放，</w:t>
                  </w:r>
                  <w:r>
                    <w:rPr>
                      <w:rFonts w:hint="default" w:ascii="Times New Roman" w:hAnsi="Times New Roman" w:cs="Times New Roman"/>
                      <w:bCs/>
                      <w:color w:val="auto"/>
                      <w:sz w:val="18"/>
                      <w:szCs w:val="18"/>
                      <w:lang w:eastAsia="zh-CN"/>
                    </w:rPr>
                    <w:t>玻璃钢缠绕罐、</w:t>
                  </w:r>
                  <w:r>
                    <w:rPr>
                      <w:rFonts w:hint="default" w:ascii="Times New Roman" w:hAnsi="Times New Roman" w:cs="Times New Roman"/>
                      <w:b w:val="0"/>
                      <w:bCs w:val="0"/>
                      <w:kern w:val="2"/>
                      <w:sz w:val="18"/>
                      <w:szCs w:val="18"/>
                      <w:lang w:val="en-US" w:eastAsia="zh-CN" w:bidi="ar-SA"/>
                    </w:rPr>
                    <w:t>PPH缠绕罐开孔过程产生的颗粒物</w:t>
                  </w:r>
                  <w:r>
                    <w:rPr>
                      <w:rFonts w:hint="default" w:ascii="Times New Roman" w:hAnsi="Times New Roman" w:cs="Times New Roman"/>
                      <w:sz w:val="18"/>
                      <w:szCs w:val="18"/>
                      <w:lang w:val="en-US" w:eastAsia="zh-CN"/>
                    </w:rPr>
                    <w:t>经移动式焊烟净化器处理后无组织排放；集气罩未收集的</w:t>
                  </w:r>
                  <w:r>
                    <w:rPr>
                      <w:rFonts w:hint="eastAsia" w:ascii="Times New Roman" w:hAnsi="Times New Roman" w:cs="Times New Roman"/>
                      <w:sz w:val="18"/>
                      <w:szCs w:val="18"/>
                      <w:lang w:val="en-US" w:eastAsia="zh-CN"/>
                    </w:rPr>
                    <w:t>颗粒物、</w:t>
                  </w:r>
                  <w:r>
                    <w:rPr>
                      <w:rFonts w:hint="default" w:ascii="Times New Roman" w:hAnsi="Times New Roman" w:cs="Times New Roman"/>
                      <w:sz w:val="18"/>
                      <w:szCs w:val="18"/>
                      <w:lang w:val="en-US" w:eastAsia="zh-CN"/>
                    </w:rPr>
                    <w:t>VOCs、苯乙烯</w:t>
                  </w:r>
                  <w:r>
                    <w:rPr>
                      <w:rFonts w:hint="eastAsia" w:ascii="Times New Roman" w:hAnsi="Times New Roman" w:cs="Times New Roman"/>
                      <w:sz w:val="18"/>
                      <w:szCs w:val="18"/>
                      <w:lang w:val="en-US" w:eastAsia="zh-CN"/>
                    </w:rPr>
                    <w:t>、臭气浓度</w:t>
                  </w:r>
                  <w:r>
                    <w:rPr>
                      <w:rFonts w:hint="default" w:ascii="Times New Roman" w:hAnsi="Times New Roman" w:cs="Times New Roman"/>
                      <w:sz w:val="18"/>
                      <w:szCs w:val="18"/>
                      <w:lang w:val="en-US" w:eastAsia="zh-CN"/>
                    </w:rPr>
                    <w:t>等无组织排放。</w:t>
                  </w:r>
                </w:p>
              </w:tc>
              <w:tc>
                <w:tcPr>
                  <w:tcW w:w="698" w:type="dxa"/>
                  <w:vAlign w:val="center"/>
                </w:tcPr>
                <w:p w14:paraId="2A73278A">
                  <w:pPr>
                    <w:pStyle w:val="1313"/>
                    <w:jc w:val="center"/>
                    <w:textAlignment w:val="baseline"/>
                    <w:rPr>
                      <w:rFonts w:ascii="Times New Roman" w:hAnsi="Times New Roman" w:cs="Times New Roman"/>
                      <w:color w:val="FF0000"/>
                      <w:sz w:val="18"/>
                      <w:szCs w:val="21"/>
                    </w:rPr>
                  </w:pPr>
                  <w:r>
                    <w:rPr>
                      <w:rFonts w:ascii="Times New Roman" w:hAnsi="Times New Roman" w:cs="Times New Roman"/>
                      <w:sz w:val="18"/>
                      <w:szCs w:val="21"/>
                    </w:rPr>
                    <w:t>符合</w:t>
                  </w:r>
                </w:p>
              </w:tc>
            </w:tr>
            <w:tr w14:paraId="666B2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16710B68">
                  <w:pPr>
                    <w:pStyle w:val="1313"/>
                    <w:jc w:val="center"/>
                    <w:textAlignment w:val="baseline"/>
                    <w:rPr>
                      <w:rFonts w:ascii="Times New Roman" w:hAnsi="Times New Roman" w:cs="Times New Roman"/>
                      <w:sz w:val="18"/>
                      <w:szCs w:val="21"/>
                    </w:rPr>
                  </w:pPr>
                </w:p>
              </w:tc>
              <w:tc>
                <w:tcPr>
                  <w:tcW w:w="4453" w:type="dxa"/>
                  <w:vAlign w:val="center"/>
                </w:tcPr>
                <w:p w14:paraId="5CACBB07">
                  <w:pPr>
                    <w:pStyle w:val="1313"/>
                    <w:ind w:left="76"/>
                    <w:jc w:val="center"/>
                    <w:textAlignment w:val="baseline"/>
                    <w:rPr>
                      <w:rFonts w:ascii="Times New Roman" w:hAnsi="Times New Roman" w:cs="Times New Roman"/>
                      <w:sz w:val="18"/>
                      <w:szCs w:val="21"/>
                    </w:rPr>
                  </w:pPr>
                  <w:r>
                    <w:rPr>
                      <w:rFonts w:ascii="Times New Roman" w:hAnsi="Times New Roman" w:cs="Times New Roman"/>
                      <w:sz w:val="18"/>
                      <w:szCs w:val="18"/>
                    </w:rPr>
                    <w:t>2、加强物料储存、输送环节管控。煤粉、粉煤灰、石灰、除尘灰、脱硫灰、原料药等粉状物料采用料仓、储罐、容器、包装袋等方式密闭储存，料仓、储罐配置高效除尘设施；采用管状带式输送机、气力输送、真空罐车、密闭车辆等方式输送。砂石、矿石、煤、铁精矿、脱硫石膏等块状、粒状或粘湿物料采用密闭料仓、封闭料棚或建设防风抑尘网等方式进行规范储存，封闭料棚和露天料场内设有喷淋装置，喷淋范围覆盖整个料堆。所储存物料对含水率有严格要求或遇水发生变化的，在料场内安装有效集尘除尘设施。封闭料棚进出口安装封闭性良好且便于开关的卷帘门、推拉门或自动感应门等，无车辆通过时将门关闭。防风抑尘网高度高于料场堆存高度，并对堆存物料进行严密苫盖。块状、粒状或粘湿物料上料口设置在封闭料棚内，采用管状带式输送机、皮带通廊、封闭车辆等方式输送。物料上料、输送、转接、出料和扒渣等过程中的产尘点采取有效抑尘、集尘除尘措施。含挥发性有机物（VOCs）物料储存于密闭容器、包装袋，高效密封储罐，封闭式储库、料仓等；封闭式储库、料仓设置VOCs有效收集治理设施。含VOCs物料输送，采用密闭管道或密闭容器、罐车等。</w:t>
                  </w:r>
                </w:p>
              </w:tc>
              <w:tc>
                <w:tcPr>
                  <w:tcW w:w="2515" w:type="dxa"/>
                  <w:vAlign w:val="center"/>
                </w:tcPr>
                <w:p w14:paraId="1AC9D563">
                  <w:pPr>
                    <w:pStyle w:val="1313"/>
                    <w:ind w:left="72"/>
                    <w:jc w:val="center"/>
                    <w:textAlignment w:val="baseline"/>
                    <w:rPr>
                      <w:rFonts w:hint="default" w:ascii="Times New Roman" w:hAnsi="Times New Roman" w:eastAsia="宋体" w:cs="Times New Roman"/>
                      <w:sz w:val="18"/>
                      <w:szCs w:val="21"/>
                      <w:lang w:val="en-US" w:eastAsia="zh-CN"/>
                    </w:rPr>
                  </w:pPr>
                  <w:r>
                    <w:rPr>
                      <w:rFonts w:hint="eastAsia" w:ascii="Times New Roman" w:hAnsi="Times New Roman" w:cs="Times New Roman"/>
                      <w:sz w:val="18"/>
                      <w:szCs w:val="18"/>
                      <w:lang w:eastAsia="zh-CN"/>
                    </w:rPr>
                    <w:t>项目原辅料均袋装或桶装，密闭储存运输。</w:t>
                  </w:r>
                  <w:r>
                    <w:rPr>
                      <w:rFonts w:hint="default" w:ascii="Times New Roman" w:hAnsi="Times New Roman" w:cs="Times New Roman"/>
                      <w:sz w:val="18"/>
                      <w:szCs w:val="18"/>
                      <w:lang w:eastAsia="zh-CN"/>
                    </w:rPr>
                    <w:t>喷漆房</w:t>
                  </w:r>
                  <w:r>
                    <w:rPr>
                      <w:rFonts w:hint="default" w:ascii="Times New Roman" w:hAnsi="Times New Roman" w:cs="Times New Roman"/>
                      <w:sz w:val="18"/>
                      <w:szCs w:val="18"/>
                    </w:rPr>
                    <w:t>涂装过程</w:t>
                  </w:r>
                  <w:r>
                    <w:rPr>
                      <w:rFonts w:hint="default" w:ascii="Times New Roman" w:hAnsi="Times New Roman" w:cs="Times New Roman"/>
                      <w:sz w:val="18"/>
                      <w:szCs w:val="18"/>
                      <w:lang w:eastAsia="zh-CN"/>
                    </w:rPr>
                    <w:t>产生的漆雾颗粒、</w:t>
                  </w:r>
                  <w:r>
                    <w:rPr>
                      <w:rFonts w:hint="default" w:ascii="Times New Roman" w:hAnsi="Times New Roman" w:cs="Times New Roman"/>
                      <w:sz w:val="18"/>
                      <w:szCs w:val="18"/>
                      <w:lang w:val="en-US" w:eastAsia="zh-CN"/>
                    </w:rPr>
                    <w:t>VOCs</w:t>
                  </w:r>
                  <w:r>
                    <w:rPr>
                      <w:rFonts w:hint="default" w:ascii="Times New Roman" w:hAnsi="Times New Roman" w:cs="Times New Roman"/>
                      <w:sz w:val="18"/>
                      <w:szCs w:val="18"/>
                      <w:lang w:eastAsia="zh-CN"/>
                    </w:rPr>
                    <w:t>经</w:t>
                  </w:r>
                  <w:r>
                    <w:rPr>
                      <w:rFonts w:hint="eastAsia" w:ascii="Times New Roman" w:hAnsi="Times New Roman" w:cs="Times New Roman"/>
                      <w:sz w:val="18"/>
                      <w:szCs w:val="18"/>
                      <w:lang w:eastAsia="zh-CN"/>
                    </w:rPr>
                    <w:t>迷宫式过滤箱</w:t>
                  </w:r>
                  <w:r>
                    <w:rPr>
                      <w:rFonts w:hint="default" w:ascii="Times New Roman" w:hAnsi="Times New Roman" w:cs="Times New Roman"/>
                      <w:sz w:val="18"/>
                      <w:szCs w:val="18"/>
                      <w:lang w:eastAsia="zh-CN"/>
                    </w:rPr>
                    <w:t>处理漆雾颗粒</w:t>
                  </w:r>
                  <w:r>
                    <w:rPr>
                      <w:rFonts w:hint="eastAsia" w:ascii="Times New Roman" w:hAnsi="Times New Roman" w:cs="Times New Roman"/>
                      <w:sz w:val="18"/>
                      <w:szCs w:val="18"/>
                      <w:lang w:eastAsia="zh-CN"/>
                    </w:rPr>
                    <w:t>后</w:t>
                  </w:r>
                  <w:r>
                    <w:rPr>
                      <w:rFonts w:hint="eastAsia" w:ascii="Times New Roman" w:hAnsi="Times New Roman" w:cs="Times New Roman"/>
                      <w:sz w:val="18"/>
                      <w:szCs w:val="18"/>
                      <w:lang w:val="en-US" w:eastAsia="zh-CN"/>
                    </w:rPr>
                    <w:t>，静电喷塑后固化产生的VOCs，与电机浸漆、烘干工序负压收集的VOCs、苯乙烯、臭气浓度，及</w:t>
                  </w:r>
                  <w:r>
                    <w:rPr>
                      <w:rFonts w:hint="default" w:ascii="Times New Roman" w:hAnsi="Times New Roman" w:cs="Times New Roman"/>
                      <w:bCs/>
                      <w:color w:val="auto"/>
                      <w:sz w:val="18"/>
                      <w:szCs w:val="18"/>
                      <w:lang w:eastAsia="zh-CN"/>
                    </w:rPr>
                    <w:t>玻璃钢缠绕罐原料投料、缠绕成型、</w:t>
                  </w:r>
                  <w:r>
                    <w:rPr>
                      <w:rFonts w:hint="default" w:ascii="Times New Roman" w:hAnsi="Times New Roman" w:cs="Times New Roman"/>
                      <w:b w:val="0"/>
                      <w:bCs w:val="0"/>
                      <w:kern w:val="2"/>
                      <w:sz w:val="18"/>
                      <w:szCs w:val="18"/>
                      <w:lang w:val="en-US" w:eastAsia="zh-CN" w:bidi="ar-SA"/>
                    </w:rPr>
                    <w:t>常温固化、原料装模、组装、粘接工序集气罩收集的VOCs、苯乙烯</w:t>
                  </w:r>
                  <w:r>
                    <w:rPr>
                      <w:rFonts w:hint="eastAsia" w:ascii="Times New Roman" w:hAnsi="Times New Roman" w:cs="Times New Roman"/>
                      <w:b w:val="0"/>
                      <w:bCs w:val="0"/>
                      <w:kern w:val="2"/>
                      <w:sz w:val="18"/>
                      <w:szCs w:val="18"/>
                      <w:lang w:val="en-US" w:eastAsia="zh-CN" w:bidi="ar-SA"/>
                    </w:rPr>
                    <w:t>、臭气浓度，</w:t>
                  </w:r>
                  <w:r>
                    <w:rPr>
                      <w:rFonts w:hint="default" w:ascii="Times New Roman" w:hAnsi="Times New Roman" w:cs="Times New Roman"/>
                      <w:b w:val="0"/>
                      <w:bCs w:val="0"/>
                      <w:kern w:val="2"/>
                      <w:sz w:val="18"/>
                      <w:szCs w:val="18"/>
                      <w:lang w:val="en-US" w:eastAsia="zh-CN" w:bidi="ar-SA"/>
                    </w:rPr>
                    <w:t>PPH缠绕罐加热熔融、缠绕成型、常温固化、人工装模、组装、粘接工序集气罩收集的VOCs，一同汇入</w:t>
                  </w:r>
                  <w:r>
                    <w:rPr>
                      <w:rFonts w:hint="default" w:ascii="Times New Roman" w:hAnsi="Times New Roman" w:cs="Times New Roman"/>
                      <w:sz w:val="18"/>
                      <w:szCs w:val="18"/>
                      <w:lang w:eastAsia="zh-CN"/>
                    </w:rPr>
                    <w:t>两级活性炭吸附装置处理，最后经</w:t>
                  </w:r>
                  <w:r>
                    <w:rPr>
                      <w:rFonts w:hint="default" w:ascii="Times New Roman" w:hAnsi="Times New Roman" w:cs="Times New Roman"/>
                      <w:sz w:val="18"/>
                      <w:szCs w:val="18"/>
                      <w:lang w:val="en-US" w:eastAsia="zh-CN"/>
                    </w:rPr>
                    <w:t>15mDA001排气筒有组织排放</w:t>
                  </w:r>
                  <w:r>
                    <w:rPr>
                      <w:rFonts w:hint="default" w:ascii="Times New Roman" w:hAnsi="Times New Roman" w:cs="Times New Roman"/>
                      <w:bCs/>
                      <w:color w:val="000000"/>
                      <w:sz w:val="18"/>
                      <w:szCs w:val="18"/>
                      <w:lang w:val="en-US" w:eastAsia="zh-CN"/>
                    </w:rPr>
                    <w:t>；</w:t>
                  </w:r>
                  <w:r>
                    <w:rPr>
                      <w:rFonts w:hint="eastAsia" w:cs="Times New Roman"/>
                      <w:sz w:val="18"/>
                      <w:szCs w:val="18"/>
                      <w:highlight w:val="none"/>
                      <w:lang w:val="en-US" w:eastAsia="zh-CN"/>
                    </w:rPr>
                    <w:t>喷塑工序产生的颗粒物经喷塑房底部集气罩收集后经配套滤筒除尘器处理后经15mDA002排气筒有组织排放。</w:t>
                  </w:r>
                  <w:r>
                    <w:rPr>
                      <w:rFonts w:hint="default" w:ascii="Times New Roman" w:hAnsi="Times New Roman" w:cs="Times New Roman"/>
                      <w:sz w:val="18"/>
                      <w:szCs w:val="18"/>
                      <w:lang w:val="en-US" w:eastAsia="zh-CN"/>
                    </w:rPr>
                    <w:t>火焰、等离子切割下料、开孔及焊接工序</w:t>
                  </w:r>
                  <w:r>
                    <w:rPr>
                      <w:rFonts w:hint="default" w:ascii="Times New Roman" w:hAnsi="Times New Roman" w:cs="Times New Roman"/>
                      <w:sz w:val="18"/>
                      <w:szCs w:val="18"/>
                      <w:lang w:val="en-US"/>
                    </w:rPr>
                    <w:t>产生的</w:t>
                  </w:r>
                  <w:r>
                    <w:rPr>
                      <w:rFonts w:hint="default" w:ascii="Times New Roman" w:hAnsi="Times New Roman" w:cs="Times New Roman"/>
                      <w:sz w:val="18"/>
                      <w:szCs w:val="18"/>
                      <w:lang w:val="en-US" w:eastAsia="zh-CN"/>
                    </w:rPr>
                    <w:t>颗粒物经移动式焊烟净化器处理后无组织排放，</w:t>
                  </w:r>
                  <w:r>
                    <w:rPr>
                      <w:rFonts w:hint="default" w:ascii="Times New Roman" w:hAnsi="Times New Roman" w:cs="Times New Roman"/>
                      <w:bCs/>
                      <w:color w:val="auto"/>
                      <w:sz w:val="18"/>
                      <w:szCs w:val="18"/>
                      <w:lang w:eastAsia="zh-CN"/>
                    </w:rPr>
                    <w:t>玻璃钢缠绕罐、</w:t>
                  </w:r>
                  <w:r>
                    <w:rPr>
                      <w:rFonts w:hint="default" w:ascii="Times New Roman" w:hAnsi="Times New Roman" w:cs="Times New Roman"/>
                      <w:b w:val="0"/>
                      <w:bCs w:val="0"/>
                      <w:kern w:val="2"/>
                      <w:sz w:val="18"/>
                      <w:szCs w:val="18"/>
                      <w:lang w:val="en-US" w:eastAsia="zh-CN" w:bidi="ar-SA"/>
                    </w:rPr>
                    <w:t>PPH缠绕罐开孔过程产生的颗粒物</w:t>
                  </w:r>
                  <w:r>
                    <w:rPr>
                      <w:rFonts w:hint="default" w:ascii="Times New Roman" w:hAnsi="Times New Roman" w:cs="Times New Roman"/>
                      <w:sz w:val="18"/>
                      <w:szCs w:val="18"/>
                      <w:lang w:val="en-US" w:eastAsia="zh-CN"/>
                    </w:rPr>
                    <w:t>经移动式焊烟净化器处理后无组织排放；集气罩未收集的</w:t>
                  </w:r>
                  <w:r>
                    <w:rPr>
                      <w:rFonts w:hint="eastAsia" w:ascii="Times New Roman" w:hAnsi="Times New Roman" w:cs="Times New Roman"/>
                      <w:sz w:val="18"/>
                      <w:szCs w:val="18"/>
                      <w:lang w:val="en-US" w:eastAsia="zh-CN"/>
                    </w:rPr>
                    <w:t>颗粒物、</w:t>
                  </w:r>
                  <w:r>
                    <w:rPr>
                      <w:rFonts w:hint="default" w:ascii="Times New Roman" w:hAnsi="Times New Roman" w:cs="Times New Roman"/>
                      <w:sz w:val="18"/>
                      <w:szCs w:val="18"/>
                      <w:lang w:val="en-US" w:eastAsia="zh-CN"/>
                    </w:rPr>
                    <w:t>VOCs、苯乙烯</w:t>
                  </w:r>
                  <w:r>
                    <w:rPr>
                      <w:rFonts w:hint="eastAsia" w:ascii="Times New Roman" w:hAnsi="Times New Roman" w:cs="Times New Roman"/>
                      <w:sz w:val="18"/>
                      <w:szCs w:val="18"/>
                      <w:lang w:val="en-US" w:eastAsia="zh-CN"/>
                    </w:rPr>
                    <w:t>、臭气浓度</w:t>
                  </w:r>
                  <w:r>
                    <w:rPr>
                      <w:rFonts w:hint="default" w:ascii="Times New Roman" w:hAnsi="Times New Roman" w:cs="Times New Roman"/>
                      <w:sz w:val="18"/>
                      <w:szCs w:val="18"/>
                      <w:lang w:val="en-US" w:eastAsia="zh-CN"/>
                    </w:rPr>
                    <w:t>等无组织排放。</w:t>
                  </w:r>
                </w:p>
              </w:tc>
              <w:tc>
                <w:tcPr>
                  <w:tcW w:w="698" w:type="dxa"/>
                  <w:vAlign w:val="center"/>
                </w:tcPr>
                <w:p w14:paraId="582288BD">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符合</w:t>
                  </w:r>
                </w:p>
              </w:tc>
            </w:tr>
            <w:tr w14:paraId="503A77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73DC8B1E">
                  <w:pPr>
                    <w:pStyle w:val="1313"/>
                    <w:jc w:val="center"/>
                    <w:textAlignment w:val="baseline"/>
                    <w:rPr>
                      <w:rFonts w:ascii="Times New Roman" w:hAnsi="Times New Roman" w:cs="Times New Roman"/>
                      <w:sz w:val="18"/>
                      <w:szCs w:val="21"/>
                    </w:rPr>
                  </w:pPr>
                </w:p>
              </w:tc>
              <w:tc>
                <w:tcPr>
                  <w:tcW w:w="4453" w:type="dxa"/>
                  <w:vAlign w:val="center"/>
                </w:tcPr>
                <w:p w14:paraId="32E94EA2">
                  <w:pPr>
                    <w:pStyle w:val="1313"/>
                    <w:ind w:left="76"/>
                    <w:jc w:val="center"/>
                    <w:textAlignment w:val="baseline"/>
                    <w:rPr>
                      <w:rFonts w:ascii="Times New Roman" w:hAnsi="Times New Roman" w:cs="Times New Roman"/>
                      <w:sz w:val="18"/>
                      <w:szCs w:val="21"/>
                    </w:rPr>
                  </w:pPr>
                  <w:r>
                    <w:rPr>
                      <w:rFonts w:ascii="Times New Roman" w:hAnsi="Times New Roman" w:cs="Times New Roman"/>
                      <w:sz w:val="18"/>
                      <w:szCs w:val="18"/>
                    </w:rPr>
                    <w:t>3、加强生产环节管控。通过提高工艺自动化和设备密闭化水平，减少生产过程中的无组织排放。生产过程中的产尘点和VOCs产生点密闭、封闭或采取有效收集处理措施。生产设备和废气收集处理设施同步运行，废气收集处理设施发生故障或检修时，停止运行对应的生产设备，待检修完毕后投入使用。生产设备不能停止或不能及时停止运行的，设置废气应急处理设施或采取其他替代措施。生产车间地面及生产设备表面保持清洁，除电子、电气原件外，不得采用压缩空气吹扫等易产生扬尘的清理措施。</w:t>
                  </w:r>
                </w:p>
              </w:tc>
              <w:tc>
                <w:tcPr>
                  <w:tcW w:w="2515" w:type="dxa"/>
                  <w:vAlign w:val="center"/>
                </w:tcPr>
                <w:p w14:paraId="4C1E5D6D">
                  <w:pPr>
                    <w:pStyle w:val="1313"/>
                    <w:ind w:left="72"/>
                    <w:jc w:val="center"/>
                    <w:textAlignment w:val="baseline"/>
                    <w:rPr>
                      <w:rFonts w:hint="eastAsia" w:ascii="Times New Roman" w:hAnsi="Times New Roman" w:eastAsia="宋体" w:cs="Times New Roman"/>
                      <w:sz w:val="18"/>
                      <w:szCs w:val="21"/>
                      <w:lang w:val="en-US" w:eastAsia="zh-CN"/>
                    </w:rPr>
                  </w:pPr>
                  <w:r>
                    <w:rPr>
                      <w:rFonts w:hint="default" w:ascii="Times New Roman" w:hAnsi="Times New Roman" w:cs="Times New Roman"/>
                      <w:sz w:val="18"/>
                      <w:szCs w:val="18"/>
                      <w:lang w:eastAsia="zh-CN"/>
                    </w:rPr>
                    <w:t>喷漆房</w:t>
                  </w:r>
                  <w:r>
                    <w:rPr>
                      <w:rFonts w:hint="default" w:ascii="Times New Roman" w:hAnsi="Times New Roman" w:cs="Times New Roman"/>
                      <w:sz w:val="18"/>
                      <w:szCs w:val="18"/>
                    </w:rPr>
                    <w:t>涂装过程</w:t>
                  </w:r>
                  <w:r>
                    <w:rPr>
                      <w:rFonts w:hint="default" w:ascii="Times New Roman" w:hAnsi="Times New Roman" w:cs="Times New Roman"/>
                      <w:sz w:val="18"/>
                      <w:szCs w:val="18"/>
                      <w:lang w:eastAsia="zh-CN"/>
                    </w:rPr>
                    <w:t>产生的漆雾颗粒、</w:t>
                  </w:r>
                  <w:r>
                    <w:rPr>
                      <w:rFonts w:hint="default" w:ascii="Times New Roman" w:hAnsi="Times New Roman" w:cs="Times New Roman"/>
                      <w:sz w:val="18"/>
                      <w:szCs w:val="18"/>
                      <w:lang w:val="en-US" w:eastAsia="zh-CN"/>
                    </w:rPr>
                    <w:t>VOCs</w:t>
                  </w:r>
                  <w:r>
                    <w:rPr>
                      <w:rFonts w:hint="default" w:ascii="Times New Roman" w:hAnsi="Times New Roman" w:cs="Times New Roman"/>
                      <w:sz w:val="18"/>
                      <w:szCs w:val="18"/>
                      <w:lang w:eastAsia="zh-CN"/>
                    </w:rPr>
                    <w:t>经</w:t>
                  </w:r>
                  <w:r>
                    <w:rPr>
                      <w:rFonts w:hint="eastAsia" w:ascii="Times New Roman" w:hAnsi="Times New Roman" w:cs="Times New Roman"/>
                      <w:sz w:val="18"/>
                      <w:szCs w:val="18"/>
                      <w:lang w:eastAsia="zh-CN"/>
                    </w:rPr>
                    <w:t>迷宫式过滤箱</w:t>
                  </w:r>
                  <w:r>
                    <w:rPr>
                      <w:rFonts w:hint="default" w:ascii="Times New Roman" w:hAnsi="Times New Roman" w:cs="Times New Roman"/>
                      <w:sz w:val="18"/>
                      <w:szCs w:val="18"/>
                      <w:lang w:eastAsia="zh-CN"/>
                    </w:rPr>
                    <w:t>处理漆雾颗粒</w:t>
                  </w:r>
                  <w:r>
                    <w:rPr>
                      <w:rFonts w:hint="eastAsia" w:ascii="Times New Roman" w:hAnsi="Times New Roman" w:cs="Times New Roman"/>
                      <w:sz w:val="18"/>
                      <w:szCs w:val="18"/>
                      <w:lang w:eastAsia="zh-CN"/>
                    </w:rPr>
                    <w:t>后</w:t>
                  </w:r>
                  <w:r>
                    <w:rPr>
                      <w:rFonts w:hint="eastAsia" w:ascii="Times New Roman" w:hAnsi="Times New Roman" w:cs="Times New Roman"/>
                      <w:sz w:val="18"/>
                      <w:szCs w:val="18"/>
                      <w:lang w:val="en-US" w:eastAsia="zh-CN"/>
                    </w:rPr>
                    <w:t>，静电喷塑后固化产生的VOCs，与电机浸漆、烘干工序负压收集的VOCs、苯乙烯、臭气浓度，及</w:t>
                  </w:r>
                  <w:r>
                    <w:rPr>
                      <w:rFonts w:hint="default" w:ascii="Times New Roman" w:hAnsi="Times New Roman" w:cs="Times New Roman"/>
                      <w:bCs/>
                      <w:color w:val="auto"/>
                      <w:sz w:val="18"/>
                      <w:szCs w:val="18"/>
                      <w:lang w:eastAsia="zh-CN"/>
                    </w:rPr>
                    <w:t>玻璃钢缠绕罐原料投料、缠绕成型、</w:t>
                  </w:r>
                  <w:r>
                    <w:rPr>
                      <w:rFonts w:hint="default" w:ascii="Times New Roman" w:hAnsi="Times New Roman" w:cs="Times New Roman"/>
                      <w:b w:val="0"/>
                      <w:bCs w:val="0"/>
                      <w:kern w:val="2"/>
                      <w:sz w:val="18"/>
                      <w:szCs w:val="18"/>
                      <w:lang w:val="en-US" w:eastAsia="zh-CN" w:bidi="ar-SA"/>
                    </w:rPr>
                    <w:t>常温固化、原料装模、组装、粘接工序集气罩收集的VOCs、苯乙烯</w:t>
                  </w:r>
                  <w:r>
                    <w:rPr>
                      <w:rFonts w:hint="eastAsia" w:ascii="Times New Roman" w:hAnsi="Times New Roman" w:cs="Times New Roman"/>
                      <w:b w:val="0"/>
                      <w:bCs w:val="0"/>
                      <w:kern w:val="2"/>
                      <w:sz w:val="18"/>
                      <w:szCs w:val="18"/>
                      <w:lang w:val="en-US" w:eastAsia="zh-CN" w:bidi="ar-SA"/>
                    </w:rPr>
                    <w:t>、臭气浓度，</w:t>
                  </w:r>
                  <w:r>
                    <w:rPr>
                      <w:rFonts w:hint="default" w:ascii="Times New Roman" w:hAnsi="Times New Roman" w:cs="Times New Roman"/>
                      <w:b w:val="0"/>
                      <w:bCs w:val="0"/>
                      <w:kern w:val="2"/>
                      <w:sz w:val="18"/>
                      <w:szCs w:val="18"/>
                      <w:lang w:val="en-US" w:eastAsia="zh-CN" w:bidi="ar-SA"/>
                    </w:rPr>
                    <w:t>PPH缠绕罐加热熔融、缠绕成型、常温固化、人工装模、组装、粘接工序集气罩收集的VOCs，一同汇入</w:t>
                  </w:r>
                  <w:r>
                    <w:rPr>
                      <w:rFonts w:hint="default" w:ascii="Times New Roman" w:hAnsi="Times New Roman" w:cs="Times New Roman"/>
                      <w:sz w:val="18"/>
                      <w:szCs w:val="18"/>
                      <w:lang w:eastAsia="zh-CN"/>
                    </w:rPr>
                    <w:t>两级活性炭吸附装置处理，最后经</w:t>
                  </w:r>
                  <w:r>
                    <w:rPr>
                      <w:rFonts w:hint="default" w:ascii="Times New Roman" w:hAnsi="Times New Roman" w:cs="Times New Roman"/>
                      <w:sz w:val="18"/>
                      <w:szCs w:val="18"/>
                      <w:lang w:val="en-US" w:eastAsia="zh-CN"/>
                    </w:rPr>
                    <w:t>15mDA001排气筒有组织排放</w:t>
                  </w:r>
                  <w:r>
                    <w:rPr>
                      <w:rFonts w:hint="default" w:ascii="Times New Roman" w:hAnsi="Times New Roman" w:cs="Times New Roman"/>
                      <w:bCs/>
                      <w:color w:val="000000"/>
                      <w:sz w:val="18"/>
                      <w:szCs w:val="18"/>
                      <w:lang w:val="en-US" w:eastAsia="zh-CN"/>
                    </w:rPr>
                    <w:t>；</w:t>
                  </w:r>
                  <w:r>
                    <w:rPr>
                      <w:rFonts w:hint="eastAsia" w:cs="Times New Roman"/>
                      <w:sz w:val="18"/>
                      <w:szCs w:val="18"/>
                      <w:highlight w:val="none"/>
                      <w:lang w:val="en-US" w:eastAsia="zh-CN"/>
                    </w:rPr>
                    <w:t>喷塑工序产生的颗粒物经喷塑房底部集气罩收集后经配套滤筒除尘器处理后经15mDA002排气筒有组织排放。</w:t>
                  </w:r>
                  <w:r>
                    <w:rPr>
                      <w:rFonts w:hint="default" w:ascii="Times New Roman" w:hAnsi="Times New Roman" w:cs="Times New Roman"/>
                      <w:sz w:val="18"/>
                      <w:szCs w:val="18"/>
                      <w:lang w:val="en-US" w:eastAsia="zh-CN"/>
                    </w:rPr>
                    <w:t>火焰、等离子切割下料、开孔及焊接工序</w:t>
                  </w:r>
                  <w:r>
                    <w:rPr>
                      <w:rFonts w:hint="default" w:ascii="Times New Roman" w:hAnsi="Times New Roman" w:cs="Times New Roman"/>
                      <w:sz w:val="18"/>
                      <w:szCs w:val="18"/>
                      <w:lang w:val="en-US"/>
                    </w:rPr>
                    <w:t>产生的</w:t>
                  </w:r>
                  <w:r>
                    <w:rPr>
                      <w:rFonts w:hint="default" w:ascii="Times New Roman" w:hAnsi="Times New Roman" w:cs="Times New Roman"/>
                      <w:sz w:val="18"/>
                      <w:szCs w:val="18"/>
                      <w:lang w:val="en-US" w:eastAsia="zh-CN"/>
                    </w:rPr>
                    <w:t>颗粒物经移动式焊烟净化器处理后无组织排放，</w:t>
                  </w:r>
                  <w:r>
                    <w:rPr>
                      <w:rFonts w:hint="default" w:ascii="Times New Roman" w:hAnsi="Times New Roman" w:cs="Times New Roman"/>
                      <w:bCs/>
                      <w:color w:val="auto"/>
                      <w:sz w:val="18"/>
                      <w:szCs w:val="18"/>
                      <w:lang w:eastAsia="zh-CN"/>
                    </w:rPr>
                    <w:t>玻璃钢缠绕罐、</w:t>
                  </w:r>
                  <w:r>
                    <w:rPr>
                      <w:rFonts w:hint="default" w:ascii="Times New Roman" w:hAnsi="Times New Roman" w:cs="Times New Roman"/>
                      <w:b w:val="0"/>
                      <w:bCs w:val="0"/>
                      <w:kern w:val="2"/>
                      <w:sz w:val="18"/>
                      <w:szCs w:val="18"/>
                      <w:lang w:val="en-US" w:eastAsia="zh-CN" w:bidi="ar-SA"/>
                    </w:rPr>
                    <w:t>PPH缠绕罐开孔过程产生的颗粒物</w:t>
                  </w:r>
                  <w:r>
                    <w:rPr>
                      <w:rFonts w:hint="default" w:ascii="Times New Roman" w:hAnsi="Times New Roman" w:cs="Times New Roman"/>
                      <w:sz w:val="18"/>
                      <w:szCs w:val="18"/>
                      <w:lang w:val="en-US" w:eastAsia="zh-CN"/>
                    </w:rPr>
                    <w:t>经移动式焊烟净化器处理后无组织排放；集气罩未收集的</w:t>
                  </w:r>
                  <w:r>
                    <w:rPr>
                      <w:rFonts w:hint="eastAsia" w:ascii="Times New Roman" w:hAnsi="Times New Roman" w:cs="Times New Roman"/>
                      <w:sz w:val="18"/>
                      <w:szCs w:val="18"/>
                      <w:lang w:val="en-US" w:eastAsia="zh-CN"/>
                    </w:rPr>
                    <w:t>颗粒物、</w:t>
                  </w:r>
                  <w:r>
                    <w:rPr>
                      <w:rFonts w:hint="default" w:ascii="Times New Roman" w:hAnsi="Times New Roman" w:cs="Times New Roman"/>
                      <w:sz w:val="18"/>
                      <w:szCs w:val="18"/>
                      <w:lang w:val="en-US" w:eastAsia="zh-CN"/>
                    </w:rPr>
                    <w:t>VOCs、苯乙烯</w:t>
                  </w:r>
                  <w:r>
                    <w:rPr>
                      <w:rFonts w:hint="eastAsia" w:ascii="Times New Roman" w:hAnsi="Times New Roman" w:cs="Times New Roman"/>
                      <w:sz w:val="18"/>
                      <w:szCs w:val="18"/>
                      <w:lang w:val="en-US" w:eastAsia="zh-CN"/>
                    </w:rPr>
                    <w:t>、臭气浓度</w:t>
                  </w:r>
                  <w:r>
                    <w:rPr>
                      <w:rFonts w:hint="default" w:ascii="Times New Roman" w:hAnsi="Times New Roman" w:cs="Times New Roman"/>
                      <w:sz w:val="18"/>
                      <w:szCs w:val="18"/>
                      <w:lang w:val="en-US" w:eastAsia="zh-CN"/>
                    </w:rPr>
                    <w:t>等无组织排放。</w:t>
                  </w:r>
                </w:p>
              </w:tc>
              <w:tc>
                <w:tcPr>
                  <w:tcW w:w="698" w:type="dxa"/>
                  <w:vAlign w:val="center"/>
                </w:tcPr>
                <w:p w14:paraId="4A945E3B">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符合</w:t>
                  </w:r>
                </w:p>
              </w:tc>
            </w:tr>
            <w:tr w14:paraId="0C3E63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Merge w:val="continue"/>
                  <w:vAlign w:val="center"/>
                </w:tcPr>
                <w:p w14:paraId="30D4693E">
                  <w:pPr>
                    <w:pStyle w:val="1313"/>
                    <w:jc w:val="center"/>
                    <w:textAlignment w:val="baseline"/>
                    <w:rPr>
                      <w:rFonts w:ascii="Times New Roman" w:hAnsi="Times New Roman" w:cs="Times New Roman"/>
                      <w:sz w:val="18"/>
                      <w:szCs w:val="21"/>
                    </w:rPr>
                  </w:pPr>
                </w:p>
              </w:tc>
              <w:tc>
                <w:tcPr>
                  <w:tcW w:w="4453" w:type="dxa"/>
                  <w:vAlign w:val="center"/>
                </w:tcPr>
                <w:p w14:paraId="4F930723">
                  <w:pPr>
                    <w:pStyle w:val="1313"/>
                    <w:ind w:left="76"/>
                    <w:jc w:val="center"/>
                    <w:textAlignment w:val="baseline"/>
                    <w:rPr>
                      <w:rFonts w:ascii="Times New Roman" w:hAnsi="Times New Roman" w:cs="Times New Roman"/>
                      <w:sz w:val="18"/>
                      <w:szCs w:val="21"/>
                    </w:rPr>
                  </w:pPr>
                  <w:r>
                    <w:rPr>
                      <w:rFonts w:ascii="Times New Roman" w:hAnsi="Times New Roman" w:cs="Times New Roman"/>
                      <w:sz w:val="18"/>
                      <w:szCs w:val="18"/>
                    </w:rPr>
                    <w:t>4、加强精细化管控。针对各无组织排放环节，制定“一厂一策”深度治理方案。制定无组织排放治理设施操作规程，并建立管理台账，记录操作人员操作内容、运行、维护、检修和含VOCs物料使用回收等情况，记录保存期限不得少于三年。鼓励安装视频、空气微站等监控设施和综合监控信息平台，用于企业日常自我监督，逐步实现无组织排放向精细化和可量化管理方式转变。</w:t>
                  </w:r>
                </w:p>
              </w:tc>
              <w:tc>
                <w:tcPr>
                  <w:tcW w:w="2515" w:type="dxa"/>
                  <w:vAlign w:val="center"/>
                </w:tcPr>
                <w:p w14:paraId="66DCE80B">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项目建成后届时按照要求编制</w:t>
                  </w:r>
                  <w:r>
                    <w:rPr>
                      <w:rFonts w:hint="eastAsia" w:ascii="Times New Roman" w:hAnsi="Times New Roman" w:cs="Times New Roman"/>
                      <w:sz w:val="18"/>
                      <w:szCs w:val="21"/>
                      <w:lang w:eastAsia="zh-CN"/>
                    </w:rPr>
                    <w:t>无组织排放</w:t>
                  </w:r>
                  <w:r>
                    <w:rPr>
                      <w:rFonts w:ascii="Times New Roman" w:hAnsi="Times New Roman" w:cs="Times New Roman"/>
                      <w:sz w:val="18"/>
                      <w:szCs w:val="21"/>
                    </w:rPr>
                    <w:t>治理方案，建立</w:t>
                  </w:r>
                  <w:r>
                    <w:rPr>
                      <w:rFonts w:hint="eastAsia" w:ascii="Times New Roman" w:hAnsi="Times New Roman" w:cs="Times New Roman"/>
                      <w:sz w:val="18"/>
                      <w:szCs w:val="21"/>
                      <w:lang w:eastAsia="zh-CN"/>
                    </w:rPr>
                    <w:t>生产</w:t>
                  </w:r>
                  <w:r>
                    <w:rPr>
                      <w:rFonts w:ascii="Times New Roman" w:hAnsi="Times New Roman" w:cs="Times New Roman"/>
                      <w:sz w:val="18"/>
                      <w:szCs w:val="21"/>
                    </w:rPr>
                    <w:t>管理台账等信息</w:t>
                  </w:r>
                </w:p>
              </w:tc>
              <w:tc>
                <w:tcPr>
                  <w:tcW w:w="698" w:type="dxa"/>
                  <w:vAlign w:val="center"/>
                </w:tcPr>
                <w:p w14:paraId="6D48780D">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符合</w:t>
                  </w:r>
                </w:p>
              </w:tc>
            </w:tr>
            <w:tr w14:paraId="4A01EA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486" w:type="dxa"/>
                  <w:vAlign w:val="center"/>
                </w:tcPr>
                <w:p w14:paraId="3857AB13">
                  <w:pPr>
                    <w:pStyle w:val="1313"/>
                    <w:jc w:val="center"/>
                    <w:textAlignment w:val="baseline"/>
                    <w:rPr>
                      <w:rFonts w:ascii="Times New Roman" w:hAnsi="Times New Roman" w:cs="Times New Roman"/>
                      <w:sz w:val="18"/>
                      <w:szCs w:val="21"/>
                    </w:rPr>
                  </w:pPr>
                  <w:r>
                    <w:rPr>
                      <w:rFonts w:ascii="Times New Roman" w:hAnsi="Times New Roman" w:cs="Times New Roman"/>
                      <w:sz w:val="18"/>
                      <w:szCs w:val="21"/>
                    </w:rPr>
                    <w:t>行业指导意见</w:t>
                  </w:r>
                </w:p>
              </w:tc>
              <w:tc>
                <w:tcPr>
                  <w:tcW w:w="4453" w:type="dxa"/>
                  <w:vAlign w:val="center"/>
                </w:tcPr>
                <w:p w14:paraId="2B843226">
                  <w:pPr>
                    <w:pStyle w:val="1313"/>
                    <w:ind w:left="76"/>
                    <w:jc w:val="center"/>
                    <w:textAlignment w:val="baseline"/>
                    <w:rPr>
                      <w:rFonts w:ascii="Times New Roman" w:hAnsi="Times New Roman" w:cs="Times New Roman"/>
                      <w:sz w:val="18"/>
                      <w:szCs w:val="21"/>
                    </w:rPr>
                  </w:pPr>
                  <w:r>
                    <w:rPr>
                      <w:rFonts w:hint="default" w:ascii="Times New Roman" w:hAnsi="Times New Roman" w:eastAsia="Arial" w:cs="Times New Roman"/>
                      <w:i w:val="0"/>
                      <w:iCs w:val="0"/>
                      <w:caps w:val="0"/>
                      <w:color w:val="191919"/>
                      <w:spacing w:val="0"/>
                      <w:sz w:val="18"/>
                      <w:szCs w:val="18"/>
                    </w:rPr>
                    <w:t>通过使用水性、粉末、高固体分、无溶剂、辐射固化等低VOCs含量的涂料替代溶剂型涂料，从源头减少VOCs产生。涂料、稀释剂、清洗剂、漆渣等含VOCs物料密闭储存，调配、使用（喷漆、流平和烘干）、回收等过程采用密闭设备或在密闭空间内操作，并配备VOCs有效收集处理设施。如不能密闭，采取局部气体收集处理措施或其他有效污染控制措施。</w:t>
                  </w:r>
                </w:p>
              </w:tc>
              <w:tc>
                <w:tcPr>
                  <w:tcW w:w="2515" w:type="dxa"/>
                  <w:vAlign w:val="center"/>
                </w:tcPr>
                <w:p w14:paraId="101F0311">
                  <w:pPr>
                    <w:pStyle w:val="1313"/>
                    <w:ind w:left="72"/>
                    <w:jc w:val="center"/>
                    <w:textAlignment w:val="baseline"/>
                    <w:rPr>
                      <w:rFonts w:ascii="Times New Roman" w:hAnsi="Times New Roman" w:cs="Times New Roman"/>
                      <w:sz w:val="18"/>
                      <w:szCs w:val="21"/>
                      <w:lang w:val="en-US"/>
                    </w:rPr>
                  </w:pPr>
                  <w:r>
                    <w:rPr>
                      <w:rFonts w:hint="eastAsia" w:ascii="Times New Roman" w:hAnsi="Times New Roman" w:cs="Times New Roman"/>
                      <w:sz w:val="18"/>
                      <w:szCs w:val="21"/>
                      <w:lang w:val="en-US" w:eastAsia="zh-CN"/>
                    </w:rPr>
                    <w:t>项目使用的不饱和聚酯树脂为低VOCs含量涂料，因工艺要求，涂装工序使用油性涂料、稀释剂，喷漆房涂装工序均在密闭车间内操作并配备两级活性炭吸附装置。</w:t>
                  </w:r>
                </w:p>
              </w:tc>
              <w:tc>
                <w:tcPr>
                  <w:tcW w:w="698" w:type="dxa"/>
                  <w:vAlign w:val="center"/>
                </w:tcPr>
                <w:p w14:paraId="06F6E7C8">
                  <w:pPr>
                    <w:pStyle w:val="1313"/>
                    <w:jc w:val="center"/>
                    <w:textAlignment w:val="baseline"/>
                    <w:rPr>
                      <w:rFonts w:ascii="Times New Roman" w:hAnsi="Times New Roman" w:cs="Times New Roman"/>
                      <w:color w:val="FF0000"/>
                      <w:sz w:val="18"/>
                      <w:szCs w:val="21"/>
                    </w:rPr>
                  </w:pPr>
                  <w:r>
                    <w:rPr>
                      <w:rFonts w:ascii="Times New Roman" w:hAnsi="Times New Roman" w:cs="Times New Roman"/>
                      <w:sz w:val="18"/>
                      <w:szCs w:val="21"/>
                    </w:rPr>
                    <w:t>符合</w:t>
                  </w:r>
                </w:p>
              </w:tc>
            </w:tr>
          </w:tbl>
          <w:p w14:paraId="099FBFCD">
            <w:pPr>
              <w:adjustRightInd w:val="0"/>
              <w:snapToGrid w:val="0"/>
              <w:spacing w:line="360" w:lineRule="auto"/>
              <w:ind w:firstLine="420" w:firstLineChars="200"/>
            </w:pPr>
            <w:r>
              <w:t>（5）与《山东省“两高”项目管理目录》（202</w:t>
            </w:r>
            <w:r>
              <w:rPr>
                <w:rFonts w:hint="eastAsia"/>
                <w:lang w:val="en-US" w:eastAsia="zh-CN"/>
              </w:rPr>
              <w:t>5</w:t>
            </w:r>
            <w:r>
              <w:t>年版）的符合性</w:t>
            </w:r>
          </w:p>
          <w:p w14:paraId="58C4E77E">
            <w:pPr>
              <w:adjustRightInd w:val="0"/>
              <w:snapToGrid w:val="0"/>
              <w:spacing w:line="360" w:lineRule="auto"/>
              <w:ind w:firstLine="420" w:firstLineChars="200"/>
              <w:rPr>
                <w:color w:val="FF0000"/>
              </w:rPr>
            </w:pPr>
            <w:r>
              <w:rPr>
                <w:bCs/>
              </w:rPr>
              <w:t>本项目属于</w:t>
            </w:r>
            <w:r>
              <w:rPr>
                <w:rFonts w:hint="eastAsia" w:cs="Times New Roman"/>
                <w:lang w:val="en-US" w:eastAsia="zh-CN"/>
              </w:rPr>
              <w:t>C2926塑料包装箱及容器制造；C3062玻璃纤维增强塑料制品制造；</w:t>
            </w:r>
            <w:r>
              <w:rPr>
                <w:rFonts w:hint="eastAsia" w:ascii="Times New Roman" w:hAnsi="Times New Roman" w:eastAsia="宋体" w:cs="Times New Roman"/>
                <w:szCs w:val="21"/>
                <w:lang w:val="en-US" w:eastAsia="zh-CN"/>
              </w:rPr>
              <w:t>C3441泵及真空设备制造</w:t>
            </w:r>
            <w:r>
              <w:rPr>
                <w:rFonts w:hint="eastAsia" w:ascii="Times New Roman" w:hAnsi="Times New Roman" w:eastAsia="宋体" w:cs="Times New Roman"/>
                <w:szCs w:val="21"/>
                <w:lang w:eastAsia="zh-CN"/>
              </w:rPr>
              <w:t>；</w:t>
            </w:r>
            <w:r>
              <w:rPr>
                <w:rFonts w:hint="default" w:ascii="Times New Roman" w:hAnsi="Times New Roman" w:eastAsia="宋体" w:cs="Times New Roman"/>
                <w:szCs w:val="21"/>
              </w:rPr>
              <w:t xml:space="preserve"> </w:t>
            </w:r>
            <w:r>
              <w:rPr>
                <w:rFonts w:hint="eastAsia" w:ascii="Times New Roman" w:hAnsi="Times New Roman" w:eastAsia="宋体" w:cs="Times New Roman"/>
                <w:lang w:val="en-US"/>
              </w:rPr>
              <w:t>C3</w:t>
            </w:r>
            <w:r>
              <w:rPr>
                <w:rFonts w:hint="eastAsia" w:cs="Times New Roman"/>
                <w:lang w:val="en-US" w:eastAsia="zh-CN"/>
              </w:rPr>
              <w:t>499</w:t>
            </w:r>
            <w:r>
              <w:rPr>
                <w:rFonts w:hint="eastAsia" w:ascii="Times New Roman" w:hAnsi="Times New Roman" w:eastAsia="宋体" w:cs="Times New Roman"/>
                <w:lang w:val="en-US"/>
              </w:rPr>
              <w:t>其他未列明通用设备制造业</w:t>
            </w:r>
            <w:r>
              <w:rPr>
                <w:rFonts w:hint="eastAsia"/>
                <w:lang w:eastAsia="zh-CN"/>
              </w:rPr>
              <w:t>，</w:t>
            </w:r>
            <w:r>
              <w:rPr>
                <w:bCs/>
              </w:rPr>
              <w:t>不属于“两高”行业</w:t>
            </w:r>
            <w:r>
              <w:t>，项目建设符合《山东省“两高”项目管理目录》（202</w:t>
            </w:r>
            <w:r>
              <w:rPr>
                <w:rFonts w:hint="eastAsia"/>
                <w:lang w:val="en-US" w:eastAsia="zh-CN"/>
              </w:rPr>
              <w:t>5</w:t>
            </w:r>
            <w:r>
              <w:t>年版）要求。</w:t>
            </w:r>
          </w:p>
          <w:p w14:paraId="0A6C3471">
            <w:pPr>
              <w:adjustRightInd w:val="0"/>
              <w:snapToGrid w:val="0"/>
              <w:spacing w:line="360" w:lineRule="auto"/>
              <w:ind w:firstLine="420" w:firstLineChars="200"/>
            </w:pPr>
            <w:r>
              <w:t>（6）与《关于印发山东省“十四五”生态环境保护规划的通知》（鲁政发〔2021〕12号）的符合性</w:t>
            </w:r>
          </w:p>
          <w:p w14:paraId="25A57E07">
            <w:pPr>
              <w:pStyle w:val="11"/>
              <w:spacing w:line="360" w:lineRule="auto"/>
              <w:ind w:firstLine="422"/>
              <w:jc w:val="center"/>
              <w:rPr>
                <w:b/>
              </w:rPr>
            </w:pPr>
            <w:r>
              <w:rPr>
                <w:b/>
              </w:rPr>
              <w:t>表1-</w:t>
            </w:r>
            <w:r>
              <w:rPr>
                <w:rFonts w:hint="eastAsia"/>
                <w:b/>
                <w:lang w:val="en-US" w:eastAsia="zh-CN"/>
              </w:rPr>
              <w:t>9</w:t>
            </w:r>
            <w:r>
              <w:rPr>
                <w:b/>
              </w:rPr>
              <w:t>与《关于印发山东省“十四五”生态环境保护规划的通知》（鲁政发〔2021〕12号）符合性分析</w:t>
            </w:r>
          </w:p>
          <w:tbl>
            <w:tblPr>
              <w:tblStyle w:val="81"/>
              <w:tblW w:w="4998"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837"/>
              <w:gridCol w:w="4676"/>
              <w:gridCol w:w="1907"/>
              <w:gridCol w:w="734"/>
            </w:tblGrid>
            <w:tr w14:paraId="32808A10">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3" w:type="pct"/>
                  <w:tcMar>
                    <w:top w:w="0" w:type="dxa"/>
                    <w:left w:w="45" w:type="dxa"/>
                    <w:bottom w:w="0" w:type="dxa"/>
                    <w:right w:w="45" w:type="dxa"/>
                  </w:tcMar>
                  <w:vAlign w:val="center"/>
                </w:tcPr>
                <w:p w14:paraId="7F1FA601">
                  <w:pPr>
                    <w:adjustRightInd w:val="0"/>
                    <w:snapToGrid w:val="0"/>
                    <w:jc w:val="center"/>
                    <w:rPr>
                      <w:sz w:val="18"/>
                      <w:szCs w:val="18"/>
                    </w:rPr>
                  </w:pPr>
                  <w:r>
                    <w:rPr>
                      <w:sz w:val="18"/>
                      <w:szCs w:val="18"/>
                    </w:rPr>
                    <w:t>文 件要 求</w:t>
                  </w:r>
                </w:p>
              </w:tc>
              <w:tc>
                <w:tcPr>
                  <w:tcW w:w="2866" w:type="pct"/>
                  <w:tcMar>
                    <w:top w:w="0" w:type="dxa"/>
                    <w:left w:w="45" w:type="dxa"/>
                    <w:bottom w:w="0" w:type="dxa"/>
                    <w:right w:w="45" w:type="dxa"/>
                  </w:tcMar>
                  <w:vAlign w:val="center"/>
                </w:tcPr>
                <w:p w14:paraId="137303ED">
                  <w:pPr>
                    <w:adjustRightInd w:val="0"/>
                    <w:snapToGrid w:val="0"/>
                    <w:jc w:val="center"/>
                    <w:rPr>
                      <w:sz w:val="18"/>
                      <w:szCs w:val="18"/>
                    </w:rPr>
                  </w:pPr>
                  <w:r>
                    <w:rPr>
                      <w:sz w:val="18"/>
                      <w:szCs w:val="18"/>
                    </w:rPr>
                    <w:t>具体规定</w:t>
                  </w:r>
                </w:p>
              </w:tc>
              <w:tc>
                <w:tcPr>
                  <w:tcW w:w="1169" w:type="pct"/>
                  <w:tcMar>
                    <w:top w:w="0" w:type="dxa"/>
                    <w:left w:w="45" w:type="dxa"/>
                    <w:bottom w:w="0" w:type="dxa"/>
                    <w:right w:w="45" w:type="dxa"/>
                  </w:tcMar>
                  <w:vAlign w:val="center"/>
                </w:tcPr>
                <w:p w14:paraId="5A853E00">
                  <w:pPr>
                    <w:adjustRightInd w:val="0"/>
                    <w:snapToGrid w:val="0"/>
                    <w:jc w:val="center"/>
                    <w:rPr>
                      <w:sz w:val="18"/>
                      <w:szCs w:val="18"/>
                    </w:rPr>
                  </w:pPr>
                  <w:r>
                    <w:rPr>
                      <w:sz w:val="18"/>
                      <w:szCs w:val="18"/>
                    </w:rPr>
                    <w:t>本项目情况</w:t>
                  </w:r>
                </w:p>
              </w:tc>
              <w:tc>
                <w:tcPr>
                  <w:tcW w:w="450" w:type="pct"/>
                  <w:tcMar>
                    <w:top w:w="0" w:type="dxa"/>
                    <w:left w:w="45" w:type="dxa"/>
                    <w:bottom w:w="0" w:type="dxa"/>
                    <w:right w:w="45" w:type="dxa"/>
                  </w:tcMar>
                  <w:vAlign w:val="center"/>
                </w:tcPr>
                <w:p w14:paraId="2EA72903">
                  <w:pPr>
                    <w:adjustRightInd w:val="0"/>
                    <w:snapToGrid w:val="0"/>
                    <w:jc w:val="center"/>
                    <w:rPr>
                      <w:sz w:val="18"/>
                      <w:szCs w:val="18"/>
                    </w:rPr>
                  </w:pPr>
                  <w:r>
                    <w:rPr>
                      <w:sz w:val="18"/>
                      <w:szCs w:val="18"/>
                    </w:rPr>
                    <w:t>符合</w:t>
                  </w:r>
                </w:p>
                <w:p w14:paraId="5FEE0F67">
                  <w:pPr>
                    <w:adjustRightInd w:val="0"/>
                    <w:snapToGrid w:val="0"/>
                    <w:jc w:val="center"/>
                    <w:rPr>
                      <w:sz w:val="18"/>
                      <w:szCs w:val="18"/>
                    </w:rPr>
                  </w:pPr>
                  <w:r>
                    <w:rPr>
                      <w:sz w:val="18"/>
                      <w:szCs w:val="18"/>
                    </w:rPr>
                    <w:t>情况</w:t>
                  </w:r>
                </w:p>
              </w:tc>
            </w:tr>
            <w:tr w14:paraId="3EC98D3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513" w:type="pct"/>
                  <w:tcMar>
                    <w:top w:w="0" w:type="dxa"/>
                    <w:left w:w="45" w:type="dxa"/>
                    <w:bottom w:w="0" w:type="dxa"/>
                    <w:right w:w="45" w:type="dxa"/>
                  </w:tcMar>
                  <w:vAlign w:val="center"/>
                </w:tcPr>
                <w:p w14:paraId="4B659870">
                  <w:pPr>
                    <w:adjustRightInd w:val="0"/>
                    <w:snapToGrid w:val="0"/>
                    <w:jc w:val="center"/>
                    <w:rPr>
                      <w:sz w:val="18"/>
                      <w:szCs w:val="18"/>
                    </w:rPr>
                  </w:pPr>
                  <w:r>
                    <w:rPr>
                      <w:sz w:val="18"/>
                      <w:szCs w:val="18"/>
                    </w:rPr>
                    <w:t>坚决淘汰落后产能</w:t>
                  </w:r>
                </w:p>
              </w:tc>
              <w:tc>
                <w:tcPr>
                  <w:tcW w:w="2866" w:type="pct"/>
                  <w:tcMar>
                    <w:top w:w="0" w:type="dxa"/>
                    <w:left w:w="45" w:type="dxa"/>
                    <w:bottom w:w="0" w:type="dxa"/>
                    <w:right w:w="45" w:type="dxa"/>
                  </w:tcMar>
                  <w:vAlign w:val="center"/>
                </w:tcPr>
                <w:p w14:paraId="5B34392B">
                  <w:pPr>
                    <w:adjustRightInd w:val="0"/>
                    <w:snapToGrid w:val="0"/>
                    <w:jc w:val="center"/>
                    <w:rPr>
                      <w:sz w:val="18"/>
                      <w:szCs w:val="18"/>
                    </w:rPr>
                  </w:pPr>
                  <w:r>
                    <w:rPr>
                      <w:sz w:val="18"/>
                      <w:szCs w:val="18"/>
                    </w:rPr>
                    <w:t>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169" w:type="pct"/>
                  <w:tcMar>
                    <w:top w:w="0" w:type="dxa"/>
                    <w:left w:w="45" w:type="dxa"/>
                    <w:bottom w:w="0" w:type="dxa"/>
                    <w:right w:w="45" w:type="dxa"/>
                  </w:tcMar>
                  <w:vAlign w:val="center"/>
                </w:tcPr>
                <w:p w14:paraId="1A5788C1">
                  <w:pPr>
                    <w:adjustRightInd w:val="0"/>
                    <w:snapToGrid w:val="0"/>
                    <w:jc w:val="center"/>
                    <w:rPr>
                      <w:sz w:val="18"/>
                      <w:szCs w:val="18"/>
                    </w:rPr>
                  </w:pPr>
                  <w:r>
                    <w:rPr>
                      <w:sz w:val="18"/>
                      <w:szCs w:val="18"/>
                    </w:rPr>
                    <w:t>项目已完成立项，</w:t>
                  </w:r>
                  <w:r>
                    <w:rPr>
                      <w:rFonts w:hint="eastAsia"/>
                      <w:sz w:val="18"/>
                      <w:szCs w:val="18"/>
                      <w:lang w:eastAsia="zh-CN"/>
                    </w:rPr>
                    <w:t>项目</w:t>
                  </w:r>
                  <w:r>
                    <w:rPr>
                      <w:sz w:val="18"/>
                      <w:szCs w:val="18"/>
                    </w:rPr>
                    <w:t>代码为</w:t>
                  </w:r>
                  <w:r>
                    <w:rPr>
                      <w:rFonts w:hint="eastAsia"/>
                      <w:sz w:val="18"/>
                      <w:szCs w:val="18"/>
                      <w:lang w:eastAsia="zh-CN"/>
                    </w:rPr>
                    <w:t>2403-370302-89-02-254574</w:t>
                  </w:r>
                  <w:r>
                    <w:rPr>
                      <w:sz w:val="18"/>
                      <w:szCs w:val="18"/>
                    </w:rPr>
                    <w:t>，符合国家和淄博市产业政策。</w:t>
                  </w:r>
                </w:p>
              </w:tc>
              <w:tc>
                <w:tcPr>
                  <w:tcW w:w="450" w:type="pct"/>
                  <w:tcMar>
                    <w:top w:w="0" w:type="dxa"/>
                    <w:left w:w="45" w:type="dxa"/>
                    <w:bottom w:w="0" w:type="dxa"/>
                    <w:right w:w="45" w:type="dxa"/>
                  </w:tcMar>
                  <w:vAlign w:val="center"/>
                </w:tcPr>
                <w:p w14:paraId="72D076CB">
                  <w:pPr>
                    <w:adjustRightInd w:val="0"/>
                    <w:snapToGrid w:val="0"/>
                    <w:jc w:val="center"/>
                    <w:rPr>
                      <w:color w:val="FF0000"/>
                      <w:sz w:val="18"/>
                      <w:szCs w:val="18"/>
                    </w:rPr>
                  </w:pPr>
                  <w:r>
                    <w:rPr>
                      <w:sz w:val="18"/>
                      <w:szCs w:val="18"/>
                    </w:rPr>
                    <w:t>符合</w:t>
                  </w:r>
                </w:p>
              </w:tc>
            </w:tr>
            <w:tr w14:paraId="39E6AAB6">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13" w:type="pct"/>
                  <w:tcMar>
                    <w:top w:w="0" w:type="dxa"/>
                    <w:left w:w="45" w:type="dxa"/>
                    <w:bottom w:w="0" w:type="dxa"/>
                    <w:right w:w="45" w:type="dxa"/>
                  </w:tcMar>
                  <w:vAlign w:val="center"/>
                </w:tcPr>
                <w:p w14:paraId="296CCBA2">
                  <w:pPr>
                    <w:adjustRightInd w:val="0"/>
                    <w:snapToGrid w:val="0"/>
                    <w:jc w:val="center"/>
                    <w:rPr>
                      <w:sz w:val="18"/>
                      <w:szCs w:val="18"/>
                    </w:rPr>
                  </w:pPr>
                  <w:r>
                    <w:rPr>
                      <w:sz w:val="18"/>
                      <w:szCs w:val="18"/>
                    </w:rPr>
                    <w:t>严把准入关口</w:t>
                  </w:r>
                </w:p>
              </w:tc>
              <w:tc>
                <w:tcPr>
                  <w:tcW w:w="2866" w:type="pct"/>
                  <w:tcMar>
                    <w:top w:w="0" w:type="dxa"/>
                    <w:left w:w="45" w:type="dxa"/>
                    <w:bottom w:w="0" w:type="dxa"/>
                    <w:right w:w="45" w:type="dxa"/>
                  </w:tcMar>
                  <w:vAlign w:val="center"/>
                </w:tcPr>
                <w:p w14:paraId="00C958DB">
                  <w:pPr>
                    <w:adjustRightInd w:val="0"/>
                    <w:snapToGrid w:val="0"/>
                    <w:jc w:val="center"/>
                    <w:rPr>
                      <w:sz w:val="18"/>
                      <w:szCs w:val="18"/>
                    </w:rPr>
                  </w:pPr>
                  <w:r>
                    <w:rPr>
                      <w:sz w:val="18"/>
                      <w:szCs w:val="18"/>
                    </w:rPr>
                    <w:t>坚持环境质量“只能更好，不能变坏”的底线，严格落实污染物排放总量和产能总量控制刚性要求。实施“四上四压”，坚持“上新压旧”“上大压小”“上高压低”“上整压散”。“两高”项目确有必要建设的，须严格落实产能、煤耗、能耗、碳排放和污染物排放“五个减量替代”要求，新（改、扩）建项目要减量替代，已建项目要减量运行。依据国家相关产业政策，对钢铁、地炼、焦化、煤电、电解铝、水泥、轮胎、平板玻璃、氮肥、铁合金等重点行业严格执行产能置换要求，确保产能总量只减不增。原则上不再审批新建煤矿项目。严禁省外水泥熟料、粉磨、焦化产能转入，严禁新增水泥熟料、粉磨产能。</w:t>
                  </w:r>
                </w:p>
              </w:tc>
              <w:tc>
                <w:tcPr>
                  <w:tcW w:w="1169" w:type="pct"/>
                  <w:tcMar>
                    <w:top w:w="0" w:type="dxa"/>
                    <w:left w:w="45" w:type="dxa"/>
                    <w:bottom w:w="0" w:type="dxa"/>
                    <w:right w:w="45" w:type="dxa"/>
                  </w:tcMar>
                  <w:vAlign w:val="center"/>
                </w:tcPr>
                <w:p w14:paraId="414AB34F">
                  <w:pPr>
                    <w:adjustRightInd w:val="0"/>
                    <w:snapToGrid w:val="0"/>
                    <w:jc w:val="center"/>
                    <w:rPr>
                      <w:sz w:val="18"/>
                      <w:szCs w:val="18"/>
                    </w:rPr>
                  </w:pPr>
                  <w:r>
                    <w:rPr>
                      <w:sz w:val="18"/>
                      <w:szCs w:val="18"/>
                    </w:rPr>
                    <w:t>项目不属于两高项目。</w:t>
                  </w:r>
                </w:p>
              </w:tc>
              <w:tc>
                <w:tcPr>
                  <w:tcW w:w="450" w:type="pct"/>
                  <w:tcMar>
                    <w:top w:w="0" w:type="dxa"/>
                    <w:left w:w="45" w:type="dxa"/>
                    <w:bottom w:w="0" w:type="dxa"/>
                    <w:right w:w="45" w:type="dxa"/>
                  </w:tcMar>
                  <w:vAlign w:val="center"/>
                </w:tcPr>
                <w:p w14:paraId="015035DF">
                  <w:pPr>
                    <w:adjustRightInd w:val="0"/>
                    <w:snapToGrid w:val="0"/>
                    <w:jc w:val="center"/>
                    <w:rPr>
                      <w:sz w:val="18"/>
                      <w:szCs w:val="18"/>
                    </w:rPr>
                  </w:pPr>
                  <w:r>
                    <w:rPr>
                      <w:sz w:val="18"/>
                      <w:szCs w:val="18"/>
                    </w:rPr>
                    <w:t>符合</w:t>
                  </w:r>
                </w:p>
              </w:tc>
            </w:tr>
          </w:tbl>
          <w:p w14:paraId="0646D5ED">
            <w:pPr>
              <w:pStyle w:val="2"/>
              <w:adjustRightInd w:val="0"/>
              <w:snapToGrid w:val="0"/>
              <w:spacing w:line="360" w:lineRule="auto"/>
              <w:ind w:left="0" w:leftChars="0" w:firstLine="420" w:firstLineChars="200"/>
              <w:rPr>
                <w:sz w:val="21"/>
                <w:szCs w:val="21"/>
              </w:rPr>
            </w:pPr>
            <w:r>
              <w:rPr>
                <w:sz w:val="21"/>
                <w:szCs w:val="21"/>
              </w:rPr>
              <w:t>综上，项目建设符合《关于印发山东省“十四五”生态环境保护规划的通知》（鲁政发〔2021〕12号）要求。</w:t>
            </w:r>
          </w:p>
          <w:p w14:paraId="2EB55D42">
            <w:pPr>
              <w:adjustRightInd w:val="0"/>
              <w:snapToGrid w:val="0"/>
              <w:spacing w:line="360" w:lineRule="auto"/>
              <w:ind w:firstLine="420" w:firstLineChars="200"/>
            </w:pPr>
            <w:r>
              <w:t>（7）与《关于严格项目审批工作坚决防止新上“散乱污”项目的通知》（鲁环字[2021]58号）的符合性分析。</w:t>
            </w:r>
          </w:p>
          <w:p w14:paraId="56FDB926">
            <w:pPr>
              <w:adjustRightInd w:val="0"/>
              <w:snapToGrid w:val="0"/>
              <w:spacing w:line="360" w:lineRule="auto"/>
              <w:jc w:val="center"/>
              <w:rPr>
                <w:b/>
              </w:rPr>
            </w:pPr>
            <w:r>
              <w:rPr>
                <w:b/>
              </w:rPr>
              <w:t>表1-</w:t>
            </w:r>
            <w:r>
              <w:rPr>
                <w:rFonts w:hint="eastAsia"/>
                <w:b/>
                <w:lang w:val="en-US" w:eastAsia="zh-CN"/>
              </w:rPr>
              <w:t>10</w:t>
            </w:r>
            <w:r>
              <w:rPr>
                <w:b/>
              </w:rPr>
              <w:t>项目与《关于严格项目审批工作坚决防止新上“散乱污”项目的通知》（鲁环字[2021]58号）的符合性分析</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4258"/>
              <w:gridCol w:w="2148"/>
              <w:gridCol w:w="814"/>
            </w:tblGrid>
            <w:tr w14:paraId="079FA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1DB58F6B">
                  <w:pPr>
                    <w:jc w:val="center"/>
                    <w:rPr>
                      <w:b/>
                      <w:bCs/>
                      <w:sz w:val="18"/>
                      <w:szCs w:val="18"/>
                    </w:rPr>
                  </w:pPr>
                  <w:r>
                    <w:rPr>
                      <w:b/>
                      <w:bCs/>
                      <w:sz w:val="18"/>
                      <w:szCs w:val="18"/>
                    </w:rPr>
                    <w:t>序号</w:t>
                  </w:r>
                </w:p>
              </w:tc>
              <w:tc>
                <w:tcPr>
                  <w:tcW w:w="2611" w:type="pct"/>
                  <w:vAlign w:val="center"/>
                </w:tcPr>
                <w:p w14:paraId="62C0CCD8">
                  <w:pPr>
                    <w:jc w:val="center"/>
                    <w:rPr>
                      <w:b/>
                      <w:bCs/>
                      <w:sz w:val="18"/>
                      <w:szCs w:val="18"/>
                    </w:rPr>
                  </w:pPr>
                  <w:r>
                    <w:rPr>
                      <w:b/>
                      <w:bCs/>
                      <w:sz w:val="18"/>
                      <w:szCs w:val="18"/>
                    </w:rPr>
                    <w:t>关于严格项目审批工作坚决防止新上“散乱污”项目的通知（鲁环字[2021]58号）</w:t>
                  </w:r>
                </w:p>
              </w:tc>
              <w:tc>
                <w:tcPr>
                  <w:tcW w:w="1317" w:type="pct"/>
                  <w:vAlign w:val="center"/>
                </w:tcPr>
                <w:p w14:paraId="7B2B636A">
                  <w:pPr>
                    <w:jc w:val="center"/>
                    <w:rPr>
                      <w:b/>
                      <w:bCs/>
                      <w:sz w:val="18"/>
                      <w:szCs w:val="18"/>
                    </w:rPr>
                  </w:pPr>
                  <w:r>
                    <w:rPr>
                      <w:b/>
                      <w:bCs/>
                      <w:sz w:val="18"/>
                      <w:szCs w:val="18"/>
                    </w:rPr>
                    <w:t>项目符合情况</w:t>
                  </w:r>
                </w:p>
              </w:tc>
              <w:tc>
                <w:tcPr>
                  <w:tcW w:w="499" w:type="pct"/>
                  <w:vAlign w:val="center"/>
                </w:tcPr>
                <w:p w14:paraId="146F213E">
                  <w:pPr>
                    <w:jc w:val="center"/>
                    <w:rPr>
                      <w:b/>
                      <w:bCs/>
                      <w:sz w:val="18"/>
                      <w:szCs w:val="18"/>
                    </w:rPr>
                  </w:pPr>
                  <w:r>
                    <w:rPr>
                      <w:b/>
                      <w:bCs/>
                      <w:sz w:val="18"/>
                      <w:szCs w:val="18"/>
                    </w:rPr>
                    <w:t>符合情况</w:t>
                  </w:r>
                </w:p>
              </w:tc>
            </w:tr>
            <w:tr w14:paraId="3B3AC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065AC6CC">
                  <w:pPr>
                    <w:snapToGrid w:val="0"/>
                    <w:jc w:val="center"/>
                    <w:rPr>
                      <w:sz w:val="18"/>
                      <w:szCs w:val="18"/>
                    </w:rPr>
                  </w:pPr>
                  <w:r>
                    <w:rPr>
                      <w:sz w:val="18"/>
                      <w:szCs w:val="18"/>
                    </w:rPr>
                    <w:t>一</w:t>
                  </w:r>
                </w:p>
              </w:tc>
              <w:tc>
                <w:tcPr>
                  <w:tcW w:w="4258" w:type="dxa"/>
                  <w:vAlign w:val="center"/>
                </w:tcPr>
                <w:p w14:paraId="12118F1C">
                  <w:pPr>
                    <w:snapToGrid w:val="0"/>
                    <w:jc w:val="center"/>
                    <w:rPr>
                      <w:sz w:val="18"/>
                      <w:szCs w:val="18"/>
                    </w:rPr>
                  </w:pPr>
                  <w:r>
                    <w:rPr>
                      <w:rFonts w:hint="eastAsia"/>
                      <w:sz w:val="18"/>
                      <w:szCs w:val="18"/>
                    </w:rPr>
                    <w:t>认真贯彻执行产业政策。新上项目必须符合国家产业政策要求，禁止采用国家公布的淘汰工艺和落后设备，不得引进耗能高、污染大、生产粗放、不符合国家产业政策的项目。各级立项部门在为企业办理手续时，要认真对照《产业结构调整指导目录（2019年本）》（如有更新，以更新后文件为准），对鼓励类项目，按照有关规定审批、核准或备案；对限制类项目，禁止新建，现有生产能力允许在一定期限内改造升级；对淘汰类项目，市场主体不得进入，行政机关不予审批</w:t>
                  </w:r>
                  <w:r>
                    <w:rPr>
                      <w:sz w:val="18"/>
                      <w:szCs w:val="18"/>
                    </w:rPr>
                    <w:t>。</w:t>
                  </w:r>
                </w:p>
              </w:tc>
              <w:tc>
                <w:tcPr>
                  <w:tcW w:w="1317" w:type="pct"/>
                  <w:vAlign w:val="center"/>
                </w:tcPr>
                <w:p w14:paraId="6B7478E5">
                  <w:pPr>
                    <w:snapToGrid w:val="0"/>
                    <w:jc w:val="center"/>
                    <w:rPr>
                      <w:sz w:val="18"/>
                      <w:szCs w:val="18"/>
                    </w:rPr>
                  </w:pPr>
                  <w:r>
                    <w:rPr>
                      <w:sz w:val="18"/>
                      <w:szCs w:val="18"/>
                    </w:rPr>
                    <w:t>项目工艺、设备不属于国家公布的淘汰工艺和落后设备；项目不属于耗能高、污染大、生产粗放、不符合国家产业政策的项目；经查询《产业结构调整指导目录（20</w:t>
                  </w:r>
                  <w:r>
                    <w:rPr>
                      <w:rFonts w:hint="eastAsia"/>
                      <w:sz w:val="18"/>
                      <w:szCs w:val="18"/>
                      <w:lang w:val="en-US" w:eastAsia="zh-CN"/>
                    </w:rPr>
                    <w:t>24</w:t>
                  </w:r>
                  <w:r>
                    <w:rPr>
                      <w:sz w:val="18"/>
                      <w:szCs w:val="18"/>
                    </w:rPr>
                    <w:t>年</w:t>
                  </w:r>
                  <w:r>
                    <w:rPr>
                      <w:rFonts w:hint="eastAsia"/>
                      <w:sz w:val="18"/>
                      <w:szCs w:val="18"/>
                      <w:lang w:eastAsia="zh-CN"/>
                    </w:rPr>
                    <w:t>本</w:t>
                  </w:r>
                  <w:r>
                    <w:rPr>
                      <w:sz w:val="18"/>
                      <w:szCs w:val="18"/>
                    </w:rPr>
                    <w:t>）》，项目为允许类项目。</w:t>
                  </w:r>
                </w:p>
              </w:tc>
              <w:tc>
                <w:tcPr>
                  <w:tcW w:w="499" w:type="pct"/>
                  <w:vAlign w:val="center"/>
                </w:tcPr>
                <w:p w14:paraId="34C36962">
                  <w:pPr>
                    <w:snapToGrid w:val="0"/>
                    <w:jc w:val="center"/>
                    <w:rPr>
                      <w:sz w:val="18"/>
                      <w:szCs w:val="18"/>
                    </w:rPr>
                  </w:pPr>
                  <w:r>
                    <w:rPr>
                      <w:sz w:val="18"/>
                      <w:szCs w:val="18"/>
                    </w:rPr>
                    <w:t>符合</w:t>
                  </w:r>
                </w:p>
              </w:tc>
            </w:tr>
            <w:tr w14:paraId="5D83E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46AD1975">
                  <w:pPr>
                    <w:snapToGrid w:val="0"/>
                    <w:jc w:val="center"/>
                    <w:rPr>
                      <w:sz w:val="18"/>
                      <w:szCs w:val="18"/>
                    </w:rPr>
                  </w:pPr>
                  <w:r>
                    <w:rPr>
                      <w:sz w:val="18"/>
                      <w:szCs w:val="18"/>
                    </w:rPr>
                    <w:t>二</w:t>
                  </w:r>
                </w:p>
              </w:tc>
              <w:tc>
                <w:tcPr>
                  <w:tcW w:w="4258" w:type="dxa"/>
                  <w:vAlign w:val="center"/>
                </w:tcPr>
                <w:p w14:paraId="3AE6D5B9">
                  <w:pPr>
                    <w:snapToGrid w:val="0"/>
                    <w:jc w:val="center"/>
                    <w:rPr>
                      <w:sz w:val="18"/>
                      <w:szCs w:val="18"/>
                    </w:rPr>
                  </w:pPr>
                  <w:r>
                    <w:rPr>
                      <w:rFonts w:hint="eastAsia"/>
                      <w:sz w:val="18"/>
                      <w:szCs w:val="18"/>
                    </w:rPr>
                    <w:t>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r>
                    <w:rPr>
                      <w:sz w:val="18"/>
                      <w:szCs w:val="18"/>
                    </w:rPr>
                    <w:t>。</w:t>
                  </w:r>
                </w:p>
              </w:tc>
              <w:tc>
                <w:tcPr>
                  <w:tcW w:w="1317" w:type="pct"/>
                  <w:vAlign w:val="center"/>
                </w:tcPr>
                <w:p w14:paraId="0AD68B7B">
                  <w:pPr>
                    <w:snapToGrid w:val="0"/>
                    <w:jc w:val="center"/>
                    <w:rPr>
                      <w:sz w:val="18"/>
                      <w:szCs w:val="18"/>
                    </w:rPr>
                  </w:pPr>
                  <w:r>
                    <w:rPr>
                      <w:sz w:val="18"/>
                      <w:szCs w:val="18"/>
                    </w:rPr>
                    <w:t>项目位于淄博市淄川</w:t>
                  </w:r>
                  <w:r>
                    <w:rPr>
                      <w:rFonts w:hint="eastAsia"/>
                      <w:sz w:val="18"/>
                      <w:szCs w:val="18"/>
                      <w:lang w:eastAsia="zh-CN"/>
                    </w:rPr>
                    <w:t>经济开发区内</w:t>
                  </w:r>
                  <w:r>
                    <w:rPr>
                      <w:sz w:val="18"/>
                      <w:szCs w:val="18"/>
                    </w:rPr>
                    <w:t>，</w:t>
                  </w:r>
                  <w:r>
                    <w:rPr>
                      <w:rFonts w:hint="eastAsia"/>
                      <w:sz w:val="18"/>
                      <w:szCs w:val="18"/>
                      <w:lang w:eastAsia="zh-CN"/>
                    </w:rPr>
                    <w:t>不属于禁止进入行业，符合园区规划要求</w:t>
                  </w:r>
                  <w:r>
                    <w:rPr>
                      <w:sz w:val="18"/>
                      <w:szCs w:val="18"/>
                    </w:rPr>
                    <w:t>。</w:t>
                  </w:r>
                </w:p>
              </w:tc>
              <w:tc>
                <w:tcPr>
                  <w:tcW w:w="499" w:type="pct"/>
                  <w:vAlign w:val="center"/>
                </w:tcPr>
                <w:p w14:paraId="17F3851E">
                  <w:pPr>
                    <w:snapToGrid w:val="0"/>
                    <w:jc w:val="center"/>
                    <w:rPr>
                      <w:sz w:val="18"/>
                      <w:szCs w:val="18"/>
                    </w:rPr>
                  </w:pPr>
                  <w:r>
                    <w:rPr>
                      <w:sz w:val="18"/>
                      <w:szCs w:val="18"/>
                    </w:rPr>
                    <w:t>符合</w:t>
                  </w:r>
                </w:p>
              </w:tc>
            </w:tr>
            <w:tr w14:paraId="5545A4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4F4447CC">
                  <w:pPr>
                    <w:snapToGrid w:val="0"/>
                    <w:jc w:val="center"/>
                    <w:rPr>
                      <w:sz w:val="18"/>
                      <w:szCs w:val="18"/>
                    </w:rPr>
                  </w:pPr>
                  <w:r>
                    <w:rPr>
                      <w:sz w:val="18"/>
                      <w:szCs w:val="18"/>
                    </w:rPr>
                    <w:t>三</w:t>
                  </w:r>
                </w:p>
              </w:tc>
              <w:tc>
                <w:tcPr>
                  <w:tcW w:w="4258" w:type="dxa"/>
                  <w:vAlign w:val="center"/>
                </w:tcPr>
                <w:p w14:paraId="2737F122">
                  <w:pPr>
                    <w:snapToGrid w:val="0"/>
                    <w:jc w:val="center"/>
                    <w:rPr>
                      <w:sz w:val="18"/>
                      <w:szCs w:val="18"/>
                    </w:rPr>
                  </w:pPr>
                  <w:r>
                    <w:rPr>
                      <w:rFonts w:hint="eastAsia"/>
                      <w:sz w:val="18"/>
                      <w:szCs w:val="18"/>
                    </w:rPr>
                    <w:t>科学把好项目选址关。新建有污染物排放的工业项目，除在安全生产等方面有特殊要求的以外，应当进入工业园区或工业集聚区。各市要本着节约利用土地的原则，充分考虑项目周边环境、资金投入、推进速度等关键要素，合理选址，科学布局，切实做到符合用地政策，确保规划建设的项目有利于长远发展</w:t>
                  </w:r>
                  <w:r>
                    <w:rPr>
                      <w:sz w:val="18"/>
                      <w:szCs w:val="18"/>
                    </w:rPr>
                    <w:t>。</w:t>
                  </w:r>
                </w:p>
              </w:tc>
              <w:tc>
                <w:tcPr>
                  <w:tcW w:w="1317" w:type="pct"/>
                  <w:vAlign w:val="center"/>
                </w:tcPr>
                <w:p w14:paraId="030A1E70">
                  <w:pPr>
                    <w:snapToGrid w:val="0"/>
                    <w:jc w:val="center"/>
                    <w:rPr>
                      <w:sz w:val="18"/>
                      <w:szCs w:val="18"/>
                    </w:rPr>
                  </w:pPr>
                  <w:r>
                    <w:rPr>
                      <w:sz w:val="18"/>
                      <w:szCs w:val="18"/>
                    </w:rPr>
                    <w:t>项目位于淄博市淄川</w:t>
                  </w:r>
                  <w:r>
                    <w:rPr>
                      <w:rFonts w:hint="eastAsia"/>
                      <w:sz w:val="18"/>
                      <w:szCs w:val="18"/>
                      <w:lang w:eastAsia="zh-CN"/>
                    </w:rPr>
                    <w:t>经济开发区内</w:t>
                  </w:r>
                  <w:r>
                    <w:rPr>
                      <w:sz w:val="18"/>
                      <w:szCs w:val="18"/>
                    </w:rPr>
                    <w:t>，</w:t>
                  </w:r>
                  <w:r>
                    <w:rPr>
                      <w:rFonts w:hint="eastAsia"/>
                      <w:sz w:val="18"/>
                      <w:szCs w:val="18"/>
                      <w:lang w:eastAsia="zh-CN"/>
                    </w:rPr>
                    <w:t>不属于禁止进入行业，符合园区规划要求</w:t>
                  </w:r>
                  <w:r>
                    <w:rPr>
                      <w:sz w:val="18"/>
                      <w:szCs w:val="18"/>
                    </w:rPr>
                    <w:t>。</w:t>
                  </w:r>
                </w:p>
              </w:tc>
              <w:tc>
                <w:tcPr>
                  <w:tcW w:w="499" w:type="pct"/>
                  <w:vAlign w:val="center"/>
                </w:tcPr>
                <w:p w14:paraId="0810590C">
                  <w:pPr>
                    <w:snapToGrid w:val="0"/>
                    <w:jc w:val="center"/>
                    <w:rPr>
                      <w:sz w:val="18"/>
                      <w:szCs w:val="18"/>
                    </w:rPr>
                  </w:pPr>
                  <w:r>
                    <w:rPr>
                      <w:sz w:val="18"/>
                      <w:szCs w:val="18"/>
                    </w:rPr>
                    <w:t>符合</w:t>
                  </w:r>
                </w:p>
              </w:tc>
            </w:tr>
            <w:tr w14:paraId="1AE34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2FEFF941">
                  <w:pPr>
                    <w:snapToGrid w:val="0"/>
                    <w:jc w:val="center"/>
                    <w:rPr>
                      <w:sz w:val="18"/>
                      <w:szCs w:val="18"/>
                    </w:rPr>
                  </w:pPr>
                  <w:r>
                    <w:rPr>
                      <w:sz w:val="18"/>
                      <w:szCs w:val="18"/>
                    </w:rPr>
                    <w:t>四</w:t>
                  </w:r>
                </w:p>
              </w:tc>
              <w:tc>
                <w:tcPr>
                  <w:tcW w:w="4258" w:type="dxa"/>
                  <w:vAlign w:val="center"/>
                </w:tcPr>
                <w:p w14:paraId="7AD7F310">
                  <w:pPr>
                    <w:snapToGrid w:val="0"/>
                    <w:jc w:val="center"/>
                    <w:rPr>
                      <w:sz w:val="18"/>
                      <w:szCs w:val="18"/>
                    </w:rPr>
                  </w:pPr>
                  <w:r>
                    <w:rPr>
                      <w:rFonts w:hint="eastAsia"/>
                      <w:sz w:val="18"/>
                      <w:szCs w:val="18"/>
                    </w:rPr>
                    <w:t>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r>
                    <w:rPr>
                      <w:sz w:val="18"/>
                      <w:szCs w:val="18"/>
                    </w:rPr>
                    <w:t>。</w:t>
                  </w:r>
                </w:p>
              </w:tc>
              <w:tc>
                <w:tcPr>
                  <w:tcW w:w="1317" w:type="pct"/>
                  <w:vAlign w:val="center"/>
                </w:tcPr>
                <w:p w14:paraId="3E46FC9E">
                  <w:pPr>
                    <w:snapToGrid w:val="0"/>
                    <w:jc w:val="center"/>
                    <w:rPr>
                      <w:sz w:val="18"/>
                      <w:szCs w:val="18"/>
                    </w:rPr>
                  </w:pPr>
                  <w:r>
                    <w:rPr>
                      <w:sz w:val="18"/>
                      <w:szCs w:val="18"/>
                    </w:rPr>
                    <w:t>项目不在生态保护红线区，不涉及占用或穿越生态保护红线。符合</w:t>
                  </w:r>
                  <w:r>
                    <w:rPr>
                      <w:rFonts w:hint="eastAsia"/>
                      <w:sz w:val="18"/>
                      <w:szCs w:val="18"/>
                      <w:lang w:eastAsia="zh-CN"/>
                    </w:rPr>
                    <w:t>淄博市</w:t>
                  </w:r>
                  <w:r>
                    <w:rPr>
                      <w:rFonts w:hint="eastAsia"/>
                      <w:sz w:val="18"/>
                      <w:szCs w:val="18"/>
                    </w:rPr>
                    <w:t>“三线一单”生态环境分区管控要求</w:t>
                  </w:r>
                  <w:r>
                    <w:rPr>
                      <w:sz w:val="18"/>
                      <w:szCs w:val="18"/>
                    </w:rPr>
                    <w:t>。</w:t>
                  </w:r>
                </w:p>
              </w:tc>
              <w:tc>
                <w:tcPr>
                  <w:tcW w:w="499" w:type="pct"/>
                  <w:vAlign w:val="center"/>
                </w:tcPr>
                <w:p w14:paraId="2C944062">
                  <w:pPr>
                    <w:snapToGrid w:val="0"/>
                    <w:jc w:val="center"/>
                    <w:rPr>
                      <w:sz w:val="18"/>
                      <w:szCs w:val="18"/>
                    </w:rPr>
                  </w:pPr>
                  <w:r>
                    <w:rPr>
                      <w:sz w:val="18"/>
                      <w:szCs w:val="18"/>
                    </w:rPr>
                    <w:t>符合</w:t>
                  </w:r>
                </w:p>
              </w:tc>
            </w:tr>
            <w:tr w14:paraId="730B1C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72" w:type="pct"/>
                  <w:vAlign w:val="center"/>
                </w:tcPr>
                <w:p w14:paraId="37F41A3D">
                  <w:pPr>
                    <w:snapToGrid w:val="0"/>
                    <w:jc w:val="center"/>
                    <w:rPr>
                      <w:sz w:val="18"/>
                      <w:szCs w:val="18"/>
                    </w:rPr>
                  </w:pPr>
                  <w:r>
                    <w:rPr>
                      <w:sz w:val="18"/>
                      <w:szCs w:val="18"/>
                    </w:rPr>
                    <w:t>五</w:t>
                  </w:r>
                </w:p>
              </w:tc>
              <w:tc>
                <w:tcPr>
                  <w:tcW w:w="4258" w:type="dxa"/>
                  <w:vAlign w:val="center"/>
                </w:tcPr>
                <w:p w14:paraId="23F1E42D">
                  <w:pPr>
                    <w:snapToGrid w:val="0"/>
                    <w:jc w:val="center"/>
                    <w:rPr>
                      <w:sz w:val="18"/>
                      <w:szCs w:val="18"/>
                    </w:rPr>
                  </w:pPr>
                  <w:r>
                    <w:rPr>
                      <w:rFonts w:hint="eastAsia"/>
                      <w:sz w:val="18"/>
                      <w:szCs w:val="18"/>
                    </w:rPr>
                    <w:t>强化日常监管执法。持续加大对违反产业政策、规划、准入规定等违法违规建设行为的查处力度，坚决遏制“未批先建”等违法行为。畅通群众举报投诉渠道，对“散乱污”项目做到早发现、早应对、早处置，严防死灰复燃</w:t>
                  </w:r>
                  <w:r>
                    <w:rPr>
                      <w:sz w:val="18"/>
                      <w:szCs w:val="18"/>
                    </w:rPr>
                    <w:t>。</w:t>
                  </w:r>
                </w:p>
              </w:tc>
              <w:tc>
                <w:tcPr>
                  <w:tcW w:w="1317" w:type="pct"/>
                  <w:vAlign w:val="center"/>
                </w:tcPr>
                <w:p w14:paraId="09CF6C4C">
                  <w:pPr>
                    <w:snapToGrid w:val="0"/>
                    <w:jc w:val="center"/>
                    <w:rPr>
                      <w:sz w:val="18"/>
                      <w:szCs w:val="18"/>
                    </w:rPr>
                  </w:pPr>
                  <w:r>
                    <w:rPr>
                      <w:sz w:val="18"/>
                      <w:szCs w:val="18"/>
                    </w:rPr>
                    <w:t>项目不属于“未批先建”，无违法违规建设行为</w:t>
                  </w:r>
                </w:p>
              </w:tc>
              <w:tc>
                <w:tcPr>
                  <w:tcW w:w="499" w:type="pct"/>
                  <w:vAlign w:val="center"/>
                </w:tcPr>
                <w:p w14:paraId="26AB0FB6">
                  <w:pPr>
                    <w:snapToGrid w:val="0"/>
                    <w:jc w:val="center"/>
                    <w:rPr>
                      <w:sz w:val="18"/>
                      <w:szCs w:val="18"/>
                    </w:rPr>
                  </w:pPr>
                  <w:r>
                    <w:rPr>
                      <w:sz w:val="18"/>
                      <w:szCs w:val="18"/>
                    </w:rPr>
                    <w:t>符合</w:t>
                  </w:r>
                </w:p>
              </w:tc>
            </w:tr>
          </w:tbl>
          <w:p w14:paraId="5483D77F">
            <w:pPr>
              <w:pStyle w:val="2"/>
              <w:adjustRightInd w:val="0"/>
              <w:snapToGrid w:val="0"/>
              <w:spacing w:line="360" w:lineRule="auto"/>
              <w:ind w:left="0" w:leftChars="0" w:firstLine="420" w:firstLineChars="200"/>
              <w:rPr>
                <w:sz w:val="21"/>
                <w:szCs w:val="21"/>
              </w:rPr>
            </w:pPr>
            <w:r>
              <w:rPr>
                <w:sz w:val="21"/>
                <w:szCs w:val="21"/>
              </w:rPr>
              <w:t>由上表可见，项目的建设符合《关于严格项目审批工作坚决防止新上“散乱污”项目的通知》（鲁环字〔2021〕58号）的要求。</w:t>
            </w:r>
          </w:p>
          <w:p w14:paraId="5AD012D3">
            <w:pPr>
              <w:adjustRightInd w:val="0"/>
              <w:snapToGrid w:val="0"/>
              <w:spacing w:line="360" w:lineRule="auto"/>
              <w:ind w:firstLine="420" w:firstLineChars="200"/>
              <w:rPr>
                <w:rFonts w:hint="default" w:ascii="Times New Roman" w:hAnsi="Times New Roman" w:cs="Times New Roman"/>
              </w:rPr>
            </w:pPr>
            <w:r>
              <w:rPr>
                <w:rFonts w:hint="default" w:ascii="Times New Roman" w:hAnsi="Times New Roman" w:cs="Times New Roman"/>
              </w:rPr>
              <w:t>（6）与《关于加快推进重点行业挥发性有机物综合治理工作的通知》（淄环发〔2020）31号）符合性分析</w:t>
            </w:r>
          </w:p>
          <w:p w14:paraId="3D455D6B">
            <w:pPr>
              <w:spacing w:line="360" w:lineRule="auto"/>
              <w:jc w:val="center"/>
              <w:rPr>
                <w:rFonts w:hint="default" w:ascii="Times New Roman" w:hAnsi="Times New Roman" w:eastAsia="黑体" w:cs="Times New Roman"/>
                <w:b/>
              </w:rPr>
            </w:pPr>
            <w:r>
              <w:rPr>
                <w:rFonts w:hint="default" w:ascii="Times New Roman" w:hAnsi="Times New Roman" w:eastAsia="黑体" w:cs="Times New Roman"/>
                <w:b/>
              </w:rPr>
              <w:t>表1-11项目与《关于加快推进重点行业挥发性有机物综合治理工作的通知》</w:t>
            </w:r>
          </w:p>
          <w:p w14:paraId="0FEE09EF">
            <w:pPr>
              <w:spacing w:line="360" w:lineRule="auto"/>
              <w:jc w:val="center"/>
              <w:rPr>
                <w:rFonts w:hint="default" w:ascii="Times New Roman" w:hAnsi="Times New Roman" w:eastAsia="黑体" w:cs="Times New Roman"/>
                <w:b/>
              </w:rPr>
            </w:pPr>
            <w:r>
              <w:rPr>
                <w:rFonts w:hint="default" w:ascii="Times New Roman" w:hAnsi="Times New Roman" w:eastAsia="黑体" w:cs="Times New Roman"/>
                <w:b/>
              </w:rPr>
              <w:t>符合性分析</w:t>
            </w:r>
          </w:p>
          <w:tbl>
            <w:tblPr>
              <w:tblStyle w:val="8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28" w:type="dxa"/>
                <w:bottom w:w="0" w:type="dxa"/>
                <w:right w:w="28" w:type="dxa"/>
              </w:tblCellMar>
            </w:tblPr>
            <w:tblGrid>
              <w:gridCol w:w="553"/>
              <w:gridCol w:w="701"/>
              <w:gridCol w:w="3912"/>
              <w:gridCol w:w="868"/>
              <w:gridCol w:w="2110"/>
            </w:tblGrid>
            <w:tr w14:paraId="6F56E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211F6C92">
                  <w:pPr>
                    <w:widowControl/>
                    <w:jc w:val="center"/>
                    <w:rPr>
                      <w:rFonts w:hint="default" w:ascii="Times New Roman" w:hAnsi="Times New Roman" w:cs="Times New Roman"/>
                      <w:b/>
                      <w:color w:val="000000"/>
                      <w:kern w:val="0"/>
                      <w:sz w:val="18"/>
                      <w:szCs w:val="18"/>
                    </w:rPr>
                  </w:pPr>
                  <w:r>
                    <w:rPr>
                      <w:rFonts w:hint="default" w:ascii="Times New Roman" w:hAnsi="Times New Roman" w:cs="Times New Roman"/>
                      <w:b/>
                      <w:color w:val="000000"/>
                      <w:kern w:val="0"/>
                      <w:sz w:val="18"/>
                      <w:szCs w:val="18"/>
                    </w:rPr>
                    <w:t xml:space="preserve">序号 </w:t>
                  </w:r>
                </w:p>
              </w:tc>
              <w:tc>
                <w:tcPr>
                  <w:tcW w:w="701" w:type="dxa"/>
                  <w:tcBorders>
                    <w:top w:val="single" w:color="auto" w:sz="4" w:space="0"/>
                    <w:left w:val="single" w:color="auto" w:sz="4" w:space="0"/>
                    <w:bottom w:val="single" w:color="auto" w:sz="4" w:space="0"/>
                    <w:right w:val="single" w:color="auto" w:sz="4" w:space="0"/>
                  </w:tcBorders>
                  <w:vAlign w:val="center"/>
                </w:tcPr>
                <w:p w14:paraId="705620FD">
                  <w:pPr>
                    <w:widowControl/>
                    <w:jc w:val="center"/>
                    <w:rPr>
                      <w:rFonts w:hint="default" w:ascii="Times New Roman" w:hAnsi="Times New Roman" w:cs="Times New Roman"/>
                      <w:b/>
                      <w:color w:val="000000"/>
                      <w:kern w:val="0"/>
                      <w:sz w:val="18"/>
                      <w:szCs w:val="18"/>
                    </w:rPr>
                  </w:pPr>
                  <w:r>
                    <w:rPr>
                      <w:rFonts w:hint="default" w:ascii="Times New Roman" w:hAnsi="Times New Roman" w:cs="Times New Roman"/>
                      <w:b/>
                      <w:color w:val="000000"/>
                      <w:kern w:val="0"/>
                      <w:sz w:val="18"/>
                      <w:szCs w:val="18"/>
                    </w:rPr>
                    <w:t xml:space="preserve">环节 </w:t>
                  </w:r>
                </w:p>
              </w:tc>
              <w:tc>
                <w:tcPr>
                  <w:tcW w:w="3912" w:type="dxa"/>
                  <w:tcBorders>
                    <w:top w:val="single" w:color="auto" w:sz="4" w:space="0"/>
                    <w:left w:val="single" w:color="auto" w:sz="4" w:space="0"/>
                    <w:bottom w:val="single" w:color="auto" w:sz="4" w:space="0"/>
                    <w:right w:val="single" w:color="auto" w:sz="4" w:space="0"/>
                  </w:tcBorders>
                  <w:vAlign w:val="center"/>
                </w:tcPr>
                <w:p w14:paraId="1BA4AEF4">
                  <w:pPr>
                    <w:widowControl/>
                    <w:jc w:val="center"/>
                    <w:rPr>
                      <w:rFonts w:hint="default" w:ascii="Times New Roman" w:hAnsi="Times New Roman" w:cs="Times New Roman"/>
                      <w:b/>
                      <w:color w:val="000000"/>
                      <w:kern w:val="0"/>
                      <w:sz w:val="18"/>
                      <w:szCs w:val="18"/>
                    </w:rPr>
                  </w:pPr>
                  <w:r>
                    <w:rPr>
                      <w:rFonts w:hint="default" w:ascii="Times New Roman" w:hAnsi="Times New Roman" w:cs="Times New Roman"/>
                      <w:b/>
                      <w:color w:val="000000"/>
                      <w:kern w:val="0"/>
                      <w:sz w:val="18"/>
                      <w:szCs w:val="18"/>
                    </w:rPr>
                    <w:t xml:space="preserve">治理任务 </w:t>
                  </w:r>
                </w:p>
              </w:tc>
              <w:tc>
                <w:tcPr>
                  <w:tcW w:w="868" w:type="dxa"/>
                  <w:tcBorders>
                    <w:top w:val="single" w:color="auto" w:sz="4" w:space="0"/>
                    <w:left w:val="single" w:color="auto" w:sz="4" w:space="0"/>
                    <w:bottom w:val="single" w:color="auto" w:sz="4" w:space="0"/>
                    <w:right w:val="single" w:color="auto" w:sz="4" w:space="0"/>
                  </w:tcBorders>
                </w:tcPr>
                <w:p w14:paraId="76D84B89">
                  <w:pPr>
                    <w:widowControl/>
                    <w:jc w:val="center"/>
                    <w:rPr>
                      <w:rFonts w:hint="default" w:ascii="Times New Roman" w:hAnsi="Times New Roman" w:cs="Times New Roman"/>
                      <w:b/>
                      <w:color w:val="000000"/>
                      <w:kern w:val="0"/>
                      <w:sz w:val="18"/>
                      <w:szCs w:val="18"/>
                    </w:rPr>
                  </w:pPr>
                  <w:r>
                    <w:rPr>
                      <w:rFonts w:hint="default" w:ascii="Times New Roman" w:hAnsi="Times New Roman" w:cs="Times New Roman"/>
                      <w:b/>
                      <w:color w:val="000000"/>
                      <w:kern w:val="0"/>
                      <w:sz w:val="18"/>
                      <w:szCs w:val="18"/>
                    </w:rPr>
                    <w:t>实施</w:t>
                  </w:r>
                </w:p>
                <w:p w14:paraId="3659669C">
                  <w:pPr>
                    <w:widowControl/>
                    <w:jc w:val="center"/>
                    <w:rPr>
                      <w:rFonts w:hint="default" w:ascii="Times New Roman" w:hAnsi="Times New Roman" w:cs="Times New Roman"/>
                      <w:b/>
                      <w:color w:val="000000"/>
                      <w:kern w:val="0"/>
                      <w:sz w:val="18"/>
                      <w:szCs w:val="18"/>
                    </w:rPr>
                  </w:pPr>
                  <w:r>
                    <w:rPr>
                      <w:rFonts w:hint="default" w:ascii="Times New Roman" w:hAnsi="Times New Roman" w:cs="Times New Roman"/>
                      <w:b/>
                      <w:color w:val="000000"/>
                      <w:kern w:val="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3BD24E2A">
                  <w:pPr>
                    <w:widowControl/>
                    <w:jc w:val="center"/>
                    <w:rPr>
                      <w:rFonts w:hint="default" w:ascii="Times New Roman" w:hAnsi="Times New Roman" w:cs="Times New Roman"/>
                      <w:b/>
                      <w:color w:val="000000"/>
                      <w:kern w:val="0"/>
                      <w:sz w:val="18"/>
                      <w:szCs w:val="18"/>
                    </w:rPr>
                  </w:pPr>
                  <w:r>
                    <w:rPr>
                      <w:rFonts w:hint="default" w:ascii="Times New Roman" w:hAnsi="Times New Roman" w:cs="Times New Roman"/>
                      <w:b/>
                      <w:color w:val="000000"/>
                      <w:kern w:val="0"/>
                      <w:sz w:val="18"/>
                      <w:szCs w:val="18"/>
                    </w:rPr>
                    <w:t>本项目符合性</w:t>
                  </w:r>
                </w:p>
              </w:tc>
            </w:tr>
            <w:tr w14:paraId="746CA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144" w:type="dxa"/>
                  <w:gridSpan w:val="5"/>
                  <w:tcBorders>
                    <w:top w:val="single" w:color="auto" w:sz="4" w:space="0"/>
                    <w:left w:val="single" w:color="auto" w:sz="4" w:space="0"/>
                    <w:bottom w:val="single" w:color="auto" w:sz="4" w:space="0"/>
                    <w:right w:val="single" w:color="auto" w:sz="4" w:space="0"/>
                  </w:tcBorders>
                  <w:vAlign w:val="center"/>
                </w:tcPr>
                <w:p w14:paraId="0FD87EC4">
                  <w:pPr>
                    <w:widowControl/>
                    <w:jc w:val="center"/>
                    <w:rPr>
                      <w:rFonts w:hint="default" w:ascii="Times New Roman" w:hAnsi="Times New Roman" w:cs="Times New Roman"/>
                      <w:b/>
                      <w:bCs/>
                      <w:color w:val="000000"/>
                      <w:kern w:val="0"/>
                      <w:sz w:val="18"/>
                      <w:szCs w:val="18"/>
                    </w:rPr>
                  </w:pPr>
                  <w:r>
                    <w:rPr>
                      <w:rFonts w:hint="default" w:ascii="Times New Roman" w:hAnsi="Times New Roman" w:cs="Times New Roman"/>
                      <w:b/>
                      <w:bCs/>
                      <w:color w:val="000000"/>
                      <w:kern w:val="0"/>
                      <w:sz w:val="18"/>
                      <w:szCs w:val="18"/>
                    </w:rPr>
                    <w:t>源头替代</w:t>
                  </w:r>
                </w:p>
              </w:tc>
            </w:tr>
            <w:tr w14:paraId="48733D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99"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36809A56">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restart"/>
                  <w:tcBorders>
                    <w:top w:val="single" w:color="auto" w:sz="4" w:space="0"/>
                    <w:left w:val="single" w:color="auto" w:sz="4" w:space="0"/>
                    <w:bottom w:val="single" w:color="auto" w:sz="4" w:space="0"/>
                    <w:right w:val="single" w:color="auto" w:sz="4" w:space="0"/>
                  </w:tcBorders>
                  <w:vAlign w:val="center"/>
                </w:tcPr>
                <w:p w14:paraId="2F4B356B">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原辅料</w:t>
                  </w:r>
                </w:p>
              </w:tc>
              <w:tc>
                <w:tcPr>
                  <w:tcW w:w="3912" w:type="dxa"/>
                  <w:tcBorders>
                    <w:top w:val="single" w:color="auto" w:sz="4" w:space="0"/>
                    <w:left w:val="single" w:color="auto" w:sz="4" w:space="0"/>
                    <w:bottom w:val="single" w:color="auto" w:sz="4" w:space="0"/>
                    <w:right w:val="single" w:color="auto" w:sz="4" w:space="0"/>
                  </w:tcBorders>
                  <w:vAlign w:val="center"/>
                </w:tcPr>
                <w:p w14:paraId="32C49050">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底漆使用水性涂料，乘用车中涂、色漆使用高固体分或水性涂料</w:t>
                  </w:r>
                </w:p>
              </w:tc>
              <w:tc>
                <w:tcPr>
                  <w:tcW w:w="868" w:type="dxa"/>
                  <w:tcBorders>
                    <w:top w:val="single" w:color="auto" w:sz="4" w:space="0"/>
                    <w:left w:val="single" w:color="auto" w:sz="4" w:space="0"/>
                    <w:bottom w:val="single" w:color="auto" w:sz="4" w:space="0"/>
                    <w:right w:val="single" w:color="auto" w:sz="4" w:space="0"/>
                  </w:tcBorders>
                  <w:vAlign w:val="center"/>
                </w:tcPr>
                <w:p w14:paraId="3450B3D6">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sz w:val="18"/>
                      <w:szCs w:val="18"/>
                    </w:rPr>
                    <w:t xml:space="preserve">推荐 </w:t>
                  </w:r>
                </w:p>
              </w:tc>
              <w:tc>
                <w:tcPr>
                  <w:tcW w:w="2110" w:type="dxa"/>
                  <w:vMerge w:val="restart"/>
                  <w:tcBorders>
                    <w:top w:val="single" w:color="auto" w:sz="4" w:space="0"/>
                    <w:left w:val="single" w:color="auto" w:sz="4" w:space="0"/>
                    <w:bottom w:val="single" w:color="auto" w:sz="4" w:space="0"/>
                    <w:right w:val="single" w:color="auto" w:sz="4" w:space="0"/>
                  </w:tcBorders>
                  <w:vAlign w:val="center"/>
                </w:tcPr>
                <w:p w14:paraId="42BF4DB9">
                  <w:pPr>
                    <w:widowControl/>
                    <w:rPr>
                      <w:rFonts w:hint="default" w:ascii="Times New Roman" w:hAnsi="Times New Roman" w:eastAsia="宋体" w:cs="Times New Roman"/>
                      <w:color w:val="000000"/>
                      <w:kern w:val="0"/>
                      <w:sz w:val="18"/>
                      <w:szCs w:val="18"/>
                      <w:lang w:eastAsia="zh-CN"/>
                    </w:rPr>
                  </w:pPr>
                  <w:r>
                    <w:rPr>
                      <w:rFonts w:hint="default" w:ascii="Times New Roman" w:hAnsi="Times New Roman" w:cs="Times New Roman"/>
                      <w:kern w:val="0"/>
                      <w:sz w:val="18"/>
                      <w:szCs w:val="18"/>
                      <w:highlight w:val="none"/>
                      <w:lang w:eastAsia="zh-CN"/>
                    </w:rPr>
                    <w:t>因工艺需求，</w:t>
                  </w:r>
                  <w:r>
                    <w:rPr>
                      <w:rFonts w:hint="default" w:ascii="Times New Roman" w:hAnsi="Times New Roman" w:cs="Times New Roman"/>
                      <w:kern w:val="0"/>
                      <w:sz w:val="18"/>
                      <w:szCs w:val="18"/>
                      <w:highlight w:val="none"/>
                    </w:rPr>
                    <w:t>本项目</w:t>
                  </w:r>
                  <w:r>
                    <w:rPr>
                      <w:rFonts w:hint="default" w:ascii="Times New Roman" w:hAnsi="Times New Roman" w:cs="Times New Roman"/>
                      <w:kern w:val="0"/>
                      <w:sz w:val="18"/>
                      <w:szCs w:val="18"/>
                      <w:highlight w:val="none"/>
                      <w:lang w:eastAsia="zh-CN"/>
                    </w:rPr>
                    <w:t>需</w:t>
                  </w:r>
                  <w:r>
                    <w:rPr>
                      <w:rFonts w:hint="default" w:ascii="Times New Roman" w:hAnsi="Times New Roman" w:cs="Times New Roman"/>
                      <w:kern w:val="0"/>
                      <w:sz w:val="18"/>
                      <w:szCs w:val="18"/>
                      <w:highlight w:val="none"/>
                    </w:rPr>
                    <w:t>采用</w:t>
                  </w:r>
                  <w:r>
                    <w:rPr>
                      <w:rFonts w:hint="default" w:ascii="Times New Roman" w:hAnsi="Times New Roman" w:cs="Times New Roman"/>
                      <w:kern w:val="0"/>
                      <w:sz w:val="18"/>
                      <w:szCs w:val="18"/>
                      <w:highlight w:val="none"/>
                      <w:lang w:eastAsia="zh-CN"/>
                    </w:rPr>
                    <w:t>溶剂型</w:t>
                  </w:r>
                  <w:r>
                    <w:rPr>
                      <w:rFonts w:hint="default" w:ascii="Times New Roman" w:hAnsi="Times New Roman" w:cs="Times New Roman"/>
                      <w:kern w:val="0"/>
                      <w:sz w:val="18"/>
                      <w:szCs w:val="18"/>
                      <w:highlight w:val="none"/>
                    </w:rPr>
                    <w:t>涂料</w:t>
                  </w:r>
                  <w:r>
                    <w:rPr>
                      <w:rFonts w:hint="eastAsia" w:ascii="Times New Roman" w:hAnsi="Times New Roman" w:cs="Times New Roman"/>
                      <w:kern w:val="0"/>
                      <w:sz w:val="18"/>
                      <w:szCs w:val="18"/>
                      <w:highlight w:val="none"/>
                      <w:lang w:eastAsia="zh-CN"/>
                    </w:rPr>
                    <w:t>（油性漆、稀释剂）</w:t>
                  </w:r>
                  <w:r>
                    <w:rPr>
                      <w:rFonts w:hint="default" w:ascii="Times New Roman" w:hAnsi="Times New Roman" w:cs="Times New Roman"/>
                      <w:kern w:val="0"/>
                      <w:sz w:val="18"/>
                      <w:szCs w:val="18"/>
                      <w:highlight w:val="none"/>
                      <w:lang w:eastAsia="zh-CN"/>
                    </w:rPr>
                    <w:t>，配套建设高效</w:t>
                  </w:r>
                  <w:r>
                    <w:rPr>
                      <w:rFonts w:hint="eastAsia" w:ascii="Times New Roman" w:hAnsi="Times New Roman" w:cs="Times New Roman"/>
                      <w:kern w:val="0"/>
                      <w:sz w:val="18"/>
                      <w:szCs w:val="18"/>
                      <w:highlight w:val="none"/>
                      <w:lang w:val="en-US" w:eastAsia="zh-CN"/>
                    </w:rPr>
                    <w:t>两级活性炭吸附装置</w:t>
                  </w:r>
                  <w:r>
                    <w:rPr>
                      <w:rFonts w:hint="default" w:ascii="Times New Roman" w:hAnsi="Times New Roman" w:cs="Times New Roman"/>
                      <w:kern w:val="0"/>
                      <w:sz w:val="18"/>
                      <w:szCs w:val="18"/>
                      <w:highlight w:val="none"/>
                      <w:lang w:val="en-US" w:eastAsia="zh-CN"/>
                    </w:rPr>
                    <w:t>，减少VOCs排放</w:t>
                  </w:r>
                  <w:r>
                    <w:rPr>
                      <w:rFonts w:hint="default" w:ascii="Times New Roman" w:hAnsi="Times New Roman" w:cs="Times New Roman"/>
                      <w:sz w:val="18"/>
                      <w:szCs w:val="16"/>
                      <w:highlight w:val="none"/>
                    </w:rPr>
                    <w:t>。</w:t>
                  </w:r>
                  <w:r>
                    <w:rPr>
                      <w:rFonts w:hint="default" w:ascii="Times New Roman" w:hAnsi="Times New Roman" w:cs="Times New Roman"/>
                      <w:sz w:val="18"/>
                      <w:szCs w:val="16"/>
                      <w:highlight w:val="none"/>
                      <w:lang w:eastAsia="zh-CN"/>
                    </w:rPr>
                    <w:t>因此项为推荐，符合要求</w:t>
                  </w:r>
                </w:p>
              </w:tc>
            </w:tr>
            <w:tr w14:paraId="3A291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549"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3C2F2AE9">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53D61BE1">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3A24A04C">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使用水性、粉末、高固体份、无溶剂、辐射固化等低VOCs含量的涂料替代溶剂型涂料</w:t>
                  </w:r>
                </w:p>
              </w:tc>
              <w:tc>
                <w:tcPr>
                  <w:tcW w:w="868" w:type="dxa"/>
                  <w:tcBorders>
                    <w:top w:val="single" w:color="auto" w:sz="4" w:space="0"/>
                    <w:left w:val="single" w:color="auto" w:sz="4" w:space="0"/>
                    <w:bottom w:val="single" w:color="auto" w:sz="4" w:space="0"/>
                    <w:right w:val="single" w:color="auto" w:sz="4" w:space="0"/>
                  </w:tcBorders>
                  <w:vAlign w:val="center"/>
                </w:tcPr>
                <w:p w14:paraId="57AEEB5B">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sz w:val="18"/>
                      <w:szCs w:val="18"/>
                    </w:rPr>
                    <w:t xml:space="preserve">推荐 </w:t>
                  </w:r>
                </w:p>
              </w:tc>
              <w:tc>
                <w:tcPr>
                  <w:tcW w:w="2110" w:type="dxa"/>
                  <w:vMerge w:val="continue"/>
                  <w:tcBorders>
                    <w:top w:val="single" w:color="auto" w:sz="4" w:space="0"/>
                    <w:left w:val="single" w:color="auto" w:sz="4" w:space="0"/>
                    <w:bottom w:val="single" w:color="auto" w:sz="4" w:space="0"/>
                    <w:right w:val="single" w:color="auto" w:sz="4" w:space="0"/>
                  </w:tcBorders>
                  <w:vAlign w:val="center"/>
                </w:tcPr>
                <w:p w14:paraId="17FF5BD6">
                  <w:pPr>
                    <w:widowControl/>
                    <w:jc w:val="center"/>
                    <w:rPr>
                      <w:rFonts w:hint="default" w:ascii="Times New Roman" w:hAnsi="Times New Roman" w:cs="Times New Roman"/>
                      <w:color w:val="000000"/>
                      <w:kern w:val="0"/>
                      <w:sz w:val="18"/>
                      <w:szCs w:val="18"/>
                    </w:rPr>
                  </w:pPr>
                </w:p>
              </w:tc>
            </w:tr>
            <w:tr w14:paraId="7E46D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144" w:type="dxa"/>
                  <w:gridSpan w:val="5"/>
                  <w:tcBorders>
                    <w:top w:val="single" w:color="auto" w:sz="4" w:space="0"/>
                    <w:left w:val="single" w:color="auto" w:sz="4" w:space="0"/>
                    <w:bottom w:val="single" w:color="auto" w:sz="4" w:space="0"/>
                    <w:right w:val="single" w:color="auto" w:sz="4" w:space="0"/>
                  </w:tcBorders>
                  <w:vAlign w:val="center"/>
                </w:tcPr>
                <w:p w14:paraId="5D245431">
                  <w:pPr>
                    <w:widowControl/>
                    <w:jc w:val="center"/>
                    <w:rPr>
                      <w:rFonts w:hint="default" w:ascii="Times New Roman" w:hAnsi="Times New Roman" w:cs="Times New Roman"/>
                      <w:b/>
                      <w:bCs/>
                      <w:color w:val="000000"/>
                      <w:kern w:val="0"/>
                      <w:sz w:val="18"/>
                      <w:szCs w:val="18"/>
                    </w:rPr>
                  </w:pPr>
                  <w:r>
                    <w:rPr>
                      <w:rFonts w:hint="default" w:ascii="Times New Roman" w:hAnsi="Times New Roman" w:cs="Times New Roman"/>
                      <w:b/>
                      <w:bCs/>
                      <w:color w:val="000000"/>
                      <w:kern w:val="0"/>
                      <w:sz w:val="18"/>
                      <w:szCs w:val="18"/>
                    </w:rPr>
                    <w:t>废气收集与治理</w:t>
                  </w:r>
                </w:p>
              </w:tc>
            </w:tr>
            <w:tr w14:paraId="57E9E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28A0FE13">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restart"/>
                  <w:tcBorders>
                    <w:top w:val="single" w:color="auto" w:sz="4" w:space="0"/>
                    <w:left w:val="single" w:color="auto" w:sz="4" w:space="0"/>
                    <w:bottom w:val="single" w:color="auto" w:sz="4" w:space="0"/>
                    <w:right w:val="single" w:color="auto" w:sz="4" w:space="0"/>
                  </w:tcBorders>
                  <w:vAlign w:val="center"/>
                </w:tcPr>
                <w:p w14:paraId="1C4144B5">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储存</w:t>
                  </w:r>
                </w:p>
              </w:tc>
              <w:tc>
                <w:tcPr>
                  <w:tcW w:w="3912" w:type="dxa"/>
                  <w:tcBorders>
                    <w:top w:val="single" w:color="auto" w:sz="4" w:space="0"/>
                    <w:left w:val="single" w:color="auto" w:sz="4" w:space="0"/>
                    <w:bottom w:val="single" w:color="auto" w:sz="4" w:space="0"/>
                    <w:right w:val="single" w:color="auto" w:sz="4" w:space="0"/>
                  </w:tcBorders>
                  <w:vAlign w:val="center"/>
                </w:tcPr>
                <w:p w14:paraId="0BAFAE3D">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涂料、稀释剂、清洗剂等原辅料应密闭储存，废气宜采用下吸风方式进行有效收集</w:t>
                  </w:r>
                </w:p>
              </w:tc>
              <w:tc>
                <w:tcPr>
                  <w:tcW w:w="868" w:type="dxa"/>
                  <w:tcBorders>
                    <w:top w:val="single" w:color="auto" w:sz="4" w:space="0"/>
                    <w:left w:val="single" w:color="auto" w:sz="4" w:space="0"/>
                    <w:bottom w:val="single" w:color="auto" w:sz="4" w:space="0"/>
                    <w:right w:val="single" w:color="auto" w:sz="4" w:space="0"/>
                  </w:tcBorders>
                  <w:vAlign w:val="center"/>
                </w:tcPr>
                <w:p w14:paraId="468E89A4">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779B2778">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本项目涂料</w:t>
                  </w:r>
                  <w:r>
                    <w:rPr>
                      <w:rFonts w:hint="default" w:ascii="Times New Roman" w:hAnsi="Times New Roman" w:cs="Times New Roman"/>
                      <w:color w:val="000000"/>
                      <w:kern w:val="0"/>
                      <w:sz w:val="18"/>
                      <w:szCs w:val="18"/>
                      <w:lang w:eastAsia="zh-CN"/>
                    </w:rPr>
                    <w:t>、稀释剂</w:t>
                  </w:r>
                  <w:r>
                    <w:rPr>
                      <w:rFonts w:hint="default" w:ascii="Times New Roman" w:hAnsi="Times New Roman" w:cs="Times New Roman"/>
                      <w:color w:val="000000"/>
                      <w:kern w:val="0"/>
                      <w:sz w:val="18"/>
                      <w:szCs w:val="18"/>
                    </w:rPr>
                    <w:t>密闭</w:t>
                  </w:r>
                  <w:r>
                    <w:rPr>
                      <w:rFonts w:hint="default" w:ascii="Times New Roman" w:hAnsi="Times New Roman" w:cs="Times New Roman"/>
                      <w:color w:val="000000"/>
                      <w:kern w:val="0"/>
                      <w:sz w:val="18"/>
                      <w:szCs w:val="18"/>
                      <w:lang w:eastAsia="zh-CN"/>
                    </w:rPr>
                    <w:t>储存。</w:t>
                  </w:r>
                  <w:r>
                    <w:rPr>
                      <w:rFonts w:hint="default" w:ascii="Times New Roman" w:hAnsi="Times New Roman" w:cs="Times New Roman"/>
                      <w:color w:val="000000"/>
                      <w:kern w:val="0"/>
                      <w:sz w:val="18"/>
                      <w:szCs w:val="18"/>
                    </w:rPr>
                    <w:t>本项目涂料随用随开，且本项目涂料调配在密闭的喷漆房</w:t>
                  </w:r>
                  <w:r>
                    <w:rPr>
                      <w:rFonts w:hint="default" w:ascii="Times New Roman" w:hAnsi="Times New Roman" w:cs="Times New Roman"/>
                      <w:color w:val="000000"/>
                      <w:kern w:val="0"/>
                      <w:sz w:val="18"/>
                      <w:szCs w:val="18"/>
                      <w:lang w:eastAsia="zh-CN"/>
                    </w:rPr>
                    <w:t>内</w:t>
                  </w:r>
                  <w:r>
                    <w:rPr>
                      <w:rFonts w:hint="default" w:ascii="Times New Roman" w:hAnsi="Times New Roman" w:cs="Times New Roman"/>
                      <w:color w:val="000000"/>
                      <w:kern w:val="0"/>
                      <w:sz w:val="18"/>
                      <w:szCs w:val="18"/>
                    </w:rPr>
                    <w:t xml:space="preserve">进行，喷漆房采用上进风、下吸风的方式保持喷漆房内微负压，对废气进行收集。未开封涂料单纯存放时无废气排放，符合要求 </w:t>
                  </w:r>
                </w:p>
              </w:tc>
            </w:tr>
            <w:tr w14:paraId="78B4D0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71C19901">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4F8EE17D">
                  <w:pPr>
                    <w:widowControl/>
                    <w:jc w:val="center"/>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759BD57D">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VOCs物料储库、料仓应满足密闭空间要求；盛装VOCs物料的容器或包装袋应存放于室内，或存放于设置有雨棚、遮阳和反算设施的专用产地。盛装VOCs物料的容器或包装袋在非取用状态时应加盖、封口，保持密闭</w:t>
                  </w:r>
                </w:p>
              </w:tc>
              <w:tc>
                <w:tcPr>
                  <w:tcW w:w="868" w:type="dxa"/>
                  <w:tcBorders>
                    <w:top w:val="single" w:color="auto" w:sz="4" w:space="0"/>
                    <w:left w:val="single" w:color="auto" w:sz="4" w:space="0"/>
                    <w:bottom w:val="single" w:color="auto" w:sz="4" w:space="0"/>
                    <w:right w:val="single" w:color="auto" w:sz="4" w:space="0"/>
                  </w:tcBorders>
                  <w:vAlign w:val="center"/>
                </w:tcPr>
                <w:p w14:paraId="2E5429F0">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266417EB">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本项目VOCs物料</w:t>
                  </w:r>
                  <w:r>
                    <w:rPr>
                      <w:rFonts w:hint="eastAsia" w:ascii="Times New Roman" w:hAnsi="Times New Roman" w:cs="Times New Roman"/>
                      <w:color w:val="000000"/>
                      <w:kern w:val="0"/>
                      <w:sz w:val="18"/>
                      <w:szCs w:val="18"/>
                      <w:lang w:eastAsia="zh-CN"/>
                    </w:rPr>
                    <w:t>中油性漆、稀释剂</w:t>
                  </w:r>
                  <w:r>
                    <w:rPr>
                      <w:rFonts w:hint="default" w:ascii="Times New Roman" w:hAnsi="Times New Roman" w:cs="Times New Roman"/>
                      <w:color w:val="000000"/>
                      <w:kern w:val="0"/>
                      <w:sz w:val="18"/>
                      <w:szCs w:val="18"/>
                    </w:rPr>
                    <w:t>为</w:t>
                  </w:r>
                  <w:r>
                    <w:rPr>
                      <w:rFonts w:hint="default" w:ascii="Times New Roman" w:hAnsi="Times New Roman" w:cs="Times New Roman"/>
                      <w:color w:val="000000"/>
                      <w:kern w:val="0"/>
                      <w:sz w:val="18"/>
                      <w:szCs w:val="18"/>
                      <w:lang w:eastAsia="zh-CN"/>
                    </w:rPr>
                    <w:t>溶剂型</w:t>
                  </w:r>
                  <w:r>
                    <w:rPr>
                      <w:rFonts w:hint="default" w:ascii="Times New Roman" w:hAnsi="Times New Roman" w:cs="Times New Roman"/>
                      <w:color w:val="000000"/>
                      <w:kern w:val="0"/>
                      <w:sz w:val="18"/>
                      <w:szCs w:val="18"/>
                    </w:rPr>
                    <w:t>涂料</w:t>
                  </w:r>
                  <w:r>
                    <w:rPr>
                      <w:rFonts w:hint="default" w:ascii="Times New Roman" w:hAnsi="Times New Roman" w:cs="Times New Roman"/>
                      <w:color w:val="000000"/>
                      <w:kern w:val="0"/>
                      <w:sz w:val="18"/>
                      <w:szCs w:val="18"/>
                      <w:lang w:eastAsia="zh-CN"/>
                    </w:rPr>
                    <w:t>、稀释剂</w:t>
                  </w:r>
                  <w:r>
                    <w:rPr>
                      <w:rFonts w:hint="default" w:ascii="Times New Roman" w:hAnsi="Times New Roman" w:cs="Times New Roman"/>
                      <w:color w:val="000000"/>
                      <w:kern w:val="0"/>
                      <w:sz w:val="18"/>
                      <w:szCs w:val="18"/>
                    </w:rPr>
                    <w:t>，</w:t>
                  </w:r>
                  <w:r>
                    <w:rPr>
                      <w:rFonts w:hint="default" w:ascii="Times New Roman" w:hAnsi="Times New Roman" w:cs="Times New Roman"/>
                      <w:color w:val="000000"/>
                      <w:kern w:val="0"/>
                      <w:sz w:val="18"/>
                      <w:szCs w:val="18"/>
                      <w:lang w:eastAsia="zh-CN"/>
                    </w:rPr>
                    <w:t>全部</w:t>
                  </w:r>
                  <w:r>
                    <w:rPr>
                      <w:rFonts w:hint="default" w:ascii="Times New Roman" w:hAnsi="Times New Roman" w:cs="Times New Roman"/>
                      <w:color w:val="000000"/>
                      <w:kern w:val="0"/>
                      <w:sz w:val="18"/>
                      <w:szCs w:val="18"/>
                    </w:rPr>
                    <w:t>桶装存放于标准厂房中仓库内，非取用状态时加盖封口保持密闭，符合要求</w:t>
                  </w:r>
                </w:p>
              </w:tc>
            </w:tr>
            <w:tr w14:paraId="7D2B2F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03C5645B">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tcBorders>
                    <w:top w:val="single" w:color="auto" w:sz="4" w:space="0"/>
                    <w:left w:val="single" w:color="auto" w:sz="4" w:space="0"/>
                    <w:bottom w:val="single" w:color="auto" w:sz="4" w:space="0"/>
                    <w:right w:val="single" w:color="auto" w:sz="4" w:space="0"/>
                  </w:tcBorders>
                  <w:vAlign w:val="center"/>
                </w:tcPr>
                <w:p w14:paraId="32997370">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涂料输送</w:t>
                  </w:r>
                </w:p>
              </w:tc>
              <w:tc>
                <w:tcPr>
                  <w:tcW w:w="3912" w:type="dxa"/>
                  <w:tcBorders>
                    <w:top w:val="single" w:color="auto" w:sz="4" w:space="0"/>
                    <w:left w:val="single" w:color="auto" w:sz="4" w:space="0"/>
                    <w:bottom w:val="single" w:color="auto" w:sz="4" w:space="0"/>
                    <w:right w:val="single" w:color="auto" w:sz="4" w:space="0"/>
                  </w:tcBorders>
                  <w:vAlign w:val="center"/>
                </w:tcPr>
                <w:p w14:paraId="0E748A50">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调配、使用、回收等过程应在密闭空间内操作，采用密闭管道或密闭容器等输送，废气宜采用下吸风方式进行有效收集</w:t>
                  </w:r>
                </w:p>
              </w:tc>
              <w:tc>
                <w:tcPr>
                  <w:tcW w:w="868" w:type="dxa"/>
                  <w:tcBorders>
                    <w:top w:val="single" w:color="auto" w:sz="4" w:space="0"/>
                    <w:left w:val="single" w:color="auto" w:sz="4" w:space="0"/>
                    <w:bottom w:val="single" w:color="auto" w:sz="4" w:space="0"/>
                    <w:right w:val="single" w:color="auto" w:sz="4" w:space="0"/>
                  </w:tcBorders>
                  <w:vAlign w:val="center"/>
                </w:tcPr>
                <w:p w14:paraId="7D5BB1E3">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2E3E0BD5">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本项目涂料的调配、使用均在密闭喷漆房内作业，废气采用下吸风方式进行收集，符合要求</w:t>
                  </w:r>
                </w:p>
              </w:tc>
            </w:tr>
            <w:tr w14:paraId="2104D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5B5CC134">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tcBorders>
                    <w:top w:val="single" w:color="auto" w:sz="4" w:space="0"/>
                    <w:left w:val="single" w:color="auto" w:sz="4" w:space="0"/>
                    <w:bottom w:val="single" w:color="auto" w:sz="4" w:space="0"/>
                    <w:right w:val="single" w:color="auto" w:sz="4" w:space="0"/>
                  </w:tcBorders>
                  <w:vAlign w:val="center"/>
                </w:tcPr>
                <w:p w14:paraId="25F35912">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清洗</w:t>
                  </w:r>
                </w:p>
              </w:tc>
              <w:tc>
                <w:tcPr>
                  <w:tcW w:w="3912" w:type="dxa"/>
                  <w:tcBorders>
                    <w:top w:val="single" w:color="auto" w:sz="4" w:space="0"/>
                    <w:left w:val="single" w:color="auto" w:sz="4" w:space="0"/>
                    <w:bottom w:val="single" w:color="auto" w:sz="4" w:space="0"/>
                    <w:right w:val="single" w:color="auto" w:sz="4" w:space="0"/>
                  </w:tcBorders>
                  <w:vAlign w:val="center"/>
                </w:tcPr>
                <w:p w14:paraId="39C19453">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喷枪清洗过程应保持污染治理设施的开启状态；清洗后剩余的稀料应密闭后存放于危险废物仓库中</w:t>
                  </w:r>
                </w:p>
              </w:tc>
              <w:tc>
                <w:tcPr>
                  <w:tcW w:w="868" w:type="dxa"/>
                  <w:tcBorders>
                    <w:top w:val="single" w:color="auto" w:sz="4" w:space="0"/>
                    <w:left w:val="single" w:color="auto" w:sz="4" w:space="0"/>
                    <w:bottom w:val="single" w:color="auto" w:sz="4" w:space="0"/>
                    <w:right w:val="single" w:color="auto" w:sz="4" w:space="0"/>
                  </w:tcBorders>
                  <w:vAlign w:val="center"/>
                </w:tcPr>
                <w:p w14:paraId="3B3982C7">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62ECD59B">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喷枪清洗过程应保持污染治理设施的开启状态；</w:t>
                  </w:r>
                  <w:r>
                    <w:rPr>
                      <w:rFonts w:hint="default" w:ascii="Times New Roman" w:hAnsi="Times New Roman" w:cs="Times New Roman"/>
                      <w:color w:val="000000"/>
                      <w:kern w:val="0"/>
                      <w:sz w:val="18"/>
                      <w:szCs w:val="18"/>
                      <w:highlight w:val="none"/>
                    </w:rPr>
                    <w:t>清洗后剩余的</w:t>
                  </w:r>
                  <w:r>
                    <w:rPr>
                      <w:rFonts w:hint="default" w:ascii="Times New Roman" w:hAnsi="Times New Roman" w:cs="Times New Roman"/>
                      <w:color w:val="000000"/>
                      <w:kern w:val="0"/>
                      <w:sz w:val="18"/>
                      <w:szCs w:val="18"/>
                      <w:highlight w:val="none"/>
                      <w:lang w:eastAsia="zh-CN"/>
                    </w:rPr>
                    <w:t>稀释剂</w:t>
                  </w:r>
                  <w:r>
                    <w:rPr>
                      <w:rFonts w:hint="default" w:ascii="Times New Roman" w:hAnsi="Times New Roman" w:cs="Times New Roman"/>
                      <w:color w:val="000000"/>
                      <w:kern w:val="0"/>
                      <w:sz w:val="18"/>
                      <w:szCs w:val="18"/>
                      <w:highlight w:val="none"/>
                    </w:rPr>
                    <w:t>密闭</w:t>
                  </w:r>
                  <w:r>
                    <w:rPr>
                      <w:rFonts w:hint="default" w:ascii="Times New Roman" w:hAnsi="Times New Roman" w:cs="Times New Roman"/>
                      <w:color w:val="000000"/>
                      <w:kern w:val="0"/>
                      <w:sz w:val="18"/>
                      <w:szCs w:val="18"/>
                      <w:highlight w:val="none"/>
                      <w:lang w:eastAsia="zh-CN"/>
                    </w:rPr>
                    <w:t>储存，用于下次涂料调配</w:t>
                  </w:r>
                  <w:r>
                    <w:rPr>
                      <w:rFonts w:hint="default" w:ascii="Times New Roman" w:hAnsi="Times New Roman" w:cs="Times New Roman"/>
                      <w:color w:val="000000"/>
                      <w:kern w:val="0"/>
                      <w:sz w:val="18"/>
                      <w:szCs w:val="18"/>
                      <w:highlight w:val="none"/>
                    </w:rPr>
                    <w:t>，符合要求</w:t>
                  </w:r>
                </w:p>
              </w:tc>
            </w:tr>
            <w:tr w14:paraId="7C9B9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25F14C67">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restart"/>
                  <w:tcBorders>
                    <w:top w:val="single" w:color="auto" w:sz="4" w:space="0"/>
                    <w:left w:val="single" w:color="auto" w:sz="4" w:space="0"/>
                    <w:bottom w:val="single" w:color="auto" w:sz="4" w:space="0"/>
                    <w:right w:val="single" w:color="auto" w:sz="4" w:space="0"/>
                  </w:tcBorders>
                  <w:vAlign w:val="center"/>
                </w:tcPr>
                <w:p w14:paraId="19CB30AE">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喷涂工艺</w:t>
                  </w:r>
                </w:p>
              </w:tc>
              <w:tc>
                <w:tcPr>
                  <w:tcW w:w="3912" w:type="dxa"/>
                  <w:tcBorders>
                    <w:top w:val="single" w:color="auto" w:sz="4" w:space="0"/>
                    <w:left w:val="single" w:color="auto" w:sz="4" w:space="0"/>
                    <w:bottom w:val="single" w:color="auto" w:sz="4" w:space="0"/>
                    <w:right w:val="single" w:color="auto" w:sz="4" w:space="0"/>
                  </w:tcBorders>
                  <w:vAlign w:val="center"/>
                </w:tcPr>
                <w:p w14:paraId="0B5D4D89">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使用“三涂一烘”“两涂一烘”或免中涂等紧凑型工艺、静电喷涂技术、自动化喷涂设备</w:t>
                  </w:r>
                </w:p>
              </w:tc>
              <w:tc>
                <w:tcPr>
                  <w:tcW w:w="868" w:type="dxa"/>
                  <w:tcBorders>
                    <w:top w:val="single" w:color="auto" w:sz="4" w:space="0"/>
                    <w:left w:val="single" w:color="auto" w:sz="4" w:space="0"/>
                    <w:bottom w:val="single" w:color="auto" w:sz="4" w:space="0"/>
                    <w:right w:val="single" w:color="auto" w:sz="4" w:space="0"/>
                  </w:tcBorders>
                  <w:vAlign w:val="center"/>
                </w:tcPr>
                <w:p w14:paraId="309F51ED">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sz w:val="18"/>
                      <w:szCs w:val="18"/>
                    </w:rPr>
                    <w:t xml:space="preserve">推荐 </w:t>
                  </w:r>
                </w:p>
              </w:tc>
              <w:tc>
                <w:tcPr>
                  <w:tcW w:w="2110" w:type="dxa"/>
                  <w:tcBorders>
                    <w:top w:val="single" w:color="auto" w:sz="4" w:space="0"/>
                    <w:left w:val="single" w:color="auto" w:sz="4" w:space="0"/>
                    <w:bottom w:val="single" w:color="auto" w:sz="4" w:space="0"/>
                    <w:right w:val="single" w:color="auto" w:sz="4" w:space="0"/>
                  </w:tcBorders>
                  <w:vAlign w:val="center"/>
                </w:tcPr>
                <w:p w14:paraId="19B12979">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本项目喷涂工艺</w:t>
                  </w:r>
                  <w:r>
                    <w:rPr>
                      <w:rFonts w:hint="eastAsia" w:ascii="Times New Roman" w:hAnsi="Times New Roman" w:cs="Times New Roman"/>
                      <w:color w:val="000000"/>
                      <w:kern w:val="0"/>
                      <w:sz w:val="18"/>
                      <w:szCs w:val="18"/>
                      <w:lang w:eastAsia="zh-CN"/>
                    </w:rPr>
                    <w:t>为</w:t>
                  </w:r>
                  <w:r>
                    <w:rPr>
                      <w:rFonts w:hint="default" w:ascii="Times New Roman" w:hAnsi="Times New Roman" w:cs="Times New Roman"/>
                      <w:color w:val="000000"/>
                      <w:kern w:val="0"/>
                      <w:sz w:val="18"/>
                      <w:szCs w:val="18"/>
                    </w:rPr>
                    <w:t>免中涂紧凑型工艺</w:t>
                  </w:r>
                  <w:r>
                    <w:rPr>
                      <w:rFonts w:hint="eastAsia" w:ascii="Times New Roman" w:hAnsi="Times New Roman" w:cs="Times New Roman"/>
                      <w:color w:val="000000"/>
                      <w:kern w:val="0"/>
                      <w:sz w:val="18"/>
                      <w:szCs w:val="18"/>
                      <w:lang w:eastAsia="zh-CN"/>
                    </w:rPr>
                    <w:t>、静电喷涂技术</w:t>
                  </w:r>
                  <w:r>
                    <w:rPr>
                      <w:rFonts w:hint="default" w:ascii="Times New Roman" w:hAnsi="Times New Roman" w:cs="Times New Roman"/>
                      <w:color w:val="000000"/>
                      <w:kern w:val="0"/>
                      <w:sz w:val="18"/>
                      <w:szCs w:val="18"/>
                    </w:rPr>
                    <w:t>，符合要求</w:t>
                  </w:r>
                </w:p>
              </w:tc>
            </w:tr>
            <w:tr w14:paraId="1E954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3A4DA1C1">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7CDC9869">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3172B8FE">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采用自动化、智能化喷涂设备替代人工喷涂，减少使用空气喷涂技术</w:t>
                  </w:r>
                </w:p>
              </w:tc>
              <w:tc>
                <w:tcPr>
                  <w:tcW w:w="868" w:type="dxa"/>
                  <w:tcBorders>
                    <w:top w:val="single" w:color="auto" w:sz="4" w:space="0"/>
                    <w:left w:val="single" w:color="auto" w:sz="4" w:space="0"/>
                    <w:bottom w:val="single" w:color="auto" w:sz="4" w:space="0"/>
                    <w:right w:val="single" w:color="auto" w:sz="4" w:space="0"/>
                  </w:tcBorders>
                  <w:vAlign w:val="center"/>
                </w:tcPr>
                <w:p w14:paraId="5D431491">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sz w:val="18"/>
                      <w:szCs w:val="18"/>
                    </w:rPr>
                    <w:t xml:space="preserve">推荐 </w:t>
                  </w:r>
                </w:p>
              </w:tc>
              <w:tc>
                <w:tcPr>
                  <w:tcW w:w="2110" w:type="dxa"/>
                  <w:tcBorders>
                    <w:top w:val="single" w:color="auto" w:sz="4" w:space="0"/>
                    <w:left w:val="single" w:color="auto" w:sz="4" w:space="0"/>
                    <w:bottom w:val="single" w:color="auto" w:sz="4" w:space="0"/>
                    <w:right w:val="single" w:color="auto" w:sz="4" w:space="0"/>
                  </w:tcBorders>
                  <w:vAlign w:val="center"/>
                </w:tcPr>
                <w:p w14:paraId="01CC9D33">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本项目采用自动化设备，符合要求</w:t>
                  </w:r>
                </w:p>
              </w:tc>
            </w:tr>
            <w:tr w14:paraId="1B88D1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3F7E2F4A">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5C418959">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08F65233">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鼓励集中减少大型钣喷中心，加强共享机制建设</w:t>
                  </w:r>
                </w:p>
              </w:tc>
              <w:tc>
                <w:tcPr>
                  <w:tcW w:w="868" w:type="dxa"/>
                  <w:tcBorders>
                    <w:top w:val="single" w:color="auto" w:sz="4" w:space="0"/>
                    <w:left w:val="single" w:color="auto" w:sz="4" w:space="0"/>
                    <w:bottom w:val="single" w:color="auto" w:sz="4" w:space="0"/>
                    <w:right w:val="single" w:color="auto" w:sz="4" w:space="0"/>
                  </w:tcBorders>
                  <w:vAlign w:val="center"/>
                </w:tcPr>
                <w:p w14:paraId="25F9DAEA">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推荐</w:t>
                  </w:r>
                </w:p>
              </w:tc>
              <w:tc>
                <w:tcPr>
                  <w:tcW w:w="2110" w:type="dxa"/>
                  <w:tcBorders>
                    <w:top w:val="single" w:color="auto" w:sz="4" w:space="0"/>
                    <w:left w:val="single" w:color="auto" w:sz="4" w:space="0"/>
                    <w:bottom w:val="single" w:color="auto" w:sz="4" w:space="0"/>
                    <w:right w:val="single" w:color="auto" w:sz="4" w:space="0"/>
                  </w:tcBorders>
                  <w:vAlign w:val="center"/>
                </w:tcPr>
                <w:p w14:paraId="178DEC42">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w:t>
                  </w:r>
                  <w:r>
                    <w:rPr>
                      <w:rFonts w:hint="eastAsia" w:ascii="Times New Roman" w:hAnsi="Times New Roman" w:cs="Times New Roman"/>
                      <w:color w:val="000000"/>
                      <w:kern w:val="0"/>
                      <w:sz w:val="18"/>
                      <w:szCs w:val="18"/>
                      <w:lang w:eastAsia="zh-CN"/>
                    </w:rPr>
                    <w:t>不</w:t>
                  </w:r>
                  <w:r>
                    <w:rPr>
                      <w:rFonts w:hint="default" w:ascii="Times New Roman" w:hAnsi="Times New Roman" w:cs="Times New Roman"/>
                      <w:color w:val="000000"/>
                      <w:kern w:val="0"/>
                      <w:sz w:val="18"/>
                      <w:szCs w:val="18"/>
                      <w:lang w:eastAsia="zh-CN"/>
                    </w:rPr>
                    <w:t>属于汽车零部件</w:t>
                  </w:r>
                  <w:r>
                    <w:rPr>
                      <w:rFonts w:hint="default" w:ascii="Times New Roman" w:hAnsi="Times New Roman" w:cs="Times New Roman"/>
                      <w:color w:val="000000"/>
                      <w:kern w:val="0"/>
                      <w:sz w:val="18"/>
                      <w:szCs w:val="18"/>
                    </w:rPr>
                    <w:t>制造</w:t>
                  </w:r>
                  <w:r>
                    <w:rPr>
                      <w:rFonts w:hint="eastAsia" w:ascii="Times New Roman" w:hAnsi="Times New Roman" w:cs="Times New Roman"/>
                      <w:color w:val="000000"/>
                      <w:kern w:val="0"/>
                      <w:sz w:val="18"/>
                      <w:szCs w:val="18"/>
                      <w:lang w:eastAsia="zh-CN"/>
                    </w:rPr>
                    <w:t>不属于大型钣喷中心</w:t>
                  </w:r>
                  <w:r>
                    <w:rPr>
                      <w:rFonts w:hint="default" w:ascii="Times New Roman" w:hAnsi="Times New Roman" w:cs="Times New Roman"/>
                      <w:color w:val="000000"/>
                      <w:kern w:val="0"/>
                      <w:sz w:val="18"/>
                      <w:szCs w:val="18"/>
                    </w:rPr>
                    <w:t>，符合要求</w:t>
                  </w:r>
                </w:p>
              </w:tc>
            </w:tr>
            <w:tr w14:paraId="7A0ACF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61AADB29">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2" w:space="0"/>
                    <w:right w:val="single" w:color="auto" w:sz="4" w:space="0"/>
                  </w:tcBorders>
                  <w:vAlign w:val="center"/>
                </w:tcPr>
                <w:p w14:paraId="526CED68">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5E673233">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鼓励企业采用高效涂装技术，提高物料的利用率</w:t>
                  </w:r>
                </w:p>
              </w:tc>
              <w:tc>
                <w:tcPr>
                  <w:tcW w:w="868" w:type="dxa"/>
                  <w:tcBorders>
                    <w:top w:val="single" w:color="auto" w:sz="4" w:space="0"/>
                    <w:left w:val="single" w:color="auto" w:sz="4" w:space="0"/>
                    <w:bottom w:val="single" w:color="auto" w:sz="4" w:space="0"/>
                    <w:right w:val="single" w:color="auto" w:sz="4" w:space="0"/>
                  </w:tcBorders>
                  <w:vAlign w:val="center"/>
                </w:tcPr>
                <w:p w14:paraId="61EE7B0F">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sz w:val="18"/>
                      <w:szCs w:val="18"/>
                    </w:rPr>
                    <w:t xml:space="preserve">推荐 </w:t>
                  </w:r>
                </w:p>
              </w:tc>
              <w:tc>
                <w:tcPr>
                  <w:tcW w:w="2110" w:type="dxa"/>
                  <w:tcBorders>
                    <w:top w:val="single" w:color="auto" w:sz="4" w:space="0"/>
                    <w:left w:val="single" w:color="auto" w:sz="4" w:space="0"/>
                    <w:bottom w:val="single" w:color="auto" w:sz="4" w:space="0"/>
                    <w:right w:val="single" w:color="auto" w:sz="4" w:space="0"/>
                  </w:tcBorders>
                  <w:vAlign w:val="center"/>
                </w:tcPr>
                <w:p w14:paraId="33E72303">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本项目喷涂工艺采用</w:t>
                  </w:r>
                  <w:r>
                    <w:rPr>
                      <w:rFonts w:hint="default" w:ascii="Times New Roman" w:hAnsi="Times New Roman" w:cs="Times New Roman"/>
                      <w:color w:val="000000"/>
                      <w:kern w:val="0"/>
                      <w:sz w:val="18"/>
                      <w:szCs w:val="18"/>
                      <w:lang w:eastAsia="zh-CN"/>
                    </w:rPr>
                    <w:t>高效涂装技术，提高物料利用率</w:t>
                  </w:r>
                  <w:r>
                    <w:rPr>
                      <w:rFonts w:hint="default" w:ascii="Times New Roman" w:hAnsi="Times New Roman" w:cs="Times New Roman"/>
                      <w:color w:val="000000"/>
                      <w:kern w:val="0"/>
                      <w:sz w:val="18"/>
                      <w:szCs w:val="18"/>
                    </w:rPr>
                    <w:t>，符合要求</w:t>
                  </w:r>
                </w:p>
              </w:tc>
            </w:tr>
            <w:tr w14:paraId="735D47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4CB00D64">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restart"/>
                  <w:tcBorders>
                    <w:top w:val="single" w:color="auto" w:sz="2" w:space="0"/>
                    <w:left w:val="single" w:color="auto" w:sz="4" w:space="0"/>
                    <w:bottom w:val="single" w:color="auto" w:sz="4" w:space="0"/>
                    <w:right w:val="single" w:color="auto" w:sz="4" w:space="0"/>
                  </w:tcBorders>
                  <w:vAlign w:val="center"/>
                </w:tcPr>
                <w:p w14:paraId="0F4E57FC">
                  <w:pPr>
                    <w:jc w:val="left"/>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收集净化</w:t>
                  </w:r>
                </w:p>
              </w:tc>
              <w:tc>
                <w:tcPr>
                  <w:tcW w:w="3912" w:type="dxa"/>
                  <w:tcBorders>
                    <w:top w:val="single" w:color="auto" w:sz="4" w:space="0"/>
                    <w:left w:val="single" w:color="auto" w:sz="4" w:space="0"/>
                    <w:bottom w:val="single" w:color="auto" w:sz="4" w:space="0"/>
                    <w:right w:val="single" w:color="auto" w:sz="4" w:space="0"/>
                  </w:tcBorders>
                  <w:vAlign w:val="center"/>
                </w:tcPr>
                <w:p w14:paraId="2953C3C5">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调配、流平等废气集中处理</w:t>
                  </w:r>
                </w:p>
              </w:tc>
              <w:tc>
                <w:tcPr>
                  <w:tcW w:w="868" w:type="dxa"/>
                  <w:tcBorders>
                    <w:top w:val="single" w:color="auto" w:sz="4" w:space="0"/>
                    <w:left w:val="single" w:color="auto" w:sz="4" w:space="0"/>
                    <w:bottom w:val="single" w:color="auto" w:sz="4" w:space="0"/>
                    <w:right w:val="single" w:color="auto" w:sz="4" w:space="0"/>
                  </w:tcBorders>
                  <w:vAlign w:val="center"/>
                </w:tcPr>
                <w:p w14:paraId="003D6754">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04611CBF">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本项目调配废气集中收集后由</w:t>
                  </w:r>
                  <w:r>
                    <w:rPr>
                      <w:rFonts w:hint="eastAsia" w:ascii="Times New Roman" w:hAnsi="Times New Roman" w:cs="Times New Roman"/>
                      <w:color w:val="000000"/>
                      <w:kern w:val="0"/>
                      <w:sz w:val="18"/>
                      <w:szCs w:val="18"/>
                      <w:lang w:eastAsia="zh-CN"/>
                    </w:rPr>
                    <w:t>迷宫式过滤</w:t>
                  </w:r>
                  <w:r>
                    <w:rPr>
                      <w:rFonts w:hint="eastAsia" w:ascii="Times New Roman" w:hAnsi="Times New Roman" w:cs="Times New Roman"/>
                      <w:color w:val="000000"/>
                      <w:kern w:val="0"/>
                      <w:sz w:val="18"/>
                      <w:szCs w:val="18"/>
                      <w:lang w:val="en-US" w:eastAsia="zh-CN"/>
                    </w:rPr>
                    <w:t>+两级活性炭吸附</w:t>
                  </w:r>
                  <w:r>
                    <w:rPr>
                      <w:rFonts w:hint="default" w:ascii="Times New Roman" w:hAnsi="Times New Roman" w:cs="Times New Roman"/>
                      <w:color w:val="000000"/>
                      <w:kern w:val="0"/>
                      <w:sz w:val="18"/>
                      <w:szCs w:val="18"/>
                      <w:lang w:val="en-US" w:eastAsia="zh-CN"/>
                    </w:rPr>
                    <w:t>工艺</w:t>
                  </w:r>
                  <w:r>
                    <w:rPr>
                      <w:rFonts w:hint="default" w:ascii="Times New Roman" w:hAnsi="Times New Roman" w:cs="Times New Roman"/>
                      <w:color w:val="000000"/>
                      <w:kern w:val="0"/>
                      <w:sz w:val="18"/>
                      <w:szCs w:val="18"/>
                    </w:rPr>
                    <w:t>处理后排放，符合要求</w:t>
                  </w:r>
                </w:p>
              </w:tc>
            </w:tr>
            <w:tr w14:paraId="473A7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5A6AE85B">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146E5EAF">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3911C5A6">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喷涂、晾（风）干废气宜采用吸附浓缩+燃烧方式处理</w:t>
                  </w:r>
                </w:p>
              </w:tc>
              <w:tc>
                <w:tcPr>
                  <w:tcW w:w="868" w:type="dxa"/>
                  <w:tcBorders>
                    <w:top w:val="single" w:color="auto" w:sz="4" w:space="0"/>
                    <w:left w:val="single" w:color="auto" w:sz="4" w:space="0"/>
                    <w:bottom w:val="single" w:color="auto" w:sz="4" w:space="0"/>
                    <w:right w:val="single" w:color="auto" w:sz="4" w:space="0"/>
                  </w:tcBorders>
                  <w:vAlign w:val="center"/>
                </w:tcPr>
                <w:p w14:paraId="636F1922">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sz w:val="18"/>
                      <w:szCs w:val="18"/>
                    </w:rPr>
                    <w:t xml:space="preserve">推荐 </w:t>
                  </w:r>
                </w:p>
              </w:tc>
              <w:tc>
                <w:tcPr>
                  <w:tcW w:w="2110" w:type="dxa"/>
                  <w:tcBorders>
                    <w:top w:val="single" w:color="auto" w:sz="4" w:space="0"/>
                    <w:left w:val="single" w:color="auto" w:sz="4" w:space="0"/>
                    <w:bottom w:val="single" w:color="auto" w:sz="4" w:space="0"/>
                    <w:right w:val="single" w:color="auto" w:sz="4" w:space="0"/>
                  </w:tcBorders>
                  <w:vAlign w:val="center"/>
                </w:tcPr>
                <w:p w14:paraId="2C3B55DF">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本项目喷涂、</w:t>
                  </w:r>
                  <w:r>
                    <w:rPr>
                      <w:rFonts w:hint="eastAsia" w:ascii="Times New Roman" w:hAnsi="Times New Roman" w:cs="Times New Roman"/>
                      <w:color w:val="000000"/>
                      <w:kern w:val="0"/>
                      <w:sz w:val="18"/>
                      <w:szCs w:val="18"/>
                      <w:lang w:eastAsia="zh-CN"/>
                    </w:rPr>
                    <w:t>晾</w:t>
                  </w:r>
                  <w:r>
                    <w:rPr>
                      <w:rFonts w:hint="default" w:ascii="Times New Roman" w:hAnsi="Times New Roman" w:cs="Times New Roman"/>
                      <w:color w:val="000000"/>
                      <w:kern w:val="0"/>
                      <w:sz w:val="18"/>
                      <w:szCs w:val="18"/>
                    </w:rPr>
                    <w:t>干废气采用</w:t>
                  </w:r>
                  <w:r>
                    <w:rPr>
                      <w:rFonts w:hint="eastAsia" w:ascii="Times New Roman" w:hAnsi="Times New Roman" w:cs="Times New Roman"/>
                      <w:color w:val="000000"/>
                      <w:kern w:val="0"/>
                      <w:sz w:val="18"/>
                      <w:szCs w:val="18"/>
                      <w:lang w:eastAsia="zh-CN"/>
                    </w:rPr>
                    <w:t>迷宫式过滤</w:t>
                  </w:r>
                  <w:r>
                    <w:rPr>
                      <w:rFonts w:hint="eastAsia" w:ascii="Times New Roman" w:hAnsi="Times New Roman" w:cs="Times New Roman"/>
                      <w:color w:val="000000"/>
                      <w:kern w:val="0"/>
                      <w:sz w:val="18"/>
                      <w:szCs w:val="18"/>
                      <w:lang w:val="en-US" w:eastAsia="zh-CN"/>
                    </w:rPr>
                    <w:t>+两级活性炭吸附</w:t>
                  </w:r>
                  <w:r>
                    <w:rPr>
                      <w:rFonts w:hint="default" w:ascii="Times New Roman" w:hAnsi="Times New Roman" w:cs="Times New Roman"/>
                      <w:color w:val="000000"/>
                      <w:kern w:val="0"/>
                      <w:sz w:val="18"/>
                      <w:szCs w:val="18"/>
                      <w:lang w:val="en-US" w:eastAsia="zh-CN"/>
                    </w:rPr>
                    <w:t>工艺</w:t>
                  </w:r>
                  <w:r>
                    <w:rPr>
                      <w:rFonts w:hint="default" w:ascii="Times New Roman" w:hAnsi="Times New Roman" w:cs="Times New Roman"/>
                      <w:color w:val="000000"/>
                      <w:kern w:val="0"/>
                      <w:sz w:val="18"/>
                      <w:szCs w:val="18"/>
                    </w:rPr>
                    <w:t>处理后排放，属于吸附方式处理</w:t>
                  </w:r>
                </w:p>
              </w:tc>
            </w:tr>
            <w:tr w14:paraId="4BA4B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62F2D672">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07EA79CF">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50ABC4DD">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VOCs质量占比大于等于10%的含VOCs产品，其使用过程应采用密闭设备或者在密闭空间内操作，废气应排至VOCs废气收集处理系统；无法密闭的，应采用局部气体收集措施，废气应排放至VOCs废气处理系统</w:t>
                  </w:r>
                </w:p>
              </w:tc>
              <w:tc>
                <w:tcPr>
                  <w:tcW w:w="868" w:type="dxa"/>
                  <w:tcBorders>
                    <w:top w:val="single" w:color="auto" w:sz="4" w:space="0"/>
                    <w:left w:val="single" w:color="auto" w:sz="4" w:space="0"/>
                    <w:bottom w:val="single" w:color="auto" w:sz="4" w:space="0"/>
                    <w:right w:val="single" w:color="auto" w:sz="4" w:space="0"/>
                  </w:tcBorders>
                  <w:vAlign w:val="center"/>
                </w:tcPr>
                <w:p w14:paraId="2AF9A82E">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08CD0835">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本项目涂料的调配、喷涂和</w:t>
                  </w:r>
                  <w:r>
                    <w:rPr>
                      <w:rFonts w:hint="eastAsia" w:ascii="Times New Roman" w:hAnsi="Times New Roman" w:cs="Times New Roman"/>
                      <w:color w:val="000000"/>
                      <w:kern w:val="0"/>
                      <w:sz w:val="18"/>
                      <w:szCs w:val="18"/>
                      <w:lang w:eastAsia="zh-CN"/>
                    </w:rPr>
                    <w:t>晾</w:t>
                  </w:r>
                  <w:r>
                    <w:rPr>
                      <w:rFonts w:hint="default" w:ascii="Times New Roman" w:hAnsi="Times New Roman" w:cs="Times New Roman"/>
                      <w:color w:val="000000"/>
                      <w:kern w:val="0"/>
                      <w:sz w:val="18"/>
                      <w:szCs w:val="18"/>
                    </w:rPr>
                    <w:t>干均在密闭空间内操作，废气</w:t>
                  </w:r>
                  <w:r>
                    <w:rPr>
                      <w:rFonts w:hint="eastAsia" w:ascii="Times New Roman" w:hAnsi="Times New Roman" w:cs="Times New Roman"/>
                      <w:color w:val="000000"/>
                      <w:kern w:val="0"/>
                      <w:sz w:val="18"/>
                      <w:szCs w:val="18"/>
                      <w:lang w:eastAsia="zh-CN"/>
                    </w:rPr>
                    <w:t>收集后经迷宫式过滤</w:t>
                  </w:r>
                  <w:r>
                    <w:rPr>
                      <w:rFonts w:hint="eastAsia" w:ascii="Times New Roman" w:hAnsi="Times New Roman" w:cs="Times New Roman"/>
                      <w:color w:val="000000"/>
                      <w:kern w:val="0"/>
                      <w:sz w:val="18"/>
                      <w:szCs w:val="18"/>
                      <w:lang w:val="en-US" w:eastAsia="zh-CN"/>
                    </w:rPr>
                    <w:t>+两级活性炭吸附</w:t>
                  </w:r>
                  <w:r>
                    <w:rPr>
                      <w:rFonts w:hint="default" w:ascii="Times New Roman" w:hAnsi="Times New Roman" w:cs="Times New Roman"/>
                      <w:color w:val="000000"/>
                      <w:kern w:val="0"/>
                      <w:sz w:val="18"/>
                      <w:szCs w:val="18"/>
                      <w:lang w:val="en-US" w:eastAsia="zh-CN"/>
                    </w:rPr>
                    <w:t>工艺</w:t>
                  </w:r>
                  <w:r>
                    <w:rPr>
                      <w:rFonts w:hint="default" w:ascii="Times New Roman" w:hAnsi="Times New Roman" w:cs="Times New Roman"/>
                      <w:color w:val="000000"/>
                      <w:kern w:val="0"/>
                      <w:sz w:val="18"/>
                      <w:szCs w:val="18"/>
                    </w:rPr>
                    <w:t>处理后排放，符合要求</w:t>
                  </w:r>
                </w:p>
              </w:tc>
            </w:tr>
            <w:tr w14:paraId="6E66D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2D85E73F">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42BB3648">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60D7A9DA">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VOCs废气收集处理系统应与生产工艺设备同步运行。VOCs废气收集处理系统发生故障或检修时，对应的生产工艺设备应停止运行，待检修完毕后同步投入使用；生产工艺设备不能停止运行或者不能及时停止运行的，应设置废气应急处理设置或采取其他替代措施</w:t>
                  </w:r>
                </w:p>
              </w:tc>
              <w:tc>
                <w:tcPr>
                  <w:tcW w:w="868" w:type="dxa"/>
                  <w:tcBorders>
                    <w:top w:val="single" w:color="auto" w:sz="4" w:space="0"/>
                    <w:left w:val="single" w:color="auto" w:sz="4" w:space="0"/>
                    <w:bottom w:val="single" w:color="auto" w:sz="4" w:space="0"/>
                    <w:right w:val="single" w:color="auto" w:sz="4" w:space="0"/>
                  </w:tcBorders>
                  <w:vAlign w:val="center"/>
                </w:tcPr>
                <w:p w14:paraId="0DF2AAB2">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6A55381E">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项目运行后按照要求执行，废气处理系统先运行，</w:t>
                  </w:r>
                  <w:r>
                    <w:rPr>
                      <w:rFonts w:hint="default" w:ascii="Times New Roman" w:hAnsi="Times New Roman" w:cs="Times New Roman"/>
                      <w:color w:val="000000"/>
                      <w:kern w:val="0"/>
                      <w:sz w:val="18"/>
                      <w:szCs w:val="18"/>
                      <w:lang w:eastAsia="zh-CN"/>
                    </w:rPr>
                    <w:t>再</w:t>
                  </w:r>
                  <w:r>
                    <w:rPr>
                      <w:rFonts w:hint="default" w:ascii="Times New Roman" w:hAnsi="Times New Roman" w:cs="Times New Roman"/>
                      <w:color w:val="000000"/>
                      <w:kern w:val="0"/>
                      <w:sz w:val="18"/>
                      <w:szCs w:val="18"/>
                    </w:rPr>
                    <w:t>运行生产系统，废气处理系统故障</w:t>
                  </w:r>
                  <w:r>
                    <w:rPr>
                      <w:rFonts w:hint="default" w:ascii="Times New Roman" w:hAnsi="Times New Roman" w:cs="Times New Roman"/>
                      <w:color w:val="000000"/>
                      <w:kern w:val="0"/>
                      <w:sz w:val="18"/>
                      <w:szCs w:val="18"/>
                      <w:lang w:eastAsia="zh-CN"/>
                    </w:rPr>
                    <w:t>时</w:t>
                  </w:r>
                  <w:r>
                    <w:rPr>
                      <w:rFonts w:hint="default" w:ascii="Times New Roman" w:hAnsi="Times New Roman" w:cs="Times New Roman"/>
                      <w:color w:val="000000"/>
                      <w:kern w:val="0"/>
                      <w:sz w:val="18"/>
                      <w:szCs w:val="18"/>
                    </w:rPr>
                    <w:t>，立即停产对应的工艺设备，符合要求</w:t>
                  </w:r>
                </w:p>
              </w:tc>
            </w:tr>
            <w:tr w14:paraId="3063B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21D890BC">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30491A0A">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11D43A2F">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废气收集系统宜保持负压。废气收集系统排风罩（集气罩）的设置应符合GB/T16758的规定。采用外部排风罩的，应按照GB/T 16758、AQ/T4274-2016规定的方法测量控制风速，测量点应选取在距离排风罩开口面最远处的VOCs无组织排放位置，控制风速不应低于0.3m/s</w:t>
                  </w:r>
                </w:p>
              </w:tc>
              <w:tc>
                <w:tcPr>
                  <w:tcW w:w="868" w:type="dxa"/>
                  <w:tcBorders>
                    <w:top w:val="single" w:color="auto" w:sz="4" w:space="0"/>
                    <w:left w:val="single" w:color="auto" w:sz="4" w:space="0"/>
                    <w:bottom w:val="single" w:color="auto" w:sz="4" w:space="0"/>
                    <w:right w:val="single" w:color="auto" w:sz="4" w:space="0"/>
                  </w:tcBorders>
                  <w:vAlign w:val="center"/>
                </w:tcPr>
                <w:p w14:paraId="13754685">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21EF2E9C">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项目运行后按照要求执行，本项目喷漆房保持微负压，开口面最远处的VOCs的控制风速不低于0.3m/s，符合要求</w:t>
                  </w:r>
                </w:p>
              </w:tc>
            </w:tr>
            <w:tr w14:paraId="12FC25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61189D84">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12B97709">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6C16A416">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涂装、小件修补等工序宜采用上进风、下吸风方式对废气进行收集。汽车维修保养环节产生的废气宜采用下吸风方式进行有效收集</w:t>
                  </w:r>
                </w:p>
              </w:tc>
              <w:tc>
                <w:tcPr>
                  <w:tcW w:w="868" w:type="dxa"/>
                  <w:tcBorders>
                    <w:top w:val="single" w:color="auto" w:sz="4" w:space="0"/>
                    <w:left w:val="single" w:color="auto" w:sz="4" w:space="0"/>
                    <w:bottom w:val="single" w:color="auto" w:sz="4" w:space="0"/>
                    <w:right w:val="single" w:color="auto" w:sz="4" w:space="0"/>
                  </w:tcBorders>
                  <w:vAlign w:val="center"/>
                </w:tcPr>
                <w:p w14:paraId="7103E8D0">
                  <w:pPr>
                    <w:widowControl/>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推荐</w:t>
                  </w:r>
                </w:p>
              </w:tc>
              <w:tc>
                <w:tcPr>
                  <w:tcW w:w="2110" w:type="dxa"/>
                  <w:tcBorders>
                    <w:top w:val="single" w:color="auto" w:sz="4" w:space="0"/>
                    <w:left w:val="single" w:color="auto" w:sz="4" w:space="0"/>
                    <w:bottom w:val="single" w:color="auto" w:sz="4" w:space="0"/>
                    <w:right w:val="single" w:color="auto" w:sz="4" w:space="0"/>
                  </w:tcBorders>
                  <w:vAlign w:val="center"/>
                </w:tcPr>
                <w:p w14:paraId="5312D9E7">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项目运行后按照要求执行，喷漆房采用上进风、下吸风方式，保持喷漆房内保持微负压进行收集，符合要求</w:t>
                  </w:r>
                </w:p>
              </w:tc>
            </w:tr>
            <w:tr w14:paraId="11C30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73204D2D">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37C145E7">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7AF31D5F">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废气处理宜采用过滤（喷淋）结合活性炭吸附方式处理。当排放浓度或处理效率不能满足排放要求时，应该及时更换催化剂</w:t>
                  </w:r>
                </w:p>
              </w:tc>
              <w:tc>
                <w:tcPr>
                  <w:tcW w:w="868" w:type="dxa"/>
                  <w:tcBorders>
                    <w:top w:val="single" w:color="auto" w:sz="4" w:space="0"/>
                    <w:left w:val="single" w:color="auto" w:sz="4" w:space="0"/>
                    <w:bottom w:val="single" w:color="auto" w:sz="4" w:space="0"/>
                    <w:right w:val="single" w:color="auto" w:sz="4" w:space="0"/>
                  </w:tcBorders>
                  <w:vAlign w:val="center"/>
                </w:tcPr>
                <w:p w14:paraId="4EAA97F8">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sz w:val="18"/>
                      <w:szCs w:val="18"/>
                    </w:rPr>
                    <w:t xml:space="preserve">推荐 </w:t>
                  </w:r>
                </w:p>
              </w:tc>
              <w:tc>
                <w:tcPr>
                  <w:tcW w:w="2110" w:type="dxa"/>
                  <w:tcBorders>
                    <w:top w:val="single" w:color="auto" w:sz="4" w:space="0"/>
                    <w:left w:val="single" w:color="auto" w:sz="4" w:space="0"/>
                    <w:bottom w:val="single" w:color="auto" w:sz="4" w:space="0"/>
                    <w:right w:val="single" w:color="auto" w:sz="4" w:space="0"/>
                  </w:tcBorders>
                  <w:vAlign w:val="center"/>
                </w:tcPr>
                <w:p w14:paraId="7CB7118A">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本项目废气</w:t>
                  </w:r>
                  <w:r>
                    <w:rPr>
                      <w:rFonts w:hint="eastAsia" w:ascii="Times New Roman" w:hAnsi="Times New Roman" w:cs="Times New Roman"/>
                      <w:color w:val="000000"/>
                      <w:kern w:val="0"/>
                      <w:sz w:val="18"/>
                      <w:szCs w:val="18"/>
                      <w:lang w:eastAsia="zh-CN"/>
                    </w:rPr>
                    <w:t>采用迷宫式过滤</w:t>
                  </w:r>
                  <w:r>
                    <w:rPr>
                      <w:rFonts w:hint="eastAsia" w:ascii="Times New Roman" w:hAnsi="Times New Roman" w:cs="Times New Roman"/>
                      <w:color w:val="000000"/>
                      <w:kern w:val="0"/>
                      <w:sz w:val="18"/>
                      <w:szCs w:val="18"/>
                      <w:lang w:val="en-US" w:eastAsia="zh-CN"/>
                    </w:rPr>
                    <w:t>+两级活性炭吸附</w:t>
                  </w:r>
                  <w:r>
                    <w:rPr>
                      <w:rFonts w:hint="default" w:ascii="Times New Roman" w:hAnsi="Times New Roman" w:cs="Times New Roman"/>
                      <w:color w:val="000000"/>
                      <w:kern w:val="0"/>
                      <w:sz w:val="18"/>
                      <w:szCs w:val="18"/>
                      <w:lang w:val="en-US" w:eastAsia="zh-CN"/>
                    </w:rPr>
                    <w:t>工艺</w:t>
                  </w:r>
                  <w:r>
                    <w:rPr>
                      <w:rFonts w:hint="default" w:ascii="Times New Roman" w:hAnsi="Times New Roman" w:cs="Times New Roman"/>
                      <w:color w:val="000000"/>
                      <w:kern w:val="0"/>
                      <w:sz w:val="18"/>
                      <w:szCs w:val="18"/>
                    </w:rPr>
                    <w:t>处理后排放，环保处理设备定期维护</w:t>
                  </w:r>
                </w:p>
              </w:tc>
            </w:tr>
            <w:tr w14:paraId="025B3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021CD956">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239AC508">
                  <w:pPr>
                    <w:widowControl/>
                    <w:jc w:val="left"/>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2E31EE02">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VOCs宜优先采用冷凝（冷冻）、吸附等技术进行回收利用。不宜回收时，采用吸附、吸收、燃烧（焚烧、氧化）、生物等技术或组合技术进行计划处理</w:t>
                  </w:r>
                </w:p>
              </w:tc>
              <w:tc>
                <w:tcPr>
                  <w:tcW w:w="868" w:type="dxa"/>
                  <w:tcBorders>
                    <w:top w:val="single" w:color="auto" w:sz="4" w:space="0"/>
                    <w:left w:val="single" w:color="auto" w:sz="4" w:space="0"/>
                    <w:bottom w:val="single" w:color="auto" w:sz="4" w:space="0"/>
                    <w:right w:val="single" w:color="auto" w:sz="4" w:space="0"/>
                  </w:tcBorders>
                  <w:vAlign w:val="center"/>
                </w:tcPr>
                <w:p w14:paraId="31D08011">
                  <w:pPr>
                    <w:widowControl/>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推荐</w:t>
                  </w:r>
                </w:p>
              </w:tc>
              <w:tc>
                <w:tcPr>
                  <w:tcW w:w="2110" w:type="dxa"/>
                  <w:tcBorders>
                    <w:top w:val="single" w:color="auto" w:sz="4" w:space="0"/>
                    <w:left w:val="single" w:color="auto" w:sz="4" w:space="0"/>
                    <w:bottom w:val="single" w:color="auto" w:sz="4" w:space="0"/>
                    <w:right w:val="single" w:color="auto" w:sz="4" w:space="0"/>
                  </w:tcBorders>
                  <w:vAlign w:val="center"/>
                </w:tcPr>
                <w:p w14:paraId="26385828">
                  <w:pPr>
                    <w:widowControl/>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本项目废气回收后也无法进行再次利用，本项目VOCs废气不宜回收，</w:t>
                  </w:r>
                  <w:r>
                    <w:rPr>
                      <w:rFonts w:hint="default" w:ascii="Times New Roman" w:hAnsi="Times New Roman" w:cs="Times New Roman"/>
                      <w:kern w:val="0"/>
                      <w:sz w:val="18"/>
                      <w:szCs w:val="18"/>
                    </w:rPr>
                    <w:t>本项目使用</w:t>
                  </w:r>
                  <w:r>
                    <w:rPr>
                      <w:rFonts w:hint="default" w:ascii="Times New Roman" w:hAnsi="Times New Roman" w:cs="Times New Roman"/>
                      <w:kern w:val="0"/>
                      <w:sz w:val="18"/>
                      <w:szCs w:val="18"/>
                      <w:lang w:eastAsia="zh-CN"/>
                    </w:rPr>
                    <w:t>油性漆</w:t>
                  </w:r>
                  <w:r>
                    <w:rPr>
                      <w:rFonts w:hint="default" w:ascii="Times New Roman" w:hAnsi="Times New Roman" w:cs="Times New Roman"/>
                      <w:kern w:val="0"/>
                      <w:sz w:val="18"/>
                      <w:szCs w:val="18"/>
                    </w:rPr>
                    <w:t>，末端处理方式采用</w:t>
                  </w:r>
                  <w:r>
                    <w:rPr>
                      <w:rFonts w:hint="eastAsia" w:cs="Times New Roman"/>
                      <w:kern w:val="0"/>
                      <w:sz w:val="18"/>
                      <w:szCs w:val="18"/>
                      <w:lang w:eastAsia="zh-CN"/>
                    </w:rPr>
                    <w:t>两级活性炭吸附</w:t>
                  </w:r>
                  <w:r>
                    <w:rPr>
                      <w:rFonts w:hint="default" w:ascii="Times New Roman" w:hAnsi="Times New Roman" w:cs="Times New Roman"/>
                      <w:kern w:val="0"/>
                      <w:sz w:val="18"/>
                      <w:szCs w:val="18"/>
                      <w:lang w:val="en-US" w:eastAsia="zh-CN"/>
                    </w:rPr>
                    <w:t>工艺</w:t>
                  </w:r>
                  <w:r>
                    <w:rPr>
                      <w:rFonts w:hint="default" w:ascii="Times New Roman" w:hAnsi="Times New Roman" w:cs="Times New Roman"/>
                      <w:kern w:val="0"/>
                      <w:sz w:val="18"/>
                      <w:szCs w:val="18"/>
                    </w:rPr>
                    <w:t>进行处理</w:t>
                  </w:r>
                  <w:r>
                    <w:rPr>
                      <w:rFonts w:hint="default" w:ascii="Times New Roman" w:hAnsi="Times New Roman" w:cs="Times New Roman"/>
                      <w:color w:val="000000"/>
                      <w:kern w:val="0"/>
                      <w:sz w:val="18"/>
                      <w:szCs w:val="18"/>
                    </w:rPr>
                    <w:t>处理后排放</w:t>
                  </w:r>
                </w:p>
              </w:tc>
            </w:tr>
            <w:tr w14:paraId="369BBD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8144" w:type="dxa"/>
                  <w:gridSpan w:val="5"/>
                  <w:tcBorders>
                    <w:top w:val="single" w:color="auto" w:sz="4" w:space="0"/>
                    <w:left w:val="single" w:color="auto" w:sz="4" w:space="0"/>
                    <w:bottom w:val="single" w:color="auto" w:sz="4" w:space="0"/>
                    <w:right w:val="single" w:color="auto" w:sz="4" w:space="0"/>
                  </w:tcBorders>
                  <w:vAlign w:val="center"/>
                </w:tcPr>
                <w:p w14:paraId="74611E6C">
                  <w:pPr>
                    <w:widowControl/>
                    <w:jc w:val="center"/>
                    <w:rPr>
                      <w:rFonts w:hint="default" w:ascii="Times New Roman" w:hAnsi="Times New Roman" w:cs="Times New Roman"/>
                      <w:b/>
                      <w:bCs/>
                      <w:color w:val="000000"/>
                      <w:kern w:val="0"/>
                      <w:sz w:val="18"/>
                      <w:szCs w:val="18"/>
                    </w:rPr>
                  </w:pPr>
                  <w:r>
                    <w:rPr>
                      <w:rFonts w:hint="default" w:ascii="Times New Roman" w:hAnsi="Times New Roman" w:cs="Times New Roman"/>
                      <w:b/>
                      <w:bCs/>
                      <w:color w:val="000000"/>
                      <w:kern w:val="0"/>
                      <w:sz w:val="18"/>
                      <w:szCs w:val="18"/>
                    </w:rPr>
                    <w:t>末端管控</w:t>
                  </w:r>
                </w:p>
              </w:tc>
            </w:tr>
            <w:tr w14:paraId="388447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44960163">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tcBorders>
                    <w:top w:val="single" w:color="auto" w:sz="4" w:space="0"/>
                    <w:left w:val="single" w:color="auto" w:sz="4" w:space="0"/>
                    <w:bottom w:val="single" w:color="auto" w:sz="4" w:space="0"/>
                    <w:right w:val="single" w:color="auto" w:sz="4" w:space="0"/>
                  </w:tcBorders>
                  <w:vAlign w:val="center"/>
                </w:tcPr>
                <w:p w14:paraId="1868399D">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运行管理</w:t>
                  </w:r>
                </w:p>
              </w:tc>
              <w:tc>
                <w:tcPr>
                  <w:tcW w:w="3912" w:type="dxa"/>
                  <w:tcBorders>
                    <w:top w:val="single" w:color="auto" w:sz="4" w:space="0"/>
                    <w:left w:val="single" w:color="auto" w:sz="4" w:space="0"/>
                    <w:bottom w:val="single" w:color="auto" w:sz="4" w:space="0"/>
                    <w:right w:val="single" w:color="auto" w:sz="4" w:space="0"/>
                  </w:tcBorders>
                  <w:vAlign w:val="center"/>
                </w:tcPr>
                <w:p w14:paraId="20DB76E8">
                  <w:pPr>
                    <w:widowControl/>
                    <w:rPr>
                      <w:rFonts w:hint="default" w:ascii="Times New Roman" w:hAnsi="Times New Roman" w:cs="Times New Roman"/>
                      <w:color w:val="000000"/>
                      <w:kern w:val="0"/>
                      <w:sz w:val="18"/>
                      <w:szCs w:val="18"/>
                    </w:rPr>
                  </w:pPr>
                  <w:r>
                    <w:rPr>
                      <w:rFonts w:hint="default" w:ascii="Times New Roman" w:hAnsi="Times New Roman" w:cs="Times New Roman"/>
                      <w:kern w:val="0"/>
                      <w:sz w:val="18"/>
                      <w:szCs w:val="18"/>
                    </w:rPr>
                    <w:t>实行重点排放源排放浓度与去除效率双重控制。车间或生产设施收集排放的废气，VOCs 初始排放速率大于等于3千克/小时、重点区域大于等于2千克/小时的，应加大控制力度，除确保排放浓度稳定达标外，还应实行去除效率控制，VOCs去除率应不低于80%</w:t>
                  </w:r>
                </w:p>
              </w:tc>
              <w:tc>
                <w:tcPr>
                  <w:tcW w:w="868" w:type="dxa"/>
                  <w:tcBorders>
                    <w:top w:val="single" w:color="auto" w:sz="4" w:space="0"/>
                    <w:left w:val="single" w:color="auto" w:sz="4" w:space="0"/>
                    <w:bottom w:val="single" w:color="auto" w:sz="4" w:space="0"/>
                    <w:right w:val="single" w:color="auto" w:sz="4" w:space="0"/>
                  </w:tcBorders>
                  <w:vAlign w:val="center"/>
                </w:tcPr>
                <w:p w14:paraId="7339BB53">
                  <w:pPr>
                    <w:widowControl/>
                    <w:jc w:val="center"/>
                    <w:rPr>
                      <w:rFonts w:hint="default" w:ascii="Times New Roman" w:hAnsi="Times New Roman" w:cs="Times New Roman"/>
                      <w:b/>
                      <w:bCs/>
                      <w:color w:val="000000"/>
                      <w:kern w:val="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4F06968A">
                  <w:pPr>
                    <w:rPr>
                      <w:rFonts w:hint="default" w:ascii="Times New Roman" w:hAnsi="Times New Roman" w:eastAsia="宋体" w:cs="Times New Roman"/>
                      <w:color w:val="000000"/>
                      <w:kern w:val="0"/>
                      <w:sz w:val="18"/>
                      <w:szCs w:val="18"/>
                      <w:lang w:val="en-US" w:eastAsia="zh-CN"/>
                    </w:rPr>
                  </w:pPr>
                  <w:r>
                    <w:rPr>
                      <w:rFonts w:hint="default" w:ascii="Times New Roman" w:hAnsi="Times New Roman" w:cs="Times New Roman"/>
                      <w:color w:val="000000"/>
                      <w:kern w:val="0"/>
                      <w:sz w:val="18"/>
                      <w:szCs w:val="18"/>
                    </w:rPr>
                    <w:t>本项目废气采用</w:t>
                  </w:r>
                  <w:r>
                    <w:rPr>
                      <w:rFonts w:hint="eastAsia" w:cs="Times New Roman"/>
                      <w:kern w:val="0"/>
                      <w:sz w:val="18"/>
                      <w:szCs w:val="18"/>
                      <w:lang w:eastAsia="zh-CN"/>
                    </w:rPr>
                    <w:t>两级活性炭吸附</w:t>
                  </w:r>
                  <w:r>
                    <w:rPr>
                      <w:rFonts w:hint="default" w:ascii="Times New Roman" w:hAnsi="Times New Roman" w:cs="Times New Roman"/>
                      <w:kern w:val="0"/>
                      <w:sz w:val="18"/>
                      <w:szCs w:val="18"/>
                      <w:lang w:val="en-US" w:eastAsia="zh-CN"/>
                    </w:rPr>
                    <w:t>工艺</w:t>
                  </w:r>
                  <w:r>
                    <w:rPr>
                      <w:rFonts w:hint="default" w:ascii="Times New Roman" w:hAnsi="Times New Roman" w:cs="Times New Roman"/>
                      <w:kern w:val="0"/>
                      <w:sz w:val="18"/>
                      <w:szCs w:val="18"/>
                    </w:rPr>
                    <w:t>进行处理</w:t>
                  </w:r>
                  <w:r>
                    <w:rPr>
                      <w:rFonts w:hint="default" w:ascii="Times New Roman" w:hAnsi="Times New Roman" w:cs="Times New Roman"/>
                      <w:color w:val="000000"/>
                      <w:kern w:val="0"/>
                      <w:sz w:val="18"/>
                      <w:szCs w:val="18"/>
                    </w:rPr>
                    <w:t>处理后排放，本项</w:t>
                  </w:r>
                  <w:r>
                    <w:rPr>
                      <w:rFonts w:hint="default" w:ascii="Times New Roman" w:hAnsi="Times New Roman" w:cs="Times New Roman"/>
                      <w:color w:val="000000"/>
                      <w:kern w:val="0"/>
                      <w:sz w:val="18"/>
                      <w:szCs w:val="18"/>
                      <w:highlight w:val="none"/>
                    </w:rPr>
                    <w:t>目VOCs产生速率小于2kg/h</w:t>
                  </w:r>
                </w:p>
              </w:tc>
            </w:tr>
            <w:tr w14:paraId="266180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5" w:hRule="atLeast"/>
                <w:jc w:val="center"/>
              </w:trPr>
              <w:tc>
                <w:tcPr>
                  <w:tcW w:w="8144" w:type="dxa"/>
                  <w:gridSpan w:val="5"/>
                  <w:tcBorders>
                    <w:top w:val="single" w:color="auto" w:sz="4" w:space="0"/>
                    <w:left w:val="single" w:color="auto" w:sz="4" w:space="0"/>
                    <w:bottom w:val="single" w:color="auto" w:sz="4" w:space="0"/>
                    <w:right w:val="single" w:color="auto" w:sz="4" w:space="0"/>
                  </w:tcBorders>
                  <w:vAlign w:val="center"/>
                </w:tcPr>
                <w:p w14:paraId="0DA72737">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b/>
                      <w:bCs/>
                      <w:color w:val="000000"/>
                      <w:kern w:val="0"/>
                      <w:sz w:val="18"/>
                      <w:szCs w:val="18"/>
                    </w:rPr>
                    <w:t>其他</w:t>
                  </w:r>
                </w:p>
              </w:tc>
            </w:tr>
            <w:tr w14:paraId="7F1D0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265"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0CFB0128">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restart"/>
                  <w:tcBorders>
                    <w:top w:val="single" w:color="auto" w:sz="4" w:space="0"/>
                    <w:left w:val="single" w:color="auto" w:sz="4" w:space="0"/>
                    <w:bottom w:val="single" w:color="auto" w:sz="4" w:space="0"/>
                    <w:right w:val="single" w:color="auto" w:sz="4" w:space="0"/>
                  </w:tcBorders>
                  <w:vAlign w:val="center"/>
                </w:tcPr>
                <w:p w14:paraId="0D398BFA">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台账管理</w:t>
                  </w:r>
                </w:p>
              </w:tc>
              <w:tc>
                <w:tcPr>
                  <w:tcW w:w="3912" w:type="dxa"/>
                  <w:tcBorders>
                    <w:top w:val="single" w:color="auto" w:sz="4" w:space="0"/>
                    <w:left w:val="single" w:color="auto" w:sz="4" w:space="0"/>
                    <w:bottom w:val="single" w:color="auto" w:sz="4" w:space="0"/>
                    <w:right w:val="single" w:color="auto" w:sz="4" w:space="0"/>
                  </w:tcBorders>
                  <w:vAlign w:val="center"/>
                </w:tcPr>
                <w:p w14:paraId="1436058A">
                  <w:pPr>
                    <w:widowControl/>
                    <w:rPr>
                      <w:rFonts w:hint="default" w:ascii="Times New Roman" w:hAnsi="Times New Roman" w:cs="Times New Roman"/>
                      <w:kern w:val="0"/>
                      <w:sz w:val="18"/>
                      <w:szCs w:val="18"/>
                    </w:rPr>
                  </w:pPr>
                  <w:r>
                    <w:rPr>
                      <w:rFonts w:hint="default" w:ascii="Times New Roman" w:hAnsi="Times New Roman" w:cs="Times New Roman"/>
                      <w:color w:val="000000"/>
                      <w:kern w:val="0"/>
                      <w:sz w:val="18"/>
                      <w:szCs w:val="18"/>
                    </w:rPr>
                    <w:t>建立环境管理台账，记录含VOCs原辅材料和含VOCs产品的名称、使用量、回收量、废弃量、去向以及VOCs含量等信息。台账保存期限不少于3年</w:t>
                  </w:r>
                  <w:r>
                    <w:rPr>
                      <w:rFonts w:hint="default" w:ascii="Times New Roman" w:hAnsi="Times New Roman" w:cs="Times New Roman"/>
                      <w:kern w:val="0"/>
                      <w:sz w:val="18"/>
                      <w:szCs w:val="18"/>
                    </w:rPr>
                    <w:t xml:space="preserve"> </w:t>
                  </w:r>
                </w:p>
              </w:tc>
              <w:tc>
                <w:tcPr>
                  <w:tcW w:w="868" w:type="dxa"/>
                  <w:tcBorders>
                    <w:top w:val="single" w:color="auto" w:sz="4" w:space="0"/>
                    <w:left w:val="single" w:color="auto" w:sz="4" w:space="0"/>
                    <w:bottom w:val="single" w:color="auto" w:sz="4" w:space="0"/>
                    <w:right w:val="single" w:color="auto" w:sz="4" w:space="0"/>
                  </w:tcBorders>
                  <w:vAlign w:val="center"/>
                </w:tcPr>
                <w:p w14:paraId="07BFC957">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0A06119F">
                  <w:pP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项目建成后按照要求进行环境管理台账，台账包括纸质台账和电子台账，至少保存5年，满足要求</w:t>
                  </w:r>
                </w:p>
              </w:tc>
            </w:tr>
            <w:tr w14:paraId="4C18A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2A894B7B">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7993E22B">
                  <w:pPr>
                    <w:widowControl/>
                    <w:jc w:val="center"/>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69935831">
                  <w:pPr>
                    <w:widowControl/>
                    <w:rPr>
                      <w:rFonts w:hint="default" w:ascii="Times New Roman" w:hAnsi="Times New Roman" w:cs="Times New Roman"/>
                      <w:kern w:val="0"/>
                      <w:sz w:val="18"/>
                      <w:szCs w:val="18"/>
                    </w:rPr>
                  </w:pPr>
                  <w:r>
                    <w:rPr>
                      <w:rFonts w:hint="default" w:ascii="Times New Roman" w:hAnsi="Times New Roman" w:cs="Times New Roman"/>
                      <w:kern w:val="0"/>
                      <w:sz w:val="18"/>
                      <w:szCs w:val="18"/>
                    </w:rPr>
                    <w:t>企业应记录废气收集系统及处理设施的保养维护事项与主要操作参数，记录保存期限不得少于3年</w:t>
                  </w:r>
                </w:p>
              </w:tc>
              <w:tc>
                <w:tcPr>
                  <w:tcW w:w="868" w:type="dxa"/>
                  <w:tcBorders>
                    <w:top w:val="single" w:color="auto" w:sz="4" w:space="0"/>
                    <w:left w:val="single" w:color="auto" w:sz="4" w:space="0"/>
                    <w:bottom w:val="single" w:color="auto" w:sz="4" w:space="0"/>
                    <w:right w:val="single" w:color="auto" w:sz="4" w:space="0"/>
                  </w:tcBorders>
                  <w:vAlign w:val="center"/>
                </w:tcPr>
                <w:p w14:paraId="3EDCC8C0">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56FD5032">
                  <w:pP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项目建成后按照要求进行，废气收集系统及处理设施的台账记录，台账包括纸质台账和电子台账，至少保存5年，满足要求</w:t>
                  </w:r>
                </w:p>
              </w:tc>
            </w:tr>
            <w:tr w14:paraId="5BC28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6A106E3F">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restart"/>
                  <w:tcBorders>
                    <w:top w:val="single" w:color="auto" w:sz="4" w:space="0"/>
                    <w:left w:val="single" w:color="auto" w:sz="4" w:space="0"/>
                    <w:bottom w:val="single" w:color="auto" w:sz="4" w:space="0"/>
                    <w:right w:val="single" w:color="auto" w:sz="4" w:space="0"/>
                  </w:tcBorders>
                  <w:vAlign w:val="center"/>
                </w:tcPr>
                <w:p w14:paraId="384904D6">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运输车辆</w:t>
                  </w:r>
                </w:p>
              </w:tc>
              <w:tc>
                <w:tcPr>
                  <w:tcW w:w="3912" w:type="dxa"/>
                  <w:tcBorders>
                    <w:top w:val="single" w:color="auto" w:sz="4" w:space="0"/>
                    <w:left w:val="single" w:color="auto" w:sz="4" w:space="0"/>
                    <w:bottom w:val="single" w:color="auto" w:sz="4" w:space="0"/>
                    <w:right w:val="single" w:color="auto" w:sz="4" w:space="0"/>
                  </w:tcBorders>
                  <w:vAlign w:val="center"/>
                </w:tcPr>
                <w:p w14:paraId="2F1E50E4">
                  <w:pPr>
                    <w:widowControl/>
                    <w:rPr>
                      <w:rFonts w:hint="default" w:ascii="Times New Roman" w:hAnsi="Times New Roman" w:cs="Times New Roman"/>
                      <w:kern w:val="0"/>
                      <w:sz w:val="18"/>
                      <w:szCs w:val="18"/>
                    </w:rPr>
                  </w:pPr>
                  <w:r>
                    <w:rPr>
                      <w:rFonts w:hint="default" w:ascii="Times New Roman" w:hAnsi="Times New Roman" w:cs="Times New Roman"/>
                      <w:kern w:val="0"/>
                      <w:sz w:val="18"/>
                      <w:szCs w:val="18"/>
                    </w:rPr>
                    <w:t>推荐使用国五及以上的重型载货汽车（含燃气）进行输运</w:t>
                  </w:r>
                </w:p>
              </w:tc>
              <w:tc>
                <w:tcPr>
                  <w:tcW w:w="868" w:type="dxa"/>
                  <w:tcBorders>
                    <w:top w:val="single" w:color="auto" w:sz="4" w:space="0"/>
                    <w:left w:val="single" w:color="auto" w:sz="4" w:space="0"/>
                    <w:bottom w:val="single" w:color="auto" w:sz="4" w:space="0"/>
                    <w:right w:val="single" w:color="auto" w:sz="4" w:space="0"/>
                  </w:tcBorders>
                  <w:vAlign w:val="center"/>
                </w:tcPr>
                <w:p w14:paraId="0C054B1D">
                  <w:pPr>
                    <w:widowControl/>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推荐</w:t>
                  </w:r>
                </w:p>
              </w:tc>
              <w:tc>
                <w:tcPr>
                  <w:tcW w:w="2110" w:type="dxa"/>
                  <w:tcBorders>
                    <w:top w:val="single" w:color="auto" w:sz="4" w:space="0"/>
                    <w:left w:val="single" w:color="auto" w:sz="4" w:space="0"/>
                    <w:bottom w:val="single" w:color="auto" w:sz="4" w:space="0"/>
                    <w:right w:val="single" w:color="auto" w:sz="4" w:space="0"/>
                  </w:tcBorders>
                  <w:vAlign w:val="center"/>
                </w:tcPr>
                <w:p w14:paraId="71ACDD20">
                  <w:pP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项目建成后按照要求进行管理日常重型载货汽车的运输，满足要求</w:t>
                  </w:r>
                </w:p>
              </w:tc>
            </w:tr>
            <w:tr w14:paraId="122FF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0007AC57">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7E1C9B83">
                  <w:pPr>
                    <w:widowControl/>
                    <w:jc w:val="center"/>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54B22DAD">
                  <w:pPr>
                    <w:widowControl/>
                    <w:rPr>
                      <w:rFonts w:hint="default" w:ascii="Times New Roman" w:hAnsi="Times New Roman" w:cs="Times New Roman"/>
                      <w:kern w:val="0"/>
                      <w:sz w:val="18"/>
                      <w:szCs w:val="18"/>
                    </w:rPr>
                  </w:pPr>
                  <w:r>
                    <w:rPr>
                      <w:rFonts w:hint="default" w:ascii="Times New Roman" w:hAnsi="Times New Roman" w:cs="Times New Roman"/>
                      <w:kern w:val="0"/>
                      <w:sz w:val="18"/>
                      <w:szCs w:val="18"/>
                    </w:rPr>
                    <w:t>重污染应急期间要求使用国五及以上的重型载货汽车（含燃气）进行输运</w:t>
                  </w:r>
                </w:p>
              </w:tc>
              <w:tc>
                <w:tcPr>
                  <w:tcW w:w="868" w:type="dxa"/>
                  <w:tcBorders>
                    <w:top w:val="single" w:color="auto" w:sz="4" w:space="0"/>
                    <w:left w:val="single" w:color="auto" w:sz="4" w:space="0"/>
                    <w:bottom w:val="single" w:color="auto" w:sz="4" w:space="0"/>
                    <w:right w:val="single" w:color="auto" w:sz="4" w:space="0"/>
                  </w:tcBorders>
                  <w:vAlign w:val="center"/>
                </w:tcPr>
                <w:p w14:paraId="395A94CB">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541E22CA">
                  <w:pP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项目建成后按照要求进行管理重污染应急期间重型载货汽车的运输，满足要求</w:t>
                  </w:r>
                </w:p>
              </w:tc>
            </w:tr>
            <w:tr w14:paraId="3EAE0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426B698B">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restart"/>
                  <w:tcBorders>
                    <w:top w:val="single" w:color="auto" w:sz="4" w:space="0"/>
                    <w:left w:val="single" w:color="auto" w:sz="4" w:space="0"/>
                    <w:bottom w:val="single" w:color="auto" w:sz="4" w:space="0"/>
                    <w:right w:val="single" w:color="auto" w:sz="4" w:space="0"/>
                  </w:tcBorders>
                  <w:vAlign w:val="center"/>
                </w:tcPr>
                <w:p w14:paraId="44FBF6E4">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非道路移动源</w:t>
                  </w:r>
                </w:p>
              </w:tc>
              <w:tc>
                <w:tcPr>
                  <w:tcW w:w="3912" w:type="dxa"/>
                  <w:tcBorders>
                    <w:top w:val="single" w:color="auto" w:sz="4" w:space="0"/>
                    <w:left w:val="single" w:color="auto" w:sz="4" w:space="0"/>
                    <w:bottom w:val="single" w:color="auto" w:sz="4" w:space="0"/>
                    <w:right w:val="single" w:color="auto" w:sz="4" w:space="0"/>
                  </w:tcBorders>
                  <w:vAlign w:val="center"/>
                </w:tcPr>
                <w:p w14:paraId="460F2AA4">
                  <w:pPr>
                    <w:widowControl/>
                    <w:rPr>
                      <w:rFonts w:hint="default" w:ascii="Times New Roman" w:hAnsi="Times New Roman" w:cs="Times New Roman"/>
                      <w:kern w:val="0"/>
                      <w:sz w:val="18"/>
                      <w:szCs w:val="18"/>
                    </w:rPr>
                  </w:pPr>
                  <w:r>
                    <w:rPr>
                      <w:rFonts w:hint="default" w:ascii="Times New Roman" w:hAnsi="Times New Roman" w:cs="Times New Roman"/>
                      <w:kern w:val="0"/>
                      <w:sz w:val="18"/>
                      <w:szCs w:val="18"/>
                    </w:rPr>
                    <w:t>推荐使用国三及以上的非道路移动机械</w:t>
                  </w:r>
                </w:p>
              </w:tc>
              <w:tc>
                <w:tcPr>
                  <w:tcW w:w="868" w:type="dxa"/>
                  <w:tcBorders>
                    <w:top w:val="single" w:color="auto" w:sz="4" w:space="0"/>
                    <w:left w:val="single" w:color="auto" w:sz="4" w:space="0"/>
                    <w:bottom w:val="single" w:color="auto" w:sz="4" w:space="0"/>
                    <w:right w:val="single" w:color="auto" w:sz="4" w:space="0"/>
                  </w:tcBorders>
                  <w:vAlign w:val="center"/>
                </w:tcPr>
                <w:p w14:paraId="23CCBFB4">
                  <w:pPr>
                    <w:widowControl/>
                    <w:jc w:val="center"/>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推荐</w:t>
                  </w:r>
                </w:p>
              </w:tc>
              <w:tc>
                <w:tcPr>
                  <w:tcW w:w="2110" w:type="dxa"/>
                  <w:tcBorders>
                    <w:top w:val="single" w:color="auto" w:sz="4" w:space="0"/>
                    <w:left w:val="single" w:color="auto" w:sz="4" w:space="0"/>
                    <w:bottom w:val="single" w:color="auto" w:sz="4" w:space="0"/>
                    <w:right w:val="single" w:color="auto" w:sz="4" w:space="0"/>
                  </w:tcBorders>
                  <w:vAlign w:val="center"/>
                </w:tcPr>
                <w:p w14:paraId="58090FB8">
                  <w:pP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项目建成后按照要求进行管理非道路移动机械，满足要求</w:t>
                  </w:r>
                </w:p>
              </w:tc>
            </w:tr>
            <w:tr w14:paraId="27E63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6D8855E0">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vMerge w:val="continue"/>
                  <w:tcBorders>
                    <w:top w:val="single" w:color="auto" w:sz="4" w:space="0"/>
                    <w:left w:val="single" w:color="auto" w:sz="4" w:space="0"/>
                    <w:bottom w:val="single" w:color="auto" w:sz="4" w:space="0"/>
                    <w:right w:val="single" w:color="auto" w:sz="4" w:space="0"/>
                  </w:tcBorders>
                  <w:vAlign w:val="center"/>
                </w:tcPr>
                <w:p w14:paraId="5216AFEC">
                  <w:pPr>
                    <w:widowControl/>
                    <w:jc w:val="center"/>
                    <w:rPr>
                      <w:rFonts w:hint="default" w:ascii="Times New Roman" w:hAnsi="Times New Roman" w:cs="Times New Roman"/>
                      <w:color w:val="000000"/>
                      <w:kern w:val="0"/>
                      <w:sz w:val="18"/>
                      <w:szCs w:val="18"/>
                    </w:rPr>
                  </w:pPr>
                </w:p>
              </w:tc>
              <w:tc>
                <w:tcPr>
                  <w:tcW w:w="3912" w:type="dxa"/>
                  <w:tcBorders>
                    <w:top w:val="single" w:color="auto" w:sz="4" w:space="0"/>
                    <w:left w:val="single" w:color="auto" w:sz="4" w:space="0"/>
                    <w:bottom w:val="single" w:color="auto" w:sz="4" w:space="0"/>
                    <w:right w:val="single" w:color="auto" w:sz="4" w:space="0"/>
                  </w:tcBorders>
                  <w:vAlign w:val="center"/>
                </w:tcPr>
                <w:p w14:paraId="761D187F">
                  <w:pPr>
                    <w:widowControl/>
                    <w:rPr>
                      <w:rFonts w:hint="default" w:ascii="Times New Roman" w:hAnsi="Times New Roman" w:cs="Times New Roman"/>
                      <w:kern w:val="0"/>
                      <w:sz w:val="18"/>
                      <w:szCs w:val="18"/>
                    </w:rPr>
                  </w:pPr>
                  <w:r>
                    <w:rPr>
                      <w:rFonts w:hint="default" w:ascii="Times New Roman" w:hAnsi="Times New Roman" w:cs="Times New Roman"/>
                      <w:kern w:val="0"/>
                      <w:sz w:val="18"/>
                      <w:szCs w:val="18"/>
                    </w:rPr>
                    <w:t>橙色及以上重污染期间要求使用国三及以上的非道路移动机械；黄色以以上重污染应急期间建成区禁止使用冒黑烟高排放工程机械（含挖掘机、装载机、平地机、铺路机、压路机、叉车等）</w:t>
                  </w:r>
                </w:p>
              </w:tc>
              <w:tc>
                <w:tcPr>
                  <w:tcW w:w="868" w:type="dxa"/>
                  <w:tcBorders>
                    <w:top w:val="single" w:color="auto" w:sz="4" w:space="0"/>
                    <w:left w:val="single" w:color="auto" w:sz="4" w:space="0"/>
                    <w:bottom w:val="single" w:color="auto" w:sz="4" w:space="0"/>
                    <w:right w:val="single" w:color="auto" w:sz="4" w:space="0"/>
                  </w:tcBorders>
                  <w:vAlign w:val="center"/>
                </w:tcPr>
                <w:p w14:paraId="36708B44">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2AFC7439">
                  <w:pP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项目建成后按照要求进行管理重污染期间非道路移动源，满足要求</w:t>
                  </w:r>
                </w:p>
              </w:tc>
            </w:tr>
            <w:tr w14:paraId="0F0DD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38100DD6">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tcBorders>
                    <w:top w:val="single" w:color="auto" w:sz="4" w:space="0"/>
                    <w:left w:val="single" w:color="auto" w:sz="4" w:space="0"/>
                    <w:bottom w:val="single" w:color="auto" w:sz="4" w:space="0"/>
                    <w:right w:val="single" w:color="auto" w:sz="4" w:space="0"/>
                  </w:tcBorders>
                  <w:vAlign w:val="center"/>
                </w:tcPr>
                <w:p w14:paraId="3D367D83">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安装门禁系统</w:t>
                  </w:r>
                </w:p>
              </w:tc>
              <w:tc>
                <w:tcPr>
                  <w:tcW w:w="3912" w:type="dxa"/>
                  <w:tcBorders>
                    <w:top w:val="single" w:color="auto" w:sz="4" w:space="0"/>
                    <w:left w:val="single" w:color="auto" w:sz="4" w:space="0"/>
                    <w:bottom w:val="single" w:color="auto" w:sz="4" w:space="0"/>
                    <w:right w:val="single" w:color="auto" w:sz="4" w:space="0"/>
                  </w:tcBorders>
                  <w:vAlign w:val="center"/>
                </w:tcPr>
                <w:p w14:paraId="344C6F1C">
                  <w:pPr>
                    <w:widowControl/>
                    <w:rPr>
                      <w:rFonts w:hint="default" w:ascii="Times New Roman" w:hAnsi="Times New Roman" w:cs="Times New Roman"/>
                      <w:kern w:val="0"/>
                      <w:sz w:val="18"/>
                      <w:szCs w:val="18"/>
                    </w:rPr>
                  </w:pPr>
                  <w:r>
                    <w:rPr>
                      <w:rFonts w:hint="default" w:ascii="Times New Roman" w:hAnsi="Times New Roman" w:cs="Times New Roman"/>
                      <w:kern w:val="0"/>
                      <w:sz w:val="18"/>
                      <w:szCs w:val="18"/>
                    </w:rPr>
                    <w:t>2020年10月底前重型柴油</w:t>
                  </w:r>
                  <w:r>
                    <w:rPr>
                      <w:rFonts w:hint="eastAsia" w:cs="Times New Roman"/>
                      <w:kern w:val="0"/>
                      <w:sz w:val="18"/>
                      <w:szCs w:val="18"/>
                      <w:lang w:eastAsia="zh-CN"/>
                    </w:rPr>
                    <w:t>货</w:t>
                  </w:r>
                  <w:r>
                    <w:rPr>
                      <w:rFonts w:hint="default" w:ascii="Times New Roman" w:hAnsi="Times New Roman" w:cs="Times New Roman"/>
                      <w:kern w:val="0"/>
                      <w:sz w:val="18"/>
                      <w:szCs w:val="18"/>
                    </w:rPr>
                    <w:t>车日运输车辆10频次以上的重点用车单位，全部安装门禁和视频监控系统，记录进出厂运输车辆完整车牌号</w:t>
                  </w:r>
                </w:p>
              </w:tc>
              <w:tc>
                <w:tcPr>
                  <w:tcW w:w="868" w:type="dxa"/>
                  <w:tcBorders>
                    <w:top w:val="single" w:color="auto" w:sz="4" w:space="0"/>
                    <w:left w:val="single" w:color="auto" w:sz="4" w:space="0"/>
                    <w:bottom w:val="single" w:color="auto" w:sz="4" w:space="0"/>
                    <w:right w:val="single" w:color="auto" w:sz="4" w:space="0"/>
                  </w:tcBorders>
                  <w:vAlign w:val="center"/>
                </w:tcPr>
                <w:p w14:paraId="47FF3739">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52921AA4">
                  <w:pPr>
                    <w:rPr>
                      <w:rFonts w:hint="default" w:ascii="Times New Roman" w:hAnsi="Times New Roman" w:cs="Times New Roman"/>
                      <w:color w:val="000000"/>
                      <w:kern w:val="0"/>
                      <w:sz w:val="18"/>
                      <w:szCs w:val="18"/>
                    </w:rPr>
                  </w:pPr>
                  <w:r>
                    <w:rPr>
                      <w:rFonts w:hint="eastAsia" w:cs="Times New Roman"/>
                      <w:color w:val="000000"/>
                      <w:kern w:val="0"/>
                      <w:sz w:val="18"/>
                      <w:szCs w:val="18"/>
                      <w:lang w:eastAsia="zh-CN"/>
                    </w:rPr>
                    <w:t>本项目不涉及重型柴油货车，不属于重点用车单位。</w:t>
                  </w:r>
                  <w:r>
                    <w:rPr>
                      <w:rFonts w:hint="default" w:ascii="Times New Roman" w:hAnsi="Times New Roman" w:cs="Times New Roman"/>
                      <w:color w:val="000000"/>
                      <w:kern w:val="0"/>
                      <w:sz w:val="18"/>
                      <w:szCs w:val="18"/>
                    </w:rPr>
                    <w:t>项目建成后将按照</w:t>
                  </w:r>
                  <w:r>
                    <w:rPr>
                      <w:rFonts w:hint="eastAsia" w:cs="Times New Roman"/>
                      <w:color w:val="000000"/>
                      <w:kern w:val="0"/>
                      <w:sz w:val="18"/>
                      <w:szCs w:val="18"/>
                      <w:lang w:eastAsia="zh-CN"/>
                    </w:rPr>
                    <w:t>文件</w:t>
                  </w:r>
                  <w:r>
                    <w:rPr>
                      <w:rFonts w:hint="default" w:ascii="Times New Roman" w:hAnsi="Times New Roman" w:cs="Times New Roman"/>
                      <w:color w:val="000000"/>
                      <w:kern w:val="0"/>
                      <w:sz w:val="18"/>
                      <w:szCs w:val="18"/>
                    </w:rPr>
                    <w:t>要求安装门禁和视频监控系统并对进出厂车辆信息，满足要求</w:t>
                  </w:r>
                </w:p>
              </w:tc>
            </w:tr>
            <w:tr w14:paraId="768180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397" w:hRule="atLeast"/>
                <w:jc w:val="center"/>
              </w:trPr>
              <w:tc>
                <w:tcPr>
                  <w:tcW w:w="553" w:type="dxa"/>
                  <w:tcBorders>
                    <w:top w:val="single" w:color="auto" w:sz="4" w:space="0"/>
                    <w:left w:val="single" w:color="auto" w:sz="4" w:space="0"/>
                    <w:bottom w:val="single" w:color="auto" w:sz="4" w:space="0"/>
                    <w:right w:val="single" w:color="auto" w:sz="4" w:space="0"/>
                  </w:tcBorders>
                  <w:vAlign w:val="center"/>
                </w:tcPr>
                <w:p w14:paraId="1ACC5967">
                  <w:pPr>
                    <w:pStyle w:val="1041"/>
                    <w:widowControl/>
                    <w:numPr>
                      <w:ilvl w:val="0"/>
                      <w:numId w:val="17"/>
                    </w:numPr>
                    <w:ind w:firstLineChars="0"/>
                    <w:jc w:val="center"/>
                    <w:rPr>
                      <w:rFonts w:hint="default" w:ascii="Times New Roman" w:hAnsi="Times New Roman" w:cs="Times New Roman"/>
                      <w:color w:val="000000"/>
                      <w:kern w:val="0"/>
                      <w:sz w:val="18"/>
                      <w:szCs w:val="18"/>
                    </w:rPr>
                  </w:pPr>
                </w:p>
              </w:tc>
              <w:tc>
                <w:tcPr>
                  <w:tcW w:w="701" w:type="dxa"/>
                  <w:tcBorders>
                    <w:top w:val="single" w:color="auto" w:sz="4" w:space="0"/>
                    <w:left w:val="single" w:color="auto" w:sz="4" w:space="0"/>
                    <w:bottom w:val="single" w:color="auto" w:sz="4" w:space="0"/>
                    <w:right w:val="single" w:color="auto" w:sz="4" w:space="0"/>
                  </w:tcBorders>
                  <w:vAlign w:val="center"/>
                </w:tcPr>
                <w:p w14:paraId="31FD36A1">
                  <w:pPr>
                    <w:widowControl/>
                    <w:jc w:val="cente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自主监测</w:t>
                  </w:r>
                </w:p>
              </w:tc>
              <w:tc>
                <w:tcPr>
                  <w:tcW w:w="3912" w:type="dxa"/>
                  <w:tcBorders>
                    <w:top w:val="single" w:color="auto" w:sz="4" w:space="0"/>
                    <w:left w:val="single" w:color="auto" w:sz="4" w:space="0"/>
                    <w:bottom w:val="single" w:color="auto" w:sz="4" w:space="0"/>
                    <w:right w:val="single" w:color="auto" w:sz="4" w:space="0"/>
                  </w:tcBorders>
                  <w:vAlign w:val="center"/>
                </w:tcPr>
                <w:p w14:paraId="34B7845B">
                  <w:pPr>
                    <w:widowControl/>
                    <w:rPr>
                      <w:rFonts w:hint="default" w:ascii="Times New Roman" w:hAnsi="Times New Roman" w:cs="Times New Roman"/>
                      <w:kern w:val="0"/>
                      <w:sz w:val="18"/>
                      <w:szCs w:val="18"/>
                    </w:rPr>
                  </w:pPr>
                  <w:r>
                    <w:rPr>
                      <w:rFonts w:hint="default" w:ascii="Times New Roman" w:hAnsi="Times New Roman" w:cs="Times New Roman"/>
                      <w:kern w:val="0"/>
                      <w:sz w:val="18"/>
                      <w:szCs w:val="18"/>
                    </w:rPr>
                    <w:t>已申领排污许可证的企业严格按照排污许可证中污染物监测频次进行监测，未申领排污许可证的企业按照《排污单位自行监测技术指南 总则》（HJ 819-2017）中的要求进行监测</w:t>
                  </w:r>
                </w:p>
              </w:tc>
              <w:tc>
                <w:tcPr>
                  <w:tcW w:w="868" w:type="dxa"/>
                  <w:tcBorders>
                    <w:top w:val="single" w:color="auto" w:sz="4" w:space="0"/>
                    <w:left w:val="single" w:color="auto" w:sz="4" w:space="0"/>
                    <w:bottom w:val="single" w:color="auto" w:sz="4" w:space="0"/>
                    <w:right w:val="single" w:color="auto" w:sz="4" w:space="0"/>
                  </w:tcBorders>
                  <w:vAlign w:val="center"/>
                </w:tcPr>
                <w:p w14:paraId="3E83D8C3">
                  <w:pPr>
                    <w:widowControl/>
                    <w:jc w:val="center"/>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要求</w:t>
                  </w:r>
                </w:p>
              </w:tc>
              <w:tc>
                <w:tcPr>
                  <w:tcW w:w="2110" w:type="dxa"/>
                  <w:tcBorders>
                    <w:top w:val="single" w:color="auto" w:sz="4" w:space="0"/>
                    <w:left w:val="single" w:color="auto" w:sz="4" w:space="0"/>
                    <w:bottom w:val="single" w:color="auto" w:sz="4" w:space="0"/>
                    <w:right w:val="single" w:color="auto" w:sz="4" w:space="0"/>
                  </w:tcBorders>
                  <w:vAlign w:val="center"/>
                </w:tcPr>
                <w:p w14:paraId="7B196E54">
                  <w:pPr>
                    <w:rPr>
                      <w:rFonts w:hint="default" w:ascii="Times New Roman" w:hAnsi="Times New Roman" w:cs="Times New Roman"/>
                      <w:color w:val="000000"/>
                      <w:kern w:val="0"/>
                      <w:sz w:val="18"/>
                      <w:szCs w:val="18"/>
                    </w:rPr>
                  </w:pPr>
                  <w:r>
                    <w:rPr>
                      <w:rFonts w:hint="default" w:ascii="Times New Roman" w:hAnsi="Times New Roman" w:cs="Times New Roman"/>
                      <w:color w:val="000000"/>
                      <w:kern w:val="0"/>
                      <w:sz w:val="18"/>
                      <w:szCs w:val="18"/>
                    </w:rPr>
                    <w:t>项目建成后按照要求进行排污单位自行监测，满足要求</w:t>
                  </w:r>
                </w:p>
              </w:tc>
            </w:tr>
          </w:tbl>
          <w:p w14:paraId="5100FF42">
            <w:pPr>
              <w:pStyle w:val="2"/>
              <w:spacing w:after="0" w:line="360" w:lineRule="auto"/>
              <w:ind w:left="0" w:leftChars="0" w:firstLine="31680"/>
              <w:rPr>
                <w:rFonts w:hint="default" w:ascii="Times New Roman" w:hAnsi="Times New Roman" w:cs="Times New Roman"/>
                <w:bCs/>
                <w:sz w:val="21"/>
                <w:szCs w:val="21"/>
              </w:rPr>
            </w:pPr>
            <w:r>
              <w:rPr>
                <w:rFonts w:hint="default" w:ascii="Times New Roman" w:hAnsi="Times New Roman" w:cs="Times New Roman"/>
                <w:bCs/>
                <w:sz w:val="21"/>
                <w:szCs w:val="21"/>
              </w:rPr>
              <w:t>综上，本项目符合</w:t>
            </w:r>
            <w:r>
              <w:rPr>
                <w:rFonts w:hint="default" w:ascii="Times New Roman" w:hAnsi="Times New Roman" w:cs="Times New Roman"/>
                <w:sz w:val="21"/>
                <w:szCs w:val="21"/>
              </w:rPr>
              <w:t>《关于加快推进重点行业挥发性有机物综合治理工作的通知》（淄环发[2020]31号）</w:t>
            </w:r>
            <w:r>
              <w:rPr>
                <w:rFonts w:hint="default" w:ascii="Times New Roman" w:hAnsi="Times New Roman" w:cs="Times New Roman"/>
                <w:bCs/>
                <w:sz w:val="21"/>
                <w:szCs w:val="21"/>
              </w:rPr>
              <w:t>相关内容。</w:t>
            </w:r>
          </w:p>
          <w:p w14:paraId="59D1C654">
            <w:pPr>
              <w:spacing w:line="360" w:lineRule="auto"/>
              <w:ind w:firstLine="420" w:firstLineChars="200"/>
              <w:rPr>
                <w:rFonts w:hint="default" w:ascii="Times New Roman" w:hAnsi="Times New Roman" w:cs="Times New Roman"/>
                <w:sz w:val="24"/>
              </w:rPr>
            </w:pPr>
            <w:r>
              <w:rPr>
                <w:rFonts w:hint="default" w:ascii="Times New Roman" w:hAnsi="Times New Roman" w:cs="Times New Roman"/>
                <w:bCs/>
              </w:rPr>
              <w:t>（7）</w:t>
            </w:r>
            <w:r>
              <w:rPr>
                <w:rFonts w:hint="default" w:ascii="Times New Roman" w:hAnsi="Times New Roman" w:cs="Times New Roman"/>
                <w:szCs w:val="21"/>
              </w:rPr>
              <w:t>与《挥发性有机物无组织排放控制标准》（GB37822-2019）符合性分析</w:t>
            </w:r>
          </w:p>
          <w:p w14:paraId="7A7E9ED2">
            <w:pPr>
              <w:pStyle w:val="200"/>
              <w:spacing w:beforeLines="0" w:afterLines="0" w:line="240" w:lineRule="auto"/>
              <w:rPr>
                <w:rFonts w:hint="default" w:ascii="Times New Roman" w:hAnsi="Times New Roman" w:cs="Times New Roman"/>
                <w:b/>
                <w:bCs/>
                <w:szCs w:val="21"/>
              </w:rPr>
            </w:pPr>
            <w:r>
              <w:rPr>
                <w:rFonts w:hint="default" w:ascii="Times New Roman" w:hAnsi="Times New Roman" w:cs="Times New Roman"/>
                <w:b/>
                <w:bCs/>
                <w:szCs w:val="21"/>
              </w:rPr>
              <w:t>表1-1</w:t>
            </w:r>
            <w:r>
              <w:rPr>
                <w:rFonts w:hint="eastAsia" w:ascii="Times New Roman" w:cs="Times New Roman"/>
                <w:b/>
                <w:bCs/>
                <w:szCs w:val="21"/>
                <w:lang w:val="en-US" w:eastAsia="zh-CN"/>
              </w:rPr>
              <w:t>2</w:t>
            </w:r>
            <w:r>
              <w:rPr>
                <w:rFonts w:hint="default" w:ascii="Times New Roman" w:hAnsi="Times New Roman" w:cs="Times New Roman"/>
                <w:b/>
                <w:bCs/>
                <w:szCs w:val="21"/>
              </w:rPr>
              <w:t>与《挥发性有机物无组织排放控制标准》（GB37822-2019）符合性分析</w:t>
            </w:r>
          </w:p>
          <w:tbl>
            <w:tblPr>
              <w:tblStyle w:val="8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0"/>
              <w:gridCol w:w="4215"/>
              <w:gridCol w:w="1940"/>
              <w:gridCol w:w="812"/>
            </w:tblGrid>
            <w:tr w14:paraId="3D020D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7C6290FC">
                  <w:pPr>
                    <w:pStyle w:val="2"/>
                    <w:spacing w:after="0"/>
                    <w:ind w:left="0" w:leftChars="0" w:firstLine="0" w:firstLineChars="0"/>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控制要求</w:t>
                  </w:r>
                </w:p>
              </w:tc>
              <w:tc>
                <w:tcPr>
                  <w:tcW w:w="2586" w:type="pct"/>
                  <w:tcBorders>
                    <w:tl2br w:val="nil"/>
                    <w:tr2bl w:val="nil"/>
                  </w:tcBorders>
                  <w:vAlign w:val="center"/>
                </w:tcPr>
                <w:p w14:paraId="73754B36">
                  <w:pPr>
                    <w:pStyle w:val="2"/>
                    <w:spacing w:after="0"/>
                    <w:ind w:left="0" w:leftChars="0" w:firstLine="0" w:firstLineChars="0"/>
                    <w:jc w:val="center"/>
                    <w:rPr>
                      <w:rFonts w:hint="default" w:ascii="Times New Roman" w:hAnsi="Times New Roman" w:cs="Times New Roman"/>
                      <w:b/>
                      <w:bCs/>
                      <w:sz w:val="18"/>
                      <w:szCs w:val="18"/>
                    </w:rPr>
                  </w:pPr>
                  <w:r>
                    <w:rPr>
                      <w:rFonts w:hint="default" w:ascii="Times New Roman" w:hAnsi="Times New Roman" w:cs="Times New Roman"/>
                      <w:b/>
                      <w:bCs/>
                      <w:sz w:val="18"/>
                      <w:szCs w:val="18"/>
                    </w:rPr>
                    <w:t>规定</w:t>
                  </w:r>
                </w:p>
              </w:tc>
              <w:tc>
                <w:tcPr>
                  <w:tcW w:w="1190" w:type="pct"/>
                  <w:tcBorders>
                    <w:tl2br w:val="nil"/>
                    <w:tr2bl w:val="nil"/>
                  </w:tcBorders>
                  <w:vAlign w:val="center"/>
                </w:tcPr>
                <w:p w14:paraId="6B94BE0A">
                  <w:pPr>
                    <w:pStyle w:val="2"/>
                    <w:spacing w:after="0"/>
                    <w:ind w:left="0" w:leftChars="0" w:firstLine="0" w:firstLineChars="0"/>
                    <w:jc w:val="center"/>
                    <w:rPr>
                      <w:rFonts w:hint="default" w:ascii="Times New Roman" w:hAnsi="Times New Roman" w:cs="Times New Roman"/>
                      <w:b/>
                      <w:bCs/>
                      <w:sz w:val="18"/>
                      <w:szCs w:val="18"/>
                    </w:rPr>
                  </w:pPr>
                  <w:r>
                    <w:rPr>
                      <w:rFonts w:hint="default" w:ascii="Times New Roman" w:hAnsi="Times New Roman" w:cs="Times New Roman"/>
                      <w:b/>
                      <w:bCs/>
                      <w:sz w:val="18"/>
                      <w:szCs w:val="18"/>
                    </w:rPr>
                    <w:t>本项目情况</w:t>
                  </w:r>
                </w:p>
              </w:tc>
              <w:tc>
                <w:tcPr>
                  <w:tcW w:w="498" w:type="pct"/>
                  <w:tcBorders>
                    <w:tl2br w:val="nil"/>
                    <w:tr2bl w:val="nil"/>
                  </w:tcBorders>
                  <w:vAlign w:val="center"/>
                </w:tcPr>
                <w:p w14:paraId="1641D2E6">
                  <w:pPr>
                    <w:pStyle w:val="2"/>
                    <w:spacing w:after="0"/>
                    <w:ind w:left="0" w:leftChars="0" w:firstLine="0" w:firstLineChars="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符合情况</w:t>
                  </w:r>
                </w:p>
              </w:tc>
            </w:tr>
            <w:tr w14:paraId="6186B8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24" w:type="pct"/>
                  <w:tcBorders>
                    <w:tl2br w:val="nil"/>
                    <w:tr2bl w:val="nil"/>
                  </w:tcBorders>
                  <w:vAlign w:val="center"/>
                </w:tcPr>
                <w:p w14:paraId="478A3484">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5.VOCs物料储存无组织排放控制要求</w:t>
                  </w:r>
                </w:p>
              </w:tc>
              <w:tc>
                <w:tcPr>
                  <w:tcW w:w="2586" w:type="pct"/>
                  <w:tcBorders>
                    <w:tl2br w:val="nil"/>
                    <w:tr2bl w:val="nil"/>
                  </w:tcBorders>
                  <w:vAlign w:val="center"/>
                </w:tcPr>
                <w:p w14:paraId="6B86D5EF">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5.1.1VOCs物料应储存于密闭的容器、包装袋、储罐、储库、料仓中。</w:t>
                  </w:r>
                </w:p>
                <w:p w14:paraId="65ED1CC3">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5.1.2盛装VOCs物料的容器或包装袋应存放于室内，或存放于设置有雨棚、遮阳和防渗设施的专用场地，盛装VOCs物料的容器和包装袋在非取用状态是应加盖、封口，保持密闭。</w:t>
                  </w:r>
                </w:p>
              </w:tc>
              <w:tc>
                <w:tcPr>
                  <w:tcW w:w="1190" w:type="pct"/>
                  <w:tcBorders>
                    <w:tl2br w:val="nil"/>
                    <w:tr2bl w:val="nil"/>
                  </w:tcBorders>
                  <w:vAlign w:val="center"/>
                </w:tcPr>
                <w:p w14:paraId="3B60A9CD">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本项目</w:t>
                  </w:r>
                  <w:r>
                    <w:rPr>
                      <w:rFonts w:hint="default" w:ascii="Times New Roman" w:hAnsi="Times New Roman" w:cs="Times New Roman"/>
                      <w:sz w:val="18"/>
                      <w:szCs w:val="18"/>
                      <w:lang w:val="en-US" w:eastAsia="zh-CN"/>
                    </w:rPr>
                    <w:t>VOCs物</w:t>
                  </w:r>
                  <w:r>
                    <w:rPr>
                      <w:rFonts w:hint="default" w:ascii="Times New Roman" w:hAnsi="Times New Roman" w:cs="Times New Roman"/>
                      <w:sz w:val="18"/>
                      <w:szCs w:val="18"/>
                    </w:rPr>
                    <w:t>料储存在密闭的容器</w:t>
                  </w:r>
                  <w:r>
                    <w:rPr>
                      <w:rFonts w:hint="default" w:ascii="Times New Roman" w:hAnsi="Times New Roman" w:cs="Times New Roman"/>
                      <w:sz w:val="18"/>
                      <w:szCs w:val="18"/>
                      <w:lang w:eastAsia="zh-CN"/>
                    </w:rPr>
                    <w:t>内</w:t>
                  </w:r>
                  <w:r>
                    <w:rPr>
                      <w:rFonts w:hint="default" w:ascii="Times New Roman" w:hAnsi="Times New Roman" w:cs="Times New Roman"/>
                      <w:sz w:val="18"/>
                      <w:szCs w:val="18"/>
                    </w:rPr>
                    <w:t>，</w:t>
                  </w:r>
                  <w:r>
                    <w:rPr>
                      <w:rFonts w:hint="default" w:ascii="Times New Roman" w:hAnsi="Times New Roman" w:cs="Times New Roman"/>
                      <w:sz w:val="18"/>
                      <w:szCs w:val="18"/>
                      <w:lang w:eastAsia="zh-CN"/>
                    </w:rPr>
                    <w:t>存放在室内，</w:t>
                  </w:r>
                  <w:r>
                    <w:rPr>
                      <w:rFonts w:hint="default" w:ascii="Times New Roman" w:hAnsi="Times New Roman" w:cs="Times New Roman"/>
                      <w:sz w:val="18"/>
                      <w:szCs w:val="18"/>
                    </w:rPr>
                    <w:t>盛装VOCs物料的容器和包装袋在非取用状态</w:t>
                  </w:r>
                  <w:r>
                    <w:rPr>
                      <w:rFonts w:hint="default" w:ascii="Times New Roman" w:hAnsi="Times New Roman" w:cs="Times New Roman"/>
                      <w:sz w:val="18"/>
                      <w:szCs w:val="18"/>
                      <w:lang w:eastAsia="zh-CN"/>
                    </w:rPr>
                    <w:t>均</w:t>
                  </w:r>
                  <w:r>
                    <w:rPr>
                      <w:rFonts w:hint="default" w:ascii="Times New Roman" w:hAnsi="Times New Roman" w:cs="Times New Roman"/>
                      <w:sz w:val="18"/>
                      <w:szCs w:val="18"/>
                    </w:rPr>
                    <w:t>加盖、封口，保持密闭。</w:t>
                  </w:r>
                </w:p>
              </w:tc>
              <w:tc>
                <w:tcPr>
                  <w:tcW w:w="498" w:type="pct"/>
                  <w:vMerge w:val="restart"/>
                  <w:tcBorders>
                    <w:tl2br w:val="nil"/>
                    <w:tr2bl w:val="nil"/>
                  </w:tcBorders>
                  <w:vAlign w:val="center"/>
                </w:tcPr>
                <w:p w14:paraId="67590394">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305E51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6C929E08">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6.VOCs物料转移和输送无组织排放控制要求</w:t>
                  </w:r>
                </w:p>
              </w:tc>
              <w:tc>
                <w:tcPr>
                  <w:tcW w:w="2586" w:type="pct"/>
                  <w:tcBorders>
                    <w:tl2br w:val="nil"/>
                    <w:tr2bl w:val="nil"/>
                  </w:tcBorders>
                  <w:vAlign w:val="center"/>
                </w:tcPr>
                <w:p w14:paraId="277405EA">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6.1.1液态VOCs物料应采用密闭管道输送。采用非管道输送方式转移液态VOCs物料时，应采用密闭容器、罐车。</w:t>
                  </w:r>
                </w:p>
                <w:p w14:paraId="5EED62D9">
                  <w:pPr>
                    <w:jc w:val="center"/>
                    <w:rPr>
                      <w:rFonts w:hint="default" w:ascii="Times New Roman" w:hAnsi="Times New Roman" w:cs="Times New Roman"/>
                      <w:sz w:val="18"/>
                      <w:szCs w:val="18"/>
                    </w:rPr>
                  </w:pPr>
                  <w:r>
                    <w:rPr>
                      <w:rFonts w:hint="default" w:ascii="Times New Roman" w:hAnsi="Times New Roman" w:cs="Times New Roman"/>
                      <w:sz w:val="18"/>
                      <w:szCs w:val="18"/>
                    </w:rPr>
                    <w:t>6.1.2粉状、粒状VOCs物料应采用气力输送设备、管状带式输送机、螺旋输送机等密闭输送方式或采用密闭的包装袋、容器或罐车进行物料转移。</w:t>
                  </w:r>
                </w:p>
              </w:tc>
              <w:tc>
                <w:tcPr>
                  <w:tcW w:w="1190" w:type="pct"/>
                  <w:tcBorders>
                    <w:tl2br w:val="nil"/>
                    <w:tr2bl w:val="nil"/>
                  </w:tcBorders>
                  <w:vAlign w:val="center"/>
                </w:tcPr>
                <w:p w14:paraId="044A7987">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本项目</w:t>
                  </w:r>
                  <w:r>
                    <w:rPr>
                      <w:rFonts w:hint="default" w:ascii="Times New Roman" w:hAnsi="Times New Roman" w:cs="Times New Roman"/>
                      <w:sz w:val="18"/>
                      <w:szCs w:val="18"/>
                      <w:lang w:val="en-US" w:eastAsia="zh-CN"/>
                    </w:rPr>
                    <w:t>VOCs</w:t>
                  </w:r>
                  <w:r>
                    <w:rPr>
                      <w:rFonts w:hint="default" w:ascii="Times New Roman" w:hAnsi="Times New Roman" w:cs="Times New Roman"/>
                      <w:sz w:val="18"/>
                      <w:szCs w:val="18"/>
                    </w:rPr>
                    <w:t>物料</w:t>
                  </w:r>
                  <w:r>
                    <w:rPr>
                      <w:rFonts w:hint="eastAsia" w:cs="Times New Roman"/>
                      <w:sz w:val="18"/>
                      <w:szCs w:val="18"/>
                      <w:lang w:eastAsia="zh-CN"/>
                    </w:rPr>
                    <w:t>主要为不饱和聚酯树脂及油性漆、稀释剂，均</w:t>
                  </w:r>
                  <w:r>
                    <w:rPr>
                      <w:rFonts w:hint="default" w:ascii="Times New Roman" w:hAnsi="Times New Roman" w:cs="Times New Roman"/>
                      <w:sz w:val="18"/>
                      <w:szCs w:val="18"/>
                      <w:lang w:eastAsia="zh-CN"/>
                    </w:rPr>
                    <w:t>为液态，转移和输送过程均保持密闭</w:t>
                  </w:r>
                  <w:r>
                    <w:rPr>
                      <w:rFonts w:hint="default" w:ascii="Times New Roman" w:hAnsi="Times New Roman" w:cs="Times New Roman"/>
                      <w:sz w:val="18"/>
                      <w:szCs w:val="18"/>
                    </w:rPr>
                    <w:t>。</w:t>
                  </w:r>
                </w:p>
              </w:tc>
              <w:tc>
                <w:tcPr>
                  <w:tcW w:w="498" w:type="pct"/>
                  <w:vMerge w:val="continue"/>
                  <w:tcBorders>
                    <w:tl2br w:val="nil"/>
                    <w:tr2bl w:val="nil"/>
                  </w:tcBorders>
                  <w:vAlign w:val="center"/>
                </w:tcPr>
                <w:p w14:paraId="179F03B0">
                  <w:pPr>
                    <w:pStyle w:val="2"/>
                    <w:spacing w:after="0"/>
                    <w:ind w:left="0" w:leftChars="0" w:firstLine="0" w:firstLineChars="0"/>
                    <w:jc w:val="center"/>
                    <w:rPr>
                      <w:rFonts w:hint="default" w:ascii="Times New Roman" w:hAnsi="Times New Roman" w:cs="Times New Roman"/>
                      <w:sz w:val="18"/>
                      <w:szCs w:val="18"/>
                    </w:rPr>
                  </w:pPr>
                </w:p>
              </w:tc>
            </w:tr>
            <w:tr w14:paraId="02769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2A595631">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7.2含VOCs产品的使用过程</w:t>
                  </w:r>
                </w:p>
              </w:tc>
              <w:tc>
                <w:tcPr>
                  <w:tcW w:w="2586" w:type="pct"/>
                  <w:tcBorders>
                    <w:tl2br w:val="nil"/>
                    <w:tr2bl w:val="nil"/>
                  </w:tcBorders>
                  <w:vAlign w:val="center"/>
                </w:tcPr>
                <w:p w14:paraId="5E7CE63D">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7.2.1VOCs质量占比大于等于10%的含VOCs产品，其使用过程应采用密闭设备或在密闭空间内操作，废气应排至VOCs废气收集处理系统；无法密闭的，应采取局部气体收集措施，废气应排至VOCs废气收集处理系统。</w:t>
                  </w:r>
                </w:p>
              </w:tc>
              <w:tc>
                <w:tcPr>
                  <w:tcW w:w="1190" w:type="pct"/>
                  <w:tcBorders>
                    <w:tl2br w:val="nil"/>
                    <w:tr2bl w:val="nil"/>
                  </w:tcBorders>
                  <w:vAlign w:val="center"/>
                </w:tcPr>
                <w:p w14:paraId="73E2B535">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项目</w:t>
                  </w:r>
                  <w:r>
                    <w:rPr>
                      <w:rFonts w:hint="default" w:ascii="Times New Roman" w:hAnsi="Times New Roman" w:cs="Times New Roman"/>
                      <w:sz w:val="18"/>
                      <w:szCs w:val="18"/>
                      <w:lang w:val="en-US" w:eastAsia="zh-CN"/>
                    </w:rPr>
                    <w:t>VOCs</w:t>
                  </w:r>
                  <w:r>
                    <w:rPr>
                      <w:rFonts w:hint="default" w:ascii="Times New Roman" w:hAnsi="Times New Roman" w:cs="Times New Roman"/>
                      <w:sz w:val="18"/>
                      <w:szCs w:val="18"/>
                    </w:rPr>
                    <w:t>物料</w:t>
                  </w:r>
                  <w:r>
                    <w:rPr>
                      <w:rFonts w:hint="eastAsia" w:cs="Times New Roman"/>
                      <w:sz w:val="18"/>
                      <w:szCs w:val="18"/>
                      <w:lang w:eastAsia="zh-CN"/>
                    </w:rPr>
                    <w:t>油性漆、稀释剂</w:t>
                  </w:r>
                  <w:r>
                    <w:rPr>
                      <w:rFonts w:hint="default" w:ascii="Times New Roman" w:hAnsi="Times New Roman" w:cs="Times New Roman"/>
                      <w:sz w:val="18"/>
                      <w:szCs w:val="18"/>
                      <w:lang w:eastAsia="zh-CN"/>
                    </w:rPr>
                    <w:t>使用过程在密闭空间内操作，</w:t>
                  </w:r>
                  <w:r>
                    <w:rPr>
                      <w:rFonts w:hint="eastAsia" w:cs="Times New Roman"/>
                      <w:sz w:val="18"/>
                      <w:szCs w:val="18"/>
                      <w:lang w:eastAsia="zh-CN"/>
                    </w:rPr>
                    <w:t>不饱和聚酯树脂使用区域上方设置集气罩，</w:t>
                  </w:r>
                  <w:r>
                    <w:rPr>
                      <w:rFonts w:hint="default" w:ascii="Times New Roman" w:hAnsi="Times New Roman" w:cs="Times New Roman"/>
                      <w:sz w:val="18"/>
                      <w:szCs w:val="18"/>
                      <w:lang w:eastAsia="zh-CN"/>
                    </w:rPr>
                    <w:t>废气均排至</w:t>
                  </w:r>
                  <w:r>
                    <w:rPr>
                      <w:rFonts w:hint="default" w:ascii="Times New Roman" w:hAnsi="Times New Roman" w:cs="Times New Roman"/>
                      <w:sz w:val="18"/>
                      <w:szCs w:val="18"/>
                      <w:lang w:val="en-US" w:eastAsia="zh-CN"/>
                    </w:rPr>
                    <w:t>VOCs</w:t>
                  </w:r>
                  <w:r>
                    <w:rPr>
                      <w:rFonts w:hint="default" w:ascii="Times New Roman" w:hAnsi="Times New Roman" w:cs="Times New Roman"/>
                      <w:sz w:val="18"/>
                      <w:szCs w:val="18"/>
                    </w:rPr>
                    <w:t>废气收集处理系统。</w:t>
                  </w:r>
                </w:p>
              </w:tc>
              <w:tc>
                <w:tcPr>
                  <w:tcW w:w="498" w:type="pct"/>
                  <w:tcBorders>
                    <w:tl2br w:val="nil"/>
                    <w:tr2bl w:val="nil"/>
                  </w:tcBorders>
                  <w:vAlign w:val="center"/>
                </w:tcPr>
                <w:p w14:paraId="52A36373">
                  <w:pPr>
                    <w:jc w:val="center"/>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6D6ED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3C4096A7">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7.3其他要求</w:t>
                  </w:r>
                </w:p>
              </w:tc>
              <w:tc>
                <w:tcPr>
                  <w:tcW w:w="2586" w:type="pct"/>
                  <w:tcBorders>
                    <w:tl2br w:val="nil"/>
                    <w:tr2bl w:val="nil"/>
                  </w:tcBorders>
                  <w:vAlign w:val="center"/>
                </w:tcPr>
                <w:p w14:paraId="0574ECB9">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7.3.1企业应建立台账，记录含VOCs原辅材料和含VOCs产品的名称、使用量、回收量、废气量、去向以及VOCs含量等信息。台账保存期限不少于3年。</w:t>
                  </w:r>
                </w:p>
              </w:tc>
              <w:tc>
                <w:tcPr>
                  <w:tcW w:w="1190" w:type="pct"/>
                  <w:tcBorders>
                    <w:tl2br w:val="nil"/>
                    <w:tr2bl w:val="nil"/>
                  </w:tcBorders>
                  <w:vAlign w:val="center"/>
                </w:tcPr>
                <w:p w14:paraId="5645427E">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本项目企业按照要求建立台账，记录含VOCs原材料的相关信息，台账保存不少于3年。</w:t>
                  </w:r>
                </w:p>
              </w:tc>
              <w:tc>
                <w:tcPr>
                  <w:tcW w:w="498" w:type="pct"/>
                  <w:tcBorders>
                    <w:tl2br w:val="nil"/>
                    <w:tr2bl w:val="nil"/>
                  </w:tcBorders>
                  <w:vAlign w:val="center"/>
                </w:tcPr>
                <w:p w14:paraId="3D16994C">
                  <w:pPr>
                    <w:jc w:val="center"/>
                    <w:rPr>
                      <w:rFonts w:hint="default" w:ascii="Times New Roman" w:hAnsi="Times New Roman" w:cs="Times New Roman"/>
                      <w:sz w:val="18"/>
                      <w:szCs w:val="18"/>
                    </w:rPr>
                  </w:pPr>
                  <w:r>
                    <w:rPr>
                      <w:rFonts w:hint="default" w:ascii="Times New Roman" w:hAnsi="Times New Roman" w:cs="Times New Roman"/>
                      <w:sz w:val="18"/>
                      <w:szCs w:val="18"/>
                    </w:rPr>
                    <w:t>符合</w:t>
                  </w:r>
                </w:p>
              </w:tc>
            </w:tr>
            <w:tr w14:paraId="2880D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6" w:hRule="atLeast"/>
                <w:jc w:val="center"/>
              </w:trPr>
              <w:tc>
                <w:tcPr>
                  <w:tcW w:w="724" w:type="pct"/>
                  <w:tcBorders>
                    <w:tl2br w:val="nil"/>
                    <w:tr2bl w:val="nil"/>
                  </w:tcBorders>
                  <w:vAlign w:val="center"/>
                </w:tcPr>
                <w:p w14:paraId="698AD89A">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10.VOCs无组织排放废气收集处理系统要求</w:t>
                  </w:r>
                </w:p>
              </w:tc>
              <w:tc>
                <w:tcPr>
                  <w:tcW w:w="2586" w:type="pct"/>
                  <w:tcBorders>
                    <w:tl2br w:val="nil"/>
                    <w:tr2bl w:val="nil"/>
                  </w:tcBorders>
                  <w:vAlign w:val="center"/>
                </w:tcPr>
                <w:p w14:paraId="039EA345">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10.1.2VOCs废气收集处理系统应与生产工艺设备同步运行。VOCs废气收集处理系统发生故障或检修时，对应的生产工艺设备应停止运行，待检修完毕后同步投入使用；生产工艺设备不能停止运行或不能及时停止运行的，应设置废气应急处理设施或采取其他替代措施。</w:t>
                  </w:r>
                </w:p>
                <w:p w14:paraId="28D79B35">
                  <w:pPr>
                    <w:jc w:val="center"/>
                    <w:rPr>
                      <w:rFonts w:hint="default" w:ascii="Times New Roman" w:hAnsi="Times New Roman" w:cs="Times New Roman"/>
                      <w:sz w:val="18"/>
                      <w:szCs w:val="18"/>
                    </w:rPr>
                  </w:pPr>
                  <w:r>
                    <w:rPr>
                      <w:rFonts w:hint="default" w:ascii="Times New Roman" w:hAnsi="Times New Roman" w:cs="Times New Roman"/>
                      <w:sz w:val="18"/>
                      <w:szCs w:val="18"/>
                    </w:rPr>
                    <w:t>10.3.1VOCs废气收集处理系统污染物排放应符合DB16297或相关行业排放标准的规定。</w:t>
                  </w:r>
                </w:p>
              </w:tc>
              <w:tc>
                <w:tcPr>
                  <w:tcW w:w="1190" w:type="pct"/>
                  <w:tcBorders>
                    <w:tl2br w:val="nil"/>
                    <w:tr2bl w:val="nil"/>
                  </w:tcBorders>
                  <w:vAlign w:val="center"/>
                </w:tcPr>
                <w:p w14:paraId="28AB2058">
                  <w:pPr>
                    <w:pStyle w:val="2"/>
                    <w:spacing w:after="0"/>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rPr>
                    <w:t>本项目VOCs废气收集处理系统与生产工艺设备同步运行</w:t>
                  </w:r>
                  <w:r>
                    <w:rPr>
                      <w:rFonts w:hint="default" w:ascii="Times New Roman" w:hAnsi="Times New Roman" w:cs="Times New Roman"/>
                      <w:sz w:val="18"/>
                      <w:szCs w:val="18"/>
                      <w:lang w:eastAsia="zh-CN"/>
                    </w:rPr>
                    <w:t>。根据主要环境影响和保护措施章节分析，</w:t>
                  </w:r>
                  <w:r>
                    <w:rPr>
                      <w:rFonts w:hint="default" w:ascii="Times New Roman" w:hAnsi="Times New Roman" w:cs="Times New Roman"/>
                      <w:sz w:val="18"/>
                      <w:szCs w:val="18"/>
                      <w:lang w:val="en-US" w:eastAsia="zh-CN"/>
                    </w:rPr>
                    <w:t>VOCs废气均能达标排放。</w:t>
                  </w:r>
                </w:p>
              </w:tc>
              <w:tc>
                <w:tcPr>
                  <w:tcW w:w="498" w:type="pct"/>
                  <w:tcBorders>
                    <w:tl2br w:val="nil"/>
                    <w:tr2bl w:val="nil"/>
                  </w:tcBorders>
                  <w:vAlign w:val="center"/>
                </w:tcPr>
                <w:p w14:paraId="51E68571">
                  <w:pPr>
                    <w:jc w:val="center"/>
                    <w:rPr>
                      <w:rFonts w:hint="default" w:ascii="Times New Roman" w:hAnsi="Times New Roman" w:cs="Times New Roman"/>
                      <w:sz w:val="18"/>
                      <w:szCs w:val="18"/>
                    </w:rPr>
                  </w:pPr>
                  <w:r>
                    <w:rPr>
                      <w:rFonts w:hint="default" w:ascii="Times New Roman" w:hAnsi="Times New Roman" w:cs="Times New Roman"/>
                      <w:sz w:val="18"/>
                      <w:szCs w:val="18"/>
                    </w:rPr>
                    <w:t>符合</w:t>
                  </w:r>
                </w:p>
              </w:tc>
            </w:tr>
          </w:tbl>
          <w:p w14:paraId="0A23A4EE">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综上，</w:t>
            </w:r>
            <w:r>
              <w:rPr>
                <w:rFonts w:hint="default" w:ascii="Times New Roman" w:hAnsi="Times New Roman" w:cs="Times New Roman"/>
                <w:bCs/>
                <w:szCs w:val="21"/>
              </w:rPr>
              <w:t>项目的建设符合</w:t>
            </w:r>
            <w:r>
              <w:rPr>
                <w:rFonts w:hint="default" w:ascii="Times New Roman" w:hAnsi="Times New Roman" w:cs="Times New Roman"/>
                <w:szCs w:val="21"/>
              </w:rPr>
              <w:t>《挥发性有机物无组织排放控制标准》（GB37822-2019）要求。</w:t>
            </w:r>
          </w:p>
          <w:p w14:paraId="299CBA79">
            <w:pPr>
              <w:spacing w:line="360" w:lineRule="auto"/>
              <w:ind w:firstLine="420" w:firstLineChars="200"/>
              <w:rPr>
                <w:rFonts w:hint="default" w:ascii="Times New Roman" w:hAnsi="Times New Roman" w:cs="Times New Roman"/>
                <w:bCs/>
              </w:rPr>
            </w:pPr>
            <w:r>
              <w:rPr>
                <w:rFonts w:hint="default" w:ascii="Times New Roman" w:hAnsi="Times New Roman" w:cs="Times New Roman"/>
                <w:bCs/>
                <w:lang w:eastAsia="zh-CN"/>
              </w:rPr>
              <w:t>（</w:t>
            </w:r>
            <w:r>
              <w:rPr>
                <w:rFonts w:hint="default" w:ascii="Times New Roman" w:hAnsi="Times New Roman" w:cs="Times New Roman"/>
                <w:bCs/>
                <w:lang w:val="en-US" w:eastAsia="zh-CN"/>
              </w:rPr>
              <w:t>8</w:t>
            </w:r>
            <w:r>
              <w:rPr>
                <w:rFonts w:hint="default" w:ascii="Times New Roman" w:hAnsi="Times New Roman" w:cs="Times New Roman"/>
                <w:bCs/>
                <w:lang w:eastAsia="zh-CN"/>
              </w:rPr>
              <w:t>）</w:t>
            </w:r>
            <w:r>
              <w:rPr>
                <w:rFonts w:hint="default" w:ascii="Times New Roman" w:hAnsi="Times New Roman" w:cs="Times New Roman"/>
                <w:bCs/>
              </w:rPr>
              <w:t>与关于印发《2022年度淄博市挥发性有机物治理和臭氧管控方案》的通知（淄环委办〔2022〕12号）的符合性分析</w:t>
            </w:r>
          </w:p>
          <w:p w14:paraId="4F47B4B2">
            <w:pPr>
              <w:spacing w:line="36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表1-1</w:t>
            </w:r>
            <w:r>
              <w:rPr>
                <w:rFonts w:hint="default" w:ascii="Times New Roman" w:hAnsi="Times New Roman" w:eastAsia="宋体" w:cs="Times New Roman"/>
                <w:b/>
                <w:bCs/>
                <w:szCs w:val="21"/>
                <w:lang w:val="en-US" w:eastAsia="zh-CN"/>
              </w:rPr>
              <w:t>3</w:t>
            </w:r>
            <w:r>
              <w:rPr>
                <w:rFonts w:hint="default" w:ascii="Times New Roman" w:hAnsi="Times New Roman" w:eastAsia="宋体" w:cs="Times New Roman"/>
                <w:b/>
                <w:bCs/>
                <w:szCs w:val="21"/>
              </w:rPr>
              <w:t xml:space="preserve"> 项目与淄环委办〔2022〕12号的符合性分析</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53"/>
              <w:gridCol w:w="5295"/>
              <w:gridCol w:w="1670"/>
              <w:gridCol w:w="652"/>
            </w:tblGrid>
            <w:tr w14:paraId="5E696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5232" w:type="dxa"/>
                  <w:gridSpan w:val="2"/>
                  <w:noWrap w:val="0"/>
                  <w:vAlign w:val="center"/>
                </w:tcPr>
                <w:p w14:paraId="78A6BF37">
                  <w:pPr>
                    <w:pStyle w:val="200"/>
                    <w:spacing w:beforeLines="0" w:afterLines="0" w:line="240" w:lineRule="exact"/>
                    <w:rPr>
                      <w:rFonts w:hint="default" w:ascii="Times New Roman" w:hAnsi="Times New Roman" w:cs="Times New Roman"/>
                      <w:b/>
                      <w:bCs/>
                      <w:color w:val="000000"/>
                      <w:sz w:val="18"/>
                      <w:szCs w:val="15"/>
                    </w:rPr>
                  </w:pPr>
                  <w:r>
                    <w:rPr>
                      <w:rFonts w:hint="default" w:ascii="Times New Roman" w:hAnsi="Times New Roman" w:cs="Times New Roman"/>
                      <w:b/>
                      <w:bCs/>
                      <w:color w:val="000000"/>
                      <w:sz w:val="18"/>
                      <w:szCs w:val="15"/>
                    </w:rPr>
                    <w:t>文件要求</w:t>
                  </w:r>
                </w:p>
              </w:tc>
              <w:tc>
                <w:tcPr>
                  <w:tcW w:w="1520" w:type="dxa"/>
                  <w:noWrap w:val="0"/>
                  <w:vAlign w:val="center"/>
                </w:tcPr>
                <w:p w14:paraId="434E94E9">
                  <w:pPr>
                    <w:pStyle w:val="200"/>
                    <w:spacing w:beforeLines="0" w:afterLines="0" w:line="240" w:lineRule="exact"/>
                    <w:rPr>
                      <w:rFonts w:hint="default" w:ascii="Times New Roman" w:hAnsi="Times New Roman" w:cs="Times New Roman"/>
                      <w:b/>
                      <w:bCs/>
                      <w:color w:val="000000"/>
                      <w:sz w:val="18"/>
                      <w:szCs w:val="15"/>
                    </w:rPr>
                  </w:pPr>
                  <w:r>
                    <w:rPr>
                      <w:rFonts w:hint="default" w:ascii="Times New Roman" w:hAnsi="Times New Roman" w:cs="Times New Roman"/>
                      <w:b/>
                      <w:bCs/>
                      <w:color w:val="000000"/>
                      <w:sz w:val="18"/>
                      <w:szCs w:val="15"/>
                    </w:rPr>
                    <w:t>项目情况</w:t>
                  </w:r>
                </w:p>
              </w:tc>
              <w:tc>
                <w:tcPr>
                  <w:tcW w:w="593" w:type="dxa"/>
                  <w:noWrap w:val="0"/>
                  <w:tcMar>
                    <w:left w:w="28" w:type="dxa"/>
                    <w:right w:w="28" w:type="dxa"/>
                  </w:tcMar>
                  <w:vAlign w:val="center"/>
                </w:tcPr>
                <w:p w14:paraId="6A3CCB42">
                  <w:pPr>
                    <w:pStyle w:val="200"/>
                    <w:spacing w:beforeLines="0" w:afterLines="0" w:line="240" w:lineRule="exact"/>
                    <w:rPr>
                      <w:rFonts w:hint="default" w:ascii="Times New Roman" w:hAnsi="Times New Roman" w:cs="Times New Roman"/>
                      <w:b/>
                      <w:bCs/>
                      <w:color w:val="000000"/>
                      <w:sz w:val="18"/>
                      <w:szCs w:val="15"/>
                    </w:rPr>
                  </w:pPr>
                  <w:r>
                    <w:rPr>
                      <w:rFonts w:hint="default" w:ascii="Times New Roman" w:hAnsi="Times New Roman" w:cs="Times New Roman"/>
                      <w:b/>
                      <w:bCs/>
                      <w:color w:val="000000"/>
                      <w:sz w:val="18"/>
                      <w:szCs w:val="15"/>
                    </w:rPr>
                    <w:t>符合性</w:t>
                  </w:r>
                </w:p>
              </w:tc>
            </w:tr>
            <w:tr w14:paraId="2FFA0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13" w:type="dxa"/>
                  <w:noWrap w:val="0"/>
                  <w:vAlign w:val="center"/>
                </w:tcPr>
                <w:p w14:paraId="5E0A04A1">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加快低挥发性原辅料的替代</w:t>
                  </w:r>
                </w:p>
              </w:tc>
              <w:tc>
                <w:tcPr>
                  <w:tcW w:w="4819" w:type="dxa"/>
                  <w:noWrap w:val="0"/>
                  <w:vAlign w:val="center"/>
                </w:tcPr>
                <w:p w14:paraId="4F35BAC4">
                  <w:pPr>
                    <w:pStyle w:val="200"/>
                    <w:spacing w:beforeLines="0" w:afterLines="0" w:line="240" w:lineRule="exact"/>
                    <w:rPr>
                      <w:rFonts w:hint="default" w:ascii="Times New Roman" w:hAnsi="Times New Roman" w:cs="Times New Roman"/>
                      <w:color w:val="000000"/>
                      <w:sz w:val="18"/>
                      <w:szCs w:val="15"/>
                      <w:shd w:val="clear" w:color="auto" w:fill="FFFFFF"/>
                    </w:rPr>
                  </w:pPr>
                  <w:r>
                    <w:rPr>
                      <w:rFonts w:hint="default" w:ascii="Times New Roman" w:hAnsi="Times New Roman" w:cs="Times New Roman"/>
                      <w:color w:val="000000"/>
                      <w:sz w:val="18"/>
                      <w:szCs w:val="15"/>
                      <w:shd w:val="clear" w:color="auto" w:fill="FFFFFF"/>
                    </w:rPr>
                    <w:t>原辅材料替代政策宣传力度，引导企业优先使用低（无）挥发性涂料、油墨、胶粘剂、涂层剂（油脂）、清洗剂等原辅材料，进一步提高低（无）挥发性原辅材料使用率。以机械加工、家具制造、包装印刷等行业为重点，鼓励企业开展低（无）挥发性原辅材料生产工艺的升级改造，建设源头替代示范项目，形成示范带动效应。企业应建立规范的原辅材料使用台账，各级监督检查须将企业原辅材料台账及挥发性有机物含量检测报告纳入检查内容。</w:t>
                  </w:r>
                </w:p>
              </w:tc>
              <w:tc>
                <w:tcPr>
                  <w:tcW w:w="1520" w:type="dxa"/>
                  <w:noWrap w:val="0"/>
                  <w:vAlign w:val="center"/>
                </w:tcPr>
                <w:p w14:paraId="6EA9AEBF">
                  <w:pPr>
                    <w:pStyle w:val="200"/>
                    <w:spacing w:beforeLines="0" w:afterLines="0" w:line="240" w:lineRule="exact"/>
                    <w:rPr>
                      <w:rFonts w:hint="default" w:ascii="Times New Roman" w:hAnsi="Times New Roman" w:eastAsia="宋体" w:cs="Times New Roman"/>
                      <w:color w:val="000000"/>
                      <w:sz w:val="18"/>
                      <w:szCs w:val="15"/>
                      <w:lang w:val="en-US" w:eastAsia="zh-CN"/>
                    </w:rPr>
                  </w:pPr>
                  <w:r>
                    <w:rPr>
                      <w:rFonts w:hint="default" w:ascii="Times New Roman" w:hAnsi="Times New Roman" w:cs="Times New Roman"/>
                      <w:kern w:val="0"/>
                      <w:sz w:val="18"/>
                      <w:szCs w:val="18"/>
                      <w:highlight w:val="none"/>
                    </w:rPr>
                    <w:t>本项目</w:t>
                  </w:r>
                  <w:r>
                    <w:rPr>
                      <w:rFonts w:hint="default" w:ascii="Times New Roman" w:hAnsi="Times New Roman" w:cs="Times New Roman"/>
                      <w:kern w:val="0"/>
                      <w:sz w:val="18"/>
                      <w:szCs w:val="18"/>
                      <w:highlight w:val="none"/>
                      <w:lang w:eastAsia="zh-CN"/>
                    </w:rPr>
                    <w:t>因工艺要求，需</w:t>
                  </w:r>
                  <w:r>
                    <w:rPr>
                      <w:rFonts w:hint="default" w:ascii="Times New Roman" w:hAnsi="Times New Roman" w:cs="Times New Roman"/>
                      <w:kern w:val="0"/>
                      <w:sz w:val="18"/>
                      <w:szCs w:val="18"/>
                      <w:highlight w:val="none"/>
                    </w:rPr>
                    <w:t>采用</w:t>
                  </w:r>
                  <w:r>
                    <w:rPr>
                      <w:rFonts w:hint="default" w:ascii="Times New Roman" w:hAnsi="Times New Roman" w:cs="Times New Roman"/>
                      <w:kern w:val="0"/>
                      <w:sz w:val="18"/>
                      <w:szCs w:val="18"/>
                      <w:highlight w:val="none"/>
                      <w:lang w:eastAsia="zh-CN"/>
                    </w:rPr>
                    <w:t>溶剂型涂料</w:t>
                  </w:r>
                  <w:r>
                    <w:rPr>
                      <w:rFonts w:hint="eastAsia" w:ascii="Times New Roman" w:cs="Times New Roman"/>
                      <w:kern w:val="0"/>
                      <w:sz w:val="18"/>
                      <w:szCs w:val="18"/>
                      <w:highlight w:val="none"/>
                      <w:lang w:eastAsia="zh-CN"/>
                    </w:rPr>
                    <w:t>油性漆、稀释剂</w:t>
                  </w:r>
                  <w:r>
                    <w:rPr>
                      <w:rFonts w:hint="default" w:ascii="Times New Roman" w:hAnsi="Times New Roman" w:cs="Times New Roman"/>
                      <w:kern w:val="0"/>
                      <w:sz w:val="18"/>
                      <w:szCs w:val="18"/>
                      <w:highlight w:val="none"/>
                      <w:lang w:eastAsia="zh-CN"/>
                    </w:rPr>
                    <w:t>。建设完成后需建立规范的原辅材料使用台账</w:t>
                  </w:r>
                  <w:r>
                    <w:rPr>
                      <w:rFonts w:hint="default" w:ascii="Times New Roman" w:hAnsi="Times New Roman" w:cs="Times New Roman"/>
                      <w:color w:val="000000"/>
                      <w:sz w:val="18"/>
                      <w:szCs w:val="15"/>
                      <w:highlight w:val="none"/>
                      <w:lang w:val="en-US" w:eastAsia="zh-CN"/>
                    </w:rPr>
                    <w:t>。</w:t>
                  </w:r>
                </w:p>
              </w:tc>
              <w:tc>
                <w:tcPr>
                  <w:tcW w:w="593" w:type="dxa"/>
                  <w:noWrap w:val="0"/>
                  <w:vAlign w:val="center"/>
                </w:tcPr>
                <w:p w14:paraId="489FAA07">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符合</w:t>
                  </w:r>
                </w:p>
              </w:tc>
            </w:tr>
            <w:tr w14:paraId="3C356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13" w:type="dxa"/>
                  <w:noWrap w:val="0"/>
                  <w:vAlign w:val="center"/>
                </w:tcPr>
                <w:p w14:paraId="5009992B">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深化泄漏检测与修复工作</w:t>
                  </w:r>
                </w:p>
              </w:tc>
              <w:tc>
                <w:tcPr>
                  <w:tcW w:w="4819" w:type="dxa"/>
                  <w:noWrap w:val="0"/>
                  <w:vAlign w:val="center"/>
                </w:tcPr>
                <w:p w14:paraId="00E2FD48">
                  <w:pPr>
                    <w:pStyle w:val="200"/>
                    <w:spacing w:beforeLines="0" w:afterLines="0" w:line="240" w:lineRule="exact"/>
                    <w:rPr>
                      <w:rFonts w:hint="default" w:ascii="Times New Roman" w:hAnsi="Times New Roman" w:cs="Times New Roman"/>
                      <w:color w:val="000000"/>
                      <w:sz w:val="18"/>
                      <w:szCs w:val="15"/>
                      <w:shd w:val="clear" w:color="auto" w:fill="FFFFFF"/>
                    </w:rPr>
                  </w:pPr>
                  <w:r>
                    <w:rPr>
                      <w:rFonts w:hint="default" w:ascii="Times New Roman" w:hAnsi="Times New Roman" w:cs="Times New Roman"/>
                      <w:color w:val="000000"/>
                      <w:sz w:val="18"/>
                      <w:szCs w:val="15"/>
                      <w:shd w:val="clear" w:color="auto" w:fill="FFFFFF"/>
                    </w:rPr>
                    <w:t>强化泄露检测与修复工作的质量控制，严格落实《工业企业挥发性有机物泄漏检测与修复技术指南》(HJ1230--2021)相关要求，开展项目建档、现场检测和泄漏修复等工作。鼓励密封点数量少于2000个的化工生产和仓储企业开展泄漏检测与修复，未开展的应提供有资质的检测单位出具的不足2000个密封点的证明材料。各区县要加大泄漏检测与修复报告抽检力度，每年抽检企业数量不少于辖区内需开展泄漏检测与修复企业总数的10%。重点核查泄漏检测与修复频次和时间是否符合要求、密封点编码是否合规、现场信息采集是否完善、建档密封点是否遗漏、校准记录和背景值检测记录是否完善、修复记录和复测是否规范等，每个企业现场抽检密封点不少于100个。</w:t>
                  </w:r>
                </w:p>
              </w:tc>
              <w:tc>
                <w:tcPr>
                  <w:tcW w:w="1520" w:type="dxa"/>
                  <w:noWrap w:val="0"/>
                  <w:vAlign w:val="center"/>
                </w:tcPr>
                <w:p w14:paraId="66D73671">
                  <w:pPr>
                    <w:pStyle w:val="200"/>
                    <w:spacing w:beforeLines="0" w:afterLines="0" w:line="240" w:lineRule="exact"/>
                    <w:rPr>
                      <w:rFonts w:hint="default" w:ascii="Times New Roman" w:hAnsi="Times New Roman" w:eastAsia="宋体" w:cs="Times New Roman"/>
                      <w:color w:val="000000"/>
                      <w:sz w:val="18"/>
                      <w:szCs w:val="15"/>
                      <w:lang w:eastAsia="zh-CN"/>
                    </w:rPr>
                  </w:pPr>
                  <w:r>
                    <w:rPr>
                      <w:rFonts w:hint="default" w:ascii="Times New Roman" w:hAnsi="Times New Roman" w:cs="Times New Roman"/>
                      <w:color w:val="000000"/>
                      <w:sz w:val="18"/>
                      <w:szCs w:val="15"/>
                    </w:rPr>
                    <w:t>本项目</w:t>
                  </w:r>
                  <w:r>
                    <w:rPr>
                      <w:rFonts w:hint="eastAsia" w:ascii="Times New Roman" w:cs="Times New Roman"/>
                      <w:color w:val="000000"/>
                      <w:sz w:val="18"/>
                      <w:szCs w:val="15"/>
                      <w:lang w:eastAsia="zh-CN"/>
                    </w:rPr>
                    <w:t>不属于化工企业，不需</w:t>
                  </w:r>
                  <w:r>
                    <w:rPr>
                      <w:rFonts w:hint="default" w:ascii="Times New Roman" w:hAnsi="Times New Roman" w:cs="Times New Roman"/>
                      <w:color w:val="000000"/>
                      <w:sz w:val="18"/>
                      <w:szCs w:val="15"/>
                      <w:shd w:val="clear" w:color="auto" w:fill="FFFFFF"/>
                      <w:lang w:eastAsia="zh-CN"/>
                    </w:rPr>
                    <w:t>进行</w:t>
                  </w:r>
                  <w:r>
                    <w:rPr>
                      <w:rFonts w:hint="default" w:ascii="Times New Roman" w:hAnsi="Times New Roman" w:cs="Times New Roman"/>
                      <w:color w:val="000000"/>
                      <w:sz w:val="18"/>
                      <w:szCs w:val="15"/>
                      <w:shd w:val="clear" w:color="auto" w:fill="FFFFFF"/>
                    </w:rPr>
                    <w:t>现场检测和泄漏修复等工作</w:t>
                  </w:r>
                  <w:r>
                    <w:rPr>
                      <w:rFonts w:hint="default" w:ascii="Times New Roman" w:hAnsi="Times New Roman" w:cs="Times New Roman"/>
                      <w:color w:val="000000"/>
                      <w:sz w:val="18"/>
                      <w:szCs w:val="15"/>
                      <w:lang w:eastAsia="zh-CN"/>
                    </w:rPr>
                    <w:t>。</w:t>
                  </w:r>
                </w:p>
              </w:tc>
              <w:tc>
                <w:tcPr>
                  <w:tcW w:w="593" w:type="dxa"/>
                  <w:noWrap w:val="0"/>
                  <w:vAlign w:val="center"/>
                </w:tcPr>
                <w:p w14:paraId="25B258B1">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符合</w:t>
                  </w:r>
                </w:p>
              </w:tc>
            </w:tr>
            <w:tr w14:paraId="7D6F51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13" w:type="dxa"/>
                  <w:noWrap w:val="0"/>
                  <w:vAlign w:val="center"/>
                </w:tcPr>
                <w:p w14:paraId="7C8BF56F">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持续开展废气旁路排查整治</w:t>
                  </w:r>
                </w:p>
              </w:tc>
              <w:tc>
                <w:tcPr>
                  <w:tcW w:w="4819" w:type="dxa"/>
                  <w:noWrap w:val="0"/>
                  <w:vAlign w:val="center"/>
                </w:tcPr>
                <w:p w14:paraId="316BDB7F">
                  <w:pPr>
                    <w:pStyle w:val="200"/>
                    <w:spacing w:beforeLines="0" w:afterLines="0" w:line="240" w:lineRule="exact"/>
                    <w:rPr>
                      <w:rFonts w:hint="default" w:ascii="Times New Roman" w:hAnsi="Times New Roman" w:cs="Times New Roman"/>
                      <w:color w:val="000000"/>
                      <w:sz w:val="18"/>
                      <w:szCs w:val="15"/>
                      <w:shd w:val="clear" w:color="auto" w:fill="FFFFFF"/>
                    </w:rPr>
                  </w:pPr>
                  <w:r>
                    <w:rPr>
                      <w:rFonts w:hint="default" w:ascii="Times New Roman" w:hAnsi="Times New Roman" w:cs="Times New Roman"/>
                      <w:color w:val="000000"/>
                      <w:sz w:val="18"/>
                      <w:szCs w:val="15"/>
                      <w:shd w:val="clear" w:color="auto" w:fill="FFFFFF"/>
                    </w:rPr>
                    <w:t>各区县要组织企业对生产系统和治理设施旁路进行系统评估，除保障安全生产必须保留的应急类旁路外，应采取彻底拆除、切断、物理隔离等方式取缔旁路（含生产车间、生产装置建设的直排管线等）。工业涂装、包装印刷等溶剂使用类行业生产车间原则上不设置应急旁路。对于确需保留的应急类旁路，企业应向当地生态环境部门报备，在非紧急情况下保持关闭并铅封，通过安装自动监测设备、流量计等方式加强监管，并保存历史记录，开启后应及时向所在区县生态环境部门报告，做好台账记录。建设有中控系统的企业，鼓励在旁路设置感应式阀门，阀门开启状态、开度等信号接入中控系统，历史记录至少保存5年。在保证安全生产的前提下，鼓励对旁路废气进行处理，防止直排</w:t>
                  </w:r>
                </w:p>
              </w:tc>
              <w:tc>
                <w:tcPr>
                  <w:tcW w:w="1520" w:type="dxa"/>
                  <w:noWrap w:val="0"/>
                  <w:vAlign w:val="center"/>
                </w:tcPr>
                <w:p w14:paraId="1D8EFA6B">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本项目</w:t>
                  </w:r>
                  <w:r>
                    <w:rPr>
                      <w:rFonts w:hint="eastAsia" w:ascii="Times New Roman" w:hAnsi="Times New Roman" w:cs="Times New Roman"/>
                      <w:color w:val="000000"/>
                      <w:sz w:val="18"/>
                      <w:szCs w:val="15"/>
                      <w:lang w:eastAsia="zh-CN"/>
                    </w:rPr>
                    <w:t>生产过程产生的挥发性有机物</w:t>
                  </w:r>
                  <w:r>
                    <w:rPr>
                      <w:rFonts w:hint="default" w:ascii="Times New Roman" w:hAnsi="Times New Roman" w:cs="Times New Roman"/>
                      <w:color w:val="000000"/>
                      <w:sz w:val="18"/>
                      <w:szCs w:val="15"/>
                      <w:lang w:val="en-US" w:eastAsia="zh-CN"/>
                    </w:rPr>
                    <w:t>经配套环保设施处理后有组织排放，项目建设完成后，</w:t>
                  </w:r>
                  <w:r>
                    <w:rPr>
                      <w:rFonts w:hint="default" w:ascii="Times New Roman" w:hAnsi="Times New Roman" w:cs="Times New Roman"/>
                      <w:color w:val="000000"/>
                      <w:sz w:val="18"/>
                      <w:szCs w:val="15"/>
                    </w:rPr>
                    <w:t>均会按照规范进行监测管理，</w:t>
                  </w:r>
                  <w:r>
                    <w:rPr>
                      <w:rFonts w:hint="default" w:ascii="Times New Roman" w:hAnsi="Times New Roman" w:cs="Times New Roman"/>
                      <w:color w:val="000000"/>
                      <w:sz w:val="18"/>
                      <w:szCs w:val="15"/>
                      <w:lang w:eastAsia="zh-CN"/>
                    </w:rPr>
                    <w:t>本项目不涉及旁路</w:t>
                  </w:r>
                  <w:r>
                    <w:rPr>
                      <w:rFonts w:hint="default" w:ascii="Times New Roman" w:hAnsi="Times New Roman" w:cs="Times New Roman"/>
                      <w:color w:val="000000"/>
                      <w:sz w:val="18"/>
                      <w:szCs w:val="15"/>
                    </w:rPr>
                    <w:t>。</w:t>
                  </w:r>
                </w:p>
              </w:tc>
              <w:tc>
                <w:tcPr>
                  <w:tcW w:w="593" w:type="dxa"/>
                  <w:noWrap w:val="0"/>
                  <w:vAlign w:val="center"/>
                </w:tcPr>
                <w:p w14:paraId="3891AD90">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符合</w:t>
                  </w:r>
                </w:p>
              </w:tc>
            </w:tr>
            <w:tr w14:paraId="0848FC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13" w:type="dxa"/>
                  <w:noWrap w:val="0"/>
                  <w:vAlign w:val="center"/>
                </w:tcPr>
                <w:p w14:paraId="47663D87">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提升综合治理效率</w:t>
                  </w:r>
                </w:p>
              </w:tc>
              <w:tc>
                <w:tcPr>
                  <w:tcW w:w="4819" w:type="dxa"/>
                  <w:noWrap w:val="0"/>
                  <w:vAlign w:val="center"/>
                </w:tcPr>
                <w:p w14:paraId="591F37BF">
                  <w:pPr>
                    <w:pStyle w:val="200"/>
                    <w:spacing w:beforeLines="0" w:afterLines="0" w:line="240" w:lineRule="exact"/>
                    <w:rPr>
                      <w:rFonts w:hint="default" w:ascii="Times New Roman" w:hAnsi="Times New Roman" w:cs="Times New Roman"/>
                      <w:color w:val="000000"/>
                      <w:sz w:val="18"/>
                      <w:szCs w:val="15"/>
                      <w:shd w:val="clear" w:color="auto" w:fill="FFFFFF"/>
                    </w:rPr>
                  </w:pPr>
                  <w:r>
                    <w:rPr>
                      <w:rFonts w:hint="default" w:ascii="Times New Roman" w:hAnsi="Times New Roman" w:cs="Times New Roman"/>
                      <w:color w:val="000000"/>
                      <w:sz w:val="18"/>
                      <w:szCs w:val="15"/>
                      <w:shd w:val="clear" w:color="auto" w:fill="FFFFFF"/>
                    </w:rPr>
                    <w:t>推进使用先进生产工艺，通过采用全密闭、连续化、自动化等生产技术，以及高效工艺设备等，减少工艺过程无组织排放。按照“适宜高效”和“降风增浓”原则，优先对车间内涉挥发性有机物的设备、工序进行密闭，或进行局部废气收集。加强生产车间密闭管理，在符合安全生产、职业卫生等要求前提下，采用自动感应门、密闭性好的塑钢门窗等，在非必要时保持关闭。高浓度挥发性有机物废气不宜直接与大风量、低浓度挥发性有机物废气混合，按照适宜高效的原则提高治理设施去除率，高浓度挥发性有机物废气（&gt;30000mg/m</w:t>
                  </w:r>
                  <w:r>
                    <w:rPr>
                      <w:rFonts w:hint="default" w:ascii="Times New Roman" w:hAnsi="Times New Roman" w:cs="Times New Roman"/>
                      <w:color w:val="000000"/>
                      <w:sz w:val="18"/>
                      <w:szCs w:val="15"/>
                      <w:shd w:val="clear" w:color="auto" w:fill="FFFFFF"/>
                      <w:vertAlign w:val="superscript"/>
                    </w:rPr>
                    <w:t>3</w:t>
                  </w:r>
                  <w:r>
                    <w:rPr>
                      <w:rFonts w:hint="default" w:ascii="Times New Roman" w:hAnsi="Times New Roman" w:cs="Times New Roman"/>
                      <w:color w:val="000000"/>
                      <w:sz w:val="18"/>
                      <w:szCs w:val="15"/>
                      <w:shd w:val="clear" w:color="auto" w:fill="FFFFFF"/>
                    </w:rPr>
                    <w:t>），宜采用吸收、冷凝、吸附、膜分离等组合技术回收处理，不能达标时再辅以其他技术实现达标排放；中高浓度废气(3000mg/m</w:t>
                  </w:r>
                  <w:r>
                    <w:rPr>
                      <w:rFonts w:hint="default" w:ascii="Times New Roman" w:hAnsi="Times New Roman" w:cs="Times New Roman"/>
                      <w:color w:val="000000"/>
                      <w:sz w:val="18"/>
                      <w:szCs w:val="15"/>
                      <w:shd w:val="clear" w:color="auto" w:fill="FFFFFF"/>
                      <w:vertAlign w:val="superscript"/>
                    </w:rPr>
                    <w:t>3</w:t>
                  </w:r>
                  <w:r>
                    <w:rPr>
                      <w:rFonts w:hint="default" w:ascii="Times New Roman" w:hAnsi="Times New Roman" w:cs="Times New Roman"/>
                      <w:color w:val="000000"/>
                      <w:sz w:val="18"/>
                      <w:szCs w:val="15"/>
                      <w:shd w:val="clear" w:color="auto" w:fill="FFFFFF"/>
                    </w:rPr>
                    <w:t>-30000mg/m</w:t>
                  </w:r>
                  <w:r>
                    <w:rPr>
                      <w:rFonts w:hint="default" w:ascii="Times New Roman" w:hAnsi="Times New Roman" w:cs="Times New Roman"/>
                      <w:color w:val="000000"/>
                      <w:sz w:val="18"/>
                      <w:szCs w:val="15"/>
                      <w:shd w:val="clear" w:color="auto" w:fill="FFFFFF"/>
                      <w:vertAlign w:val="superscript"/>
                    </w:rPr>
                    <w:t>3</w:t>
                  </w:r>
                  <w:r>
                    <w:rPr>
                      <w:rFonts w:hint="default" w:ascii="Times New Roman" w:hAnsi="Times New Roman" w:cs="Times New Roman"/>
                      <w:color w:val="000000"/>
                      <w:sz w:val="18"/>
                      <w:szCs w:val="15"/>
                      <w:shd w:val="clear" w:color="auto" w:fill="FFFFFF"/>
                    </w:rPr>
                    <w:t>)，有回收价值时宜采用吸收技术回收处理，无回收价值时宜采用燃烧技术。中低浓度挥发性有机物废气（&lt;3000mg/m</w:t>
                  </w:r>
                  <w:r>
                    <w:rPr>
                      <w:rFonts w:hint="default" w:ascii="Times New Roman" w:hAnsi="Times New Roman" w:cs="Times New Roman"/>
                      <w:color w:val="000000"/>
                      <w:sz w:val="18"/>
                      <w:szCs w:val="15"/>
                      <w:shd w:val="clear" w:color="auto" w:fill="FFFFFF"/>
                      <w:vertAlign w:val="superscript"/>
                    </w:rPr>
                    <w:t>3</w:t>
                  </w:r>
                  <w:r>
                    <w:rPr>
                      <w:rFonts w:hint="default" w:ascii="Times New Roman" w:hAnsi="Times New Roman" w:cs="Times New Roman"/>
                      <w:color w:val="000000"/>
                      <w:sz w:val="18"/>
                      <w:szCs w:val="15"/>
                      <w:shd w:val="clear" w:color="auto" w:fill="FFFFFF"/>
                    </w:rPr>
                    <w:t>）宜采用生物技术、燃烧技术、吸附浓缩-燃烧技术等。鼓励使用液氮的企业，统筹考虑液氮气化和挥发性有机物废气冷凝的热交换，实现废气治理和节能相结合。严禁大风量、高浓度有机废气的有机化工、医药制药、石油化工等行业企业使用UV光解、低温等离子、光氧催化等低效治污设施。其他行业在保证异味治理的前提下，原则上全面淘汰以上低效治污设施。杜绝仅采用水或水溶液洗涤吸收方式处理含非水溶性组分的挥发性有机物废气。挥发性有机物废气不得与含颗粒物等其他污染物的废气混合。</w:t>
                  </w:r>
                </w:p>
              </w:tc>
              <w:tc>
                <w:tcPr>
                  <w:tcW w:w="1520" w:type="dxa"/>
                  <w:noWrap w:val="0"/>
                  <w:vAlign w:val="center"/>
                </w:tcPr>
                <w:p w14:paraId="70DCABB0">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本项目生产过程中的VOCs</w:t>
                  </w:r>
                  <w:r>
                    <w:rPr>
                      <w:rFonts w:hint="default" w:ascii="Times New Roman" w:hAnsi="Times New Roman" w:cs="Times New Roman"/>
                      <w:color w:val="000000"/>
                      <w:sz w:val="18"/>
                      <w:szCs w:val="15"/>
                      <w:lang w:eastAsia="zh-CN"/>
                    </w:rPr>
                    <w:t>主要为</w:t>
                  </w:r>
                  <w:r>
                    <w:rPr>
                      <w:rFonts w:hint="eastAsia" w:ascii="Times New Roman" w:cs="Times New Roman"/>
                      <w:color w:val="000000"/>
                      <w:sz w:val="18"/>
                      <w:szCs w:val="15"/>
                      <w:lang w:eastAsia="zh-CN"/>
                    </w:rPr>
                    <w:t>喷漆房</w:t>
                  </w:r>
                  <w:r>
                    <w:rPr>
                      <w:rFonts w:hint="default" w:ascii="Times New Roman" w:hAnsi="Times New Roman" w:cs="Times New Roman"/>
                      <w:color w:val="000000"/>
                      <w:sz w:val="18"/>
                      <w:szCs w:val="15"/>
                      <w:lang w:eastAsia="zh-CN"/>
                    </w:rPr>
                    <w:t>涂料</w:t>
                  </w:r>
                  <w:r>
                    <w:rPr>
                      <w:rFonts w:hint="eastAsia" w:ascii="Times New Roman" w:cs="Times New Roman"/>
                      <w:color w:val="000000"/>
                      <w:sz w:val="18"/>
                      <w:szCs w:val="15"/>
                      <w:lang w:val="en-US" w:eastAsia="zh-CN"/>
                    </w:rPr>
                    <w:t>调漆、</w:t>
                  </w:r>
                  <w:r>
                    <w:rPr>
                      <w:rFonts w:hint="default" w:ascii="Times New Roman" w:hAnsi="Times New Roman" w:cs="Times New Roman"/>
                      <w:color w:val="000000"/>
                      <w:sz w:val="18"/>
                      <w:szCs w:val="15"/>
                      <w:lang w:eastAsia="zh-CN"/>
                    </w:rPr>
                    <w:t>喷</w:t>
                  </w:r>
                  <w:r>
                    <w:rPr>
                      <w:rFonts w:hint="eastAsia" w:ascii="Times New Roman" w:cs="Times New Roman"/>
                      <w:color w:val="000000"/>
                      <w:sz w:val="18"/>
                      <w:szCs w:val="15"/>
                      <w:lang w:val="en-US" w:eastAsia="zh-CN"/>
                    </w:rPr>
                    <w:t>漆</w:t>
                  </w:r>
                  <w:r>
                    <w:rPr>
                      <w:rFonts w:hint="default" w:ascii="Times New Roman" w:hAnsi="Times New Roman" w:cs="Times New Roman"/>
                      <w:color w:val="000000"/>
                      <w:sz w:val="18"/>
                      <w:szCs w:val="15"/>
                      <w:lang w:eastAsia="zh-CN"/>
                    </w:rPr>
                    <w:t>、</w:t>
                  </w:r>
                  <w:r>
                    <w:rPr>
                      <w:rFonts w:hint="eastAsia" w:ascii="Times New Roman" w:cs="Times New Roman"/>
                      <w:color w:val="000000"/>
                      <w:sz w:val="18"/>
                      <w:szCs w:val="15"/>
                      <w:lang w:eastAsia="zh-CN"/>
                    </w:rPr>
                    <w:t>晾干</w:t>
                  </w:r>
                  <w:r>
                    <w:rPr>
                      <w:rFonts w:hint="default" w:ascii="Times New Roman" w:hAnsi="Times New Roman" w:cs="Times New Roman"/>
                      <w:color w:val="000000"/>
                      <w:sz w:val="18"/>
                      <w:szCs w:val="15"/>
                      <w:lang w:eastAsia="zh-CN"/>
                    </w:rPr>
                    <w:t>过程</w:t>
                  </w:r>
                  <w:r>
                    <w:rPr>
                      <w:rFonts w:hint="eastAsia" w:ascii="Times New Roman" w:cs="Times New Roman"/>
                      <w:color w:val="000000"/>
                      <w:sz w:val="18"/>
                      <w:szCs w:val="15"/>
                      <w:lang w:eastAsia="zh-CN"/>
                    </w:rPr>
                    <w:t>、</w:t>
                  </w:r>
                  <w:r>
                    <w:rPr>
                      <w:rFonts w:hint="eastAsia" w:ascii="Times New Roman" w:cs="Times New Roman"/>
                      <w:color w:val="000000"/>
                      <w:sz w:val="18"/>
                      <w:szCs w:val="15"/>
                      <w:lang w:val="en-US" w:eastAsia="zh-CN"/>
                    </w:rPr>
                    <w:t>喷塑固化工序、</w:t>
                  </w:r>
                  <w:r>
                    <w:rPr>
                      <w:rFonts w:hint="eastAsia" w:ascii="Times New Roman" w:hAnsi="Times New Roman" w:cs="Times New Roman"/>
                      <w:color w:val="000000"/>
                      <w:sz w:val="18"/>
                      <w:szCs w:val="15"/>
                      <w:lang w:eastAsia="zh-CN"/>
                    </w:rPr>
                    <w:t>及</w:t>
                  </w:r>
                  <w:r>
                    <w:rPr>
                      <w:rFonts w:hint="eastAsia" w:ascii="Times New Roman" w:hAnsi="Times New Roman" w:cs="Times New Roman"/>
                      <w:color w:val="000000"/>
                      <w:sz w:val="18"/>
                      <w:szCs w:val="15"/>
                      <w:lang w:val="en-US" w:eastAsia="zh-CN"/>
                    </w:rPr>
                    <w:t>PPH缠绕罐、玻璃钢罐生产过程</w:t>
                  </w:r>
                  <w:r>
                    <w:rPr>
                      <w:rFonts w:hint="default" w:ascii="Times New Roman" w:hAnsi="Times New Roman" w:cs="Times New Roman"/>
                      <w:color w:val="000000"/>
                      <w:sz w:val="18"/>
                      <w:szCs w:val="15"/>
                      <w:lang w:eastAsia="zh-CN"/>
                    </w:rPr>
                    <w:t>产生，生产工艺较先进，产生的</w:t>
                  </w:r>
                  <w:r>
                    <w:rPr>
                      <w:rFonts w:hint="default" w:ascii="Times New Roman" w:hAnsi="Times New Roman" w:cs="Times New Roman"/>
                      <w:color w:val="000000"/>
                      <w:sz w:val="18"/>
                      <w:szCs w:val="15"/>
                      <w:lang w:val="en-US" w:eastAsia="zh-CN"/>
                    </w:rPr>
                    <w:t>VOCs</w:t>
                  </w:r>
                  <w:r>
                    <w:rPr>
                      <w:rFonts w:hint="eastAsia" w:ascii="Times New Roman" w:cs="Times New Roman"/>
                      <w:color w:val="000000"/>
                      <w:sz w:val="18"/>
                      <w:szCs w:val="15"/>
                      <w:lang w:val="en-US" w:eastAsia="zh-CN"/>
                    </w:rPr>
                    <w:t>收集后</w:t>
                  </w:r>
                  <w:r>
                    <w:rPr>
                      <w:rFonts w:hint="default" w:ascii="Times New Roman" w:hAnsi="Times New Roman" w:cs="Times New Roman"/>
                      <w:color w:val="000000"/>
                      <w:sz w:val="18"/>
                      <w:szCs w:val="15"/>
                      <w:lang w:eastAsia="zh-CN"/>
                    </w:rPr>
                    <w:t>经配套</w:t>
                  </w:r>
                  <w:r>
                    <w:rPr>
                      <w:rFonts w:hint="eastAsia" w:ascii="Times New Roman" w:hAnsi="Times New Roman" w:cs="Times New Roman"/>
                      <w:color w:val="000000"/>
                      <w:sz w:val="18"/>
                      <w:szCs w:val="15"/>
                      <w:lang w:val="en-US" w:eastAsia="zh-CN"/>
                    </w:rPr>
                    <w:t>两级活性炭吸附</w:t>
                  </w:r>
                  <w:r>
                    <w:rPr>
                      <w:rFonts w:hint="default" w:ascii="Times New Roman" w:hAnsi="Times New Roman" w:cs="Times New Roman"/>
                      <w:color w:val="000000"/>
                      <w:sz w:val="18"/>
                      <w:szCs w:val="15"/>
                      <w:lang w:val="en-US" w:eastAsia="zh-CN"/>
                    </w:rPr>
                    <w:t>装置处理后有组织排放。</w:t>
                  </w:r>
                </w:p>
              </w:tc>
              <w:tc>
                <w:tcPr>
                  <w:tcW w:w="593" w:type="dxa"/>
                  <w:noWrap w:val="0"/>
                  <w:vAlign w:val="center"/>
                </w:tcPr>
                <w:p w14:paraId="1DE5FE8C">
                  <w:pPr>
                    <w:pStyle w:val="200"/>
                    <w:spacing w:beforeLines="0" w:afterLines="0" w:line="240" w:lineRule="exact"/>
                    <w:rPr>
                      <w:rFonts w:hint="default" w:ascii="Times New Roman" w:hAnsi="Times New Roman" w:cs="Times New Roman"/>
                      <w:color w:val="000000"/>
                      <w:sz w:val="18"/>
                      <w:szCs w:val="15"/>
                    </w:rPr>
                  </w:pPr>
                  <w:r>
                    <w:rPr>
                      <w:rFonts w:hint="default" w:ascii="Times New Roman" w:hAnsi="Times New Roman" w:cs="Times New Roman"/>
                      <w:color w:val="000000"/>
                      <w:sz w:val="18"/>
                      <w:szCs w:val="15"/>
                    </w:rPr>
                    <w:t>符合</w:t>
                  </w:r>
                </w:p>
              </w:tc>
            </w:tr>
          </w:tbl>
          <w:p w14:paraId="0DF45B5E">
            <w:pPr>
              <w:pStyle w:val="381"/>
              <w:ind w:firstLine="420"/>
              <w:rPr>
                <w:rFonts w:hint="default" w:ascii="Times New Roman" w:hAnsi="Times New Roman" w:cs="Times New Roman"/>
                <w:color w:val="000000"/>
                <w:sz w:val="21"/>
                <w:szCs w:val="21"/>
              </w:rPr>
            </w:pPr>
            <w:r>
              <w:rPr>
                <w:rFonts w:hint="default" w:ascii="Times New Roman" w:hAnsi="Times New Roman" w:cs="Times New Roman"/>
                <w:color w:val="000000"/>
                <w:sz w:val="21"/>
                <w:szCs w:val="18"/>
                <w:lang w:val="en-US"/>
              </w:rPr>
              <w:t>综上分析，</w:t>
            </w:r>
            <w:r>
              <w:rPr>
                <w:rFonts w:hint="default" w:ascii="Times New Roman" w:hAnsi="Times New Roman" w:cs="Times New Roman"/>
                <w:color w:val="000000"/>
                <w:sz w:val="21"/>
                <w:szCs w:val="18"/>
                <w:lang w:val="en-US" w:eastAsia="zh-CN"/>
              </w:rPr>
              <w:t>本</w:t>
            </w:r>
            <w:r>
              <w:rPr>
                <w:rFonts w:hint="default" w:ascii="Times New Roman" w:hAnsi="Times New Roman" w:cs="Times New Roman"/>
                <w:color w:val="000000"/>
                <w:sz w:val="21"/>
                <w:szCs w:val="18"/>
                <w:lang w:val="en-US"/>
              </w:rPr>
              <w:t>项目符合</w:t>
            </w:r>
            <w:r>
              <w:rPr>
                <w:rFonts w:hint="default" w:ascii="Times New Roman" w:hAnsi="Times New Roman" w:cs="Times New Roman"/>
                <w:color w:val="000000"/>
                <w:sz w:val="21"/>
                <w:szCs w:val="21"/>
              </w:rPr>
              <w:t>《2022年度淄博市挥发性有机物治理和臭氧管控方案》的通知（</w:t>
            </w:r>
            <w:r>
              <w:rPr>
                <w:rFonts w:hint="default" w:ascii="Times New Roman" w:hAnsi="Times New Roman" w:cs="Times New Roman"/>
                <w:color w:val="000000"/>
                <w:kern w:val="0"/>
                <w:sz w:val="21"/>
                <w:szCs w:val="18"/>
                <w:shd w:val="clear" w:color="auto" w:fill="FFFFFF"/>
              </w:rPr>
              <w:t>淄环委办〔2022〕12号</w:t>
            </w:r>
            <w:r>
              <w:rPr>
                <w:rFonts w:hint="default" w:ascii="Times New Roman" w:hAnsi="Times New Roman" w:cs="Times New Roman"/>
                <w:color w:val="000000"/>
                <w:sz w:val="21"/>
                <w:szCs w:val="21"/>
              </w:rPr>
              <w:t>）中相关要求。</w:t>
            </w:r>
          </w:p>
          <w:p w14:paraId="32BA3E71">
            <w:pPr>
              <w:spacing w:line="360" w:lineRule="auto"/>
              <w:ind w:firstLine="420" w:firstLineChars="200"/>
              <w:rPr>
                <w:rFonts w:hint="default" w:ascii="Times New Roman" w:hAnsi="Times New Roman" w:cs="Times New Roman"/>
                <w:bCs/>
              </w:rPr>
            </w:pPr>
            <w:r>
              <w:rPr>
                <w:rFonts w:hint="default" w:ascii="Times New Roman" w:hAnsi="Times New Roman" w:cs="Times New Roman"/>
                <w:bCs/>
              </w:rPr>
              <w:t>（6）与关于印发《全市工业企业大气污染治理品质提升实施方案》的通知（淄环委办〔2022〕10号）的符合性分析</w:t>
            </w:r>
          </w:p>
          <w:p w14:paraId="5BDF6A15">
            <w:pPr>
              <w:spacing w:line="360" w:lineRule="auto"/>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表1-1</w:t>
            </w:r>
            <w:r>
              <w:rPr>
                <w:rFonts w:hint="default" w:ascii="Times New Roman" w:hAnsi="Times New Roman" w:eastAsia="宋体" w:cs="Times New Roman"/>
                <w:b/>
                <w:bCs/>
                <w:szCs w:val="21"/>
                <w:lang w:val="en-US" w:eastAsia="zh-CN"/>
              </w:rPr>
              <w:t>4</w:t>
            </w:r>
            <w:r>
              <w:rPr>
                <w:rFonts w:hint="default" w:ascii="Times New Roman" w:hAnsi="Times New Roman" w:eastAsia="宋体" w:cs="Times New Roman"/>
                <w:b/>
                <w:bCs/>
                <w:szCs w:val="21"/>
              </w:rPr>
              <w:t>项目与淄环委办〔2022〕10号的符合性分析</w:t>
            </w:r>
          </w:p>
          <w:tbl>
            <w:tblPr>
              <w:tblStyle w:val="81"/>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390"/>
              <w:gridCol w:w="4391"/>
              <w:gridCol w:w="2636"/>
              <w:gridCol w:w="652"/>
            </w:tblGrid>
            <w:tr w14:paraId="127EB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4782" w:type="dxa"/>
                  <w:gridSpan w:val="2"/>
                  <w:noWrap w:val="0"/>
                  <w:vAlign w:val="center"/>
                </w:tcPr>
                <w:p w14:paraId="3D65A933">
                  <w:pPr>
                    <w:pStyle w:val="200"/>
                    <w:spacing w:beforeLines="0" w:afterLines="0" w:line="240" w:lineRule="atLeast"/>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文件要求</w:t>
                  </w:r>
                </w:p>
              </w:tc>
              <w:tc>
                <w:tcPr>
                  <w:tcW w:w="2636" w:type="dxa"/>
                  <w:noWrap w:val="0"/>
                  <w:vAlign w:val="center"/>
                </w:tcPr>
                <w:p w14:paraId="1E557633">
                  <w:pPr>
                    <w:pStyle w:val="200"/>
                    <w:spacing w:beforeLines="0" w:afterLines="0" w:line="240" w:lineRule="atLeast"/>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项目情况</w:t>
                  </w:r>
                </w:p>
              </w:tc>
              <w:tc>
                <w:tcPr>
                  <w:tcW w:w="652" w:type="dxa"/>
                  <w:noWrap w:val="0"/>
                  <w:tcMar>
                    <w:left w:w="28" w:type="dxa"/>
                    <w:right w:w="28" w:type="dxa"/>
                  </w:tcMar>
                  <w:vAlign w:val="center"/>
                </w:tcPr>
                <w:p w14:paraId="370B548B">
                  <w:pPr>
                    <w:pStyle w:val="200"/>
                    <w:spacing w:beforeLines="0" w:afterLines="0" w:line="240" w:lineRule="atLeast"/>
                    <w:rPr>
                      <w:rFonts w:hint="default" w:ascii="Times New Roman" w:hAnsi="Times New Roman" w:cs="Times New Roman"/>
                      <w:b/>
                      <w:bCs/>
                      <w:color w:val="000000"/>
                      <w:sz w:val="18"/>
                      <w:szCs w:val="18"/>
                    </w:rPr>
                  </w:pPr>
                  <w:r>
                    <w:rPr>
                      <w:rFonts w:hint="default" w:ascii="Times New Roman" w:hAnsi="Times New Roman" w:cs="Times New Roman"/>
                      <w:b/>
                      <w:bCs/>
                      <w:color w:val="000000"/>
                      <w:sz w:val="18"/>
                      <w:szCs w:val="18"/>
                    </w:rPr>
                    <w:t>符合性</w:t>
                  </w:r>
                </w:p>
              </w:tc>
            </w:tr>
            <w:tr w14:paraId="7CCE0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restart"/>
                  <w:noWrap w:val="0"/>
                  <w:vAlign w:val="center"/>
                </w:tcPr>
                <w:p w14:paraId="080EA76A">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提升挥发性有机物的治理水平</w:t>
                  </w:r>
                </w:p>
              </w:tc>
              <w:tc>
                <w:tcPr>
                  <w:tcW w:w="4392" w:type="dxa"/>
                  <w:noWrap w:val="0"/>
                  <w:vAlign w:val="center"/>
                </w:tcPr>
                <w:p w14:paraId="4414F5CC">
                  <w:pPr>
                    <w:pStyle w:val="200"/>
                    <w:spacing w:beforeLines="0" w:afterLines="0"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15.有机液体装卸和罐区原则上建设独立的废气收集系统，确保废气有效收集。生产、储存、装卸等环节产生的高浓度、大风量 VOCs 废气应使用催化燃烧、蓄热燃烧等处置工艺。</w:t>
                  </w:r>
                </w:p>
              </w:tc>
              <w:tc>
                <w:tcPr>
                  <w:tcW w:w="2636" w:type="dxa"/>
                  <w:noWrap w:val="0"/>
                  <w:vAlign w:val="center"/>
                </w:tcPr>
                <w:p w14:paraId="4D487EAF">
                  <w:pPr>
                    <w:pStyle w:val="200"/>
                    <w:spacing w:beforeLines="0" w:afterLines="0" w:line="240" w:lineRule="atLeast"/>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lang w:eastAsia="zh-CN"/>
                    </w:rPr>
                    <w:t>本项目不涉及罐区。生产过程产生的</w:t>
                  </w:r>
                  <w:r>
                    <w:rPr>
                      <w:rFonts w:hint="default" w:ascii="Times New Roman" w:hAnsi="Times New Roman" w:cs="Times New Roman"/>
                      <w:color w:val="000000"/>
                      <w:sz w:val="18"/>
                      <w:szCs w:val="18"/>
                      <w:lang w:val="en-US" w:eastAsia="zh-CN"/>
                    </w:rPr>
                    <w:t>VOCs经配套</w:t>
                  </w:r>
                  <w:r>
                    <w:rPr>
                      <w:rFonts w:hint="eastAsia" w:ascii="Times New Roman" w:hAnsi="Times New Roman" w:cs="Times New Roman"/>
                      <w:color w:val="000000"/>
                      <w:sz w:val="18"/>
                      <w:szCs w:val="18"/>
                      <w:lang w:val="en-US" w:eastAsia="zh-CN"/>
                    </w:rPr>
                    <w:t>两级活性炭吸附</w:t>
                  </w:r>
                  <w:r>
                    <w:rPr>
                      <w:rFonts w:hint="default" w:ascii="Times New Roman" w:hAnsi="Times New Roman" w:cs="Times New Roman"/>
                      <w:color w:val="000000"/>
                      <w:sz w:val="18"/>
                      <w:szCs w:val="18"/>
                      <w:lang w:val="en-US" w:eastAsia="zh-CN"/>
                    </w:rPr>
                    <w:t>装置处理</w:t>
                  </w:r>
                  <w:r>
                    <w:rPr>
                      <w:rFonts w:hint="eastAsia" w:ascii="Times New Roman" w:hAnsi="Times New Roman" w:cs="Times New Roman"/>
                      <w:color w:val="000000"/>
                      <w:sz w:val="18"/>
                      <w:szCs w:val="18"/>
                      <w:lang w:val="en-US" w:eastAsia="zh-CN"/>
                    </w:rPr>
                    <w:t>达标</w:t>
                  </w:r>
                  <w:r>
                    <w:rPr>
                      <w:rFonts w:hint="default" w:ascii="Times New Roman" w:hAnsi="Times New Roman" w:cs="Times New Roman"/>
                      <w:color w:val="000000"/>
                      <w:sz w:val="18"/>
                      <w:szCs w:val="18"/>
                      <w:lang w:val="en-US" w:eastAsia="zh-CN"/>
                    </w:rPr>
                    <w:t>后有组织排放。</w:t>
                  </w:r>
                </w:p>
              </w:tc>
              <w:tc>
                <w:tcPr>
                  <w:tcW w:w="652" w:type="dxa"/>
                  <w:noWrap w:val="0"/>
                  <w:vAlign w:val="center"/>
                </w:tcPr>
                <w:p w14:paraId="72F315F7">
                  <w:pPr>
                    <w:pStyle w:val="200"/>
                    <w:spacing w:beforeLines="0" w:afterLines="0" w:line="240" w:lineRule="atLeast"/>
                    <w:rPr>
                      <w:rFonts w:hint="default" w:ascii="Times New Roman" w:hAnsi="Times New Roman" w:eastAsia="宋体" w:cs="Times New Roman"/>
                      <w:color w:val="000000"/>
                      <w:sz w:val="18"/>
                      <w:szCs w:val="18"/>
                      <w:lang w:eastAsia="zh-CN"/>
                    </w:rPr>
                  </w:pPr>
                  <w:r>
                    <w:rPr>
                      <w:rFonts w:hint="default" w:ascii="Times New Roman" w:hAnsi="Times New Roman" w:cs="Times New Roman"/>
                      <w:color w:val="000000"/>
                      <w:sz w:val="18"/>
                      <w:szCs w:val="18"/>
                      <w:lang w:eastAsia="zh-CN"/>
                    </w:rPr>
                    <w:t>符合</w:t>
                  </w:r>
                </w:p>
              </w:tc>
            </w:tr>
            <w:tr w14:paraId="723C7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continue"/>
                  <w:noWrap w:val="0"/>
                  <w:vAlign w:val="center"/>
                </w:tcPr>
                <w:p w14:paraId="33C604B1">
                  <w:pPr>
                    <w:pStyle w:val="200"/>
                    <w:spacing w:beforeLines="0" w:afterLines="0" w:line="240" w:lineRule="atLeast"/>
                    <w:rPr>
                      <w:rFonts w:hint="default" w:ascii="Times New Roman" w:hAnsi="Times New Roman" w:cs="Times New Roman"/>
                      <w:color w:val="000000"/>
                      <w:sz w:val="18"/>
                      <w:szCs w:val="18"/>
                    </w:rPr>
                  </w:pPr>
                </w:p>
              </w:tc>
              <w:tc>
                <w:tcPr>
                  <w:tcW w:w="4392" w:type="dxa"/>
                  <w:noWrap w:val="0"/>
                  <w:vAlign w:val="center"/>
                </w:tcPr>
                <w:p w14:paraId="45823728">
                  <w:pPr>
                    <w:pStyle w:val="200"/>
                    <w:spacing w:beforeLines="0" w:afterLines="0"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16.强化无组织排放收集，优先采用密闭设备、在密闭空间中操作或采用全密闭集气罩收集方式；对于采用局部集气罩的，距集气罩开口面最远处的VOCs 无组织排放位置，控制风速不低于0.3m/s（行业相关规范有具体规定的，按相关规定执行）。</w:t>
                  </w:r>
                </w:p>
              </w:tc>
              <w:tc>
                <w:tcPr>
                  <w:tcW w:w="2636" w:type="dxa"/>
                  <w:noWrap w:val="0"/>
                  <w:vAlign w:val="center"/>
                </w:tcPr>
                <w:p w14:paraId="2DC2036A">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本项目</w:t>
                  </w:r>
                  <w:r>
                    <w:rPr>
                      <w:rFonts w:hint="default" w:ascii="Times New Roman" w:hAnsi="Times New Roman" w:cs="Times New Roman"/>
                      <w:color w:val="000000"/>
                      <w:sz w:val="18"/>
                      <w:szCs w:val="18"/>
                      <w:lang w:eastAsia="zh-CN"/>
                    </w:rPr>
                    <w:t>完成后</w:t>
                  </w:r>
                  <w:r>
                    <w:rPr>
                      <w:rFonts w:hint="default" w:ascii="Times New Roman" w:hAnsi="Times New Roman" w:cs="Times New Roman"/>
                      <w:color w:val="000000"/>
                      <w:sz w:val="18"/>
                      <w:szCs w:val="18"/>
                    </w:rPr>
                    <w:t>能密闭的设备实现密闭，无法密闭的设置采取局部集气罩的收集方式，本项目</w:t>
                  </w:r>
                  <w:r>
                    <w:rPr>
                      <w:rFonts w:hint="eastAsia" w:ascii="Times New Roman" w:hAnsi="Times New Roman" w:cs="Times New Roman"/>
                      <w:color w:val="000000"/>
                      <w:sz w:val="18"/>
                      <w:szCs w:val="15"/>
                      <w:lang w:val="en-US" w:eastAsia="zh-CN"/>
                    </w:rPr>
                    <w:t>PPH缠绕罐、玻璃钢罐生产过程</w:t>
                  </w:r>
                  <w:r>
                    <w:rPr>
                      <w:rFonts w:hint="eastAsia" w:ascii="Times New Roman" w:cs="Times New Roman"/>
                      <w:color w:val="000000"/>
                      <w:sz w:val="18"/>
                      <w:szCs w:val="18"/>
                      <w:lang w:eastAsia="zh-CN"/>
                    </w:rPr>
                    <w:t>等产</w:t>
                  </w:r>
                  <w:r>
                    <w:rPr>
                      <w:rFonts w:hint="eastAsia" w:ascii="Times New Roman" w:cs="Times New Roman"/>
                      <w:color w:val="000000"/>
                      <w:sz w:val="18"/>
                      <w:szCs w:val="18"/>
                      <w:lang w:val="en-US" w:eastAsia="zh-CN"/>
                    </w:rPr>
                    <w:t>VOCs</w:t>
                  </w:r>
                  <w:r>
                    <w:rPr>
                      <w:rFonts w:hint="eastAsia" w:ascii="Times New Roman" w:cs="Times New Roman"/>
                      <w:color w:val="000000"/>
                      <w:sz w:val="18"/>
                      <w:szCs w:val="18"/>
                      <w:lang w:eastAsia="zh-CN"/>
                    </w:rPr>
                    <w:t>工序</w:t>
                  </w:r>
                  <w:r>
                    <w:rPr>
                      <w:rFonts w:hint="default" w:ascii="Times New Roman" w:hAnsi="Times New Roman" w:cs="Times New Roman"/>
                      <w:color w:val="000000"/>
                      <w:sz w:val="18"/>
                      <w:szCs w:val="18"/>
                    </w:rPr>
                    <w:t>采用局部集气罩，本环评要求</w:t>
                  </w:r>
                  <w:r>
                    <w:rPr>
                      <w:rFonts w:hint="eastAsia" w:ascii="Times New Roman" w:hAnsi="Times New Roman" w:cs="Times New Roman"/>
                      <w:color w:val="000000"/>
                      <w:sz w:val="18"/>
                      <w:szCs w:val="18"/>
                      <w:lang w:eastAsia="zh-CN"/>
                    </w:rPr>
                    <w:t>各</w:t>
                  </w:r>
                  <w:r>
                    <w:rPr>
                      <w:rFonts w:hint="default" w:ascii="Times New Roman" w:hAnsi="Times New Roman" w:cs="Times New Roman"/>
                      <w:color w:val="000000"/>
                      <w:sz w:val="18"/>
                      <w:szCs w:val="18"/>
                    </w:rPr>
                    <w:t>集气罩控制风速</w:t>
                  </w:r>
                  <w:r>
                    <w:rPr>
                      <w:rFonts w:hint="eastAsia" w:ascii="Times New Roman" w:cs="Times New Roman"/>
                      <w:color w:val="000000"/>
                      <w:sz w:val="18"/>
                      <w:szCs w:val="18"/>
                      <w:lang w:eastAsia="zh-CN"/>
                    </w:rPr>
                    <w:t>不低于</w:t>
                  </w:r>
                  <w:r>
                    <w:rPr>
                      <w:rFonts w:hint="default" w:ascii="Times New Roman" w:hAnsi="Times New Roman" w:cs="Times New Roman"/>
                      <w:color w:val="000000"/>
                      <w:sz w:val="18"/>
                      <w:szCs w:val="18"/>
                    </w:rPr>
                    <w:t>0.3m/s</w:t>
                  </w:r>
                </w:p>
              </w:tc>
              <w:tc>
                <w:tcPr>
                  <w:tcW w:w="652" w:type="dxa"/>
                  <w:noWrap w:val="0"/>
                  <w:vAlign w:val="center"/>
                </w:tcPr>
                <w:p w14:paraId="5152878F">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5A3DB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continue"/>
                  <w:noWrap w:val="0"/>
                  <w:vAlign w:val="center"/>
                </w:tcPr>
                <w:p w14:paraId="43294106">
                  <w:pPr>
                    <w:pStyle w:val="200"/>
                    <w:spacing w:beforeLines="0" w:afterLines="0" w:line="240" w:lineRule="atLeast"/>
                    <w:rPr>
                      <w:rFonts w:hint="default" w:ascii="Times New Roman" w:hAnsi="Times New Roman" w:cs="Times New Roman"/>
                      <w:color w:val="000000"/>
                      <w:sz w:val="18"/>
                      <w:szCs w:val="18"/>
                    </w:rPr>
                  </w:pPr>
                </w:p>
              </w:tc>
              <w:tc>
                <w:tcPr>
                  <w:tcW w:w="4392" w:type="dxa"/>
                  <w:noWrap w:val="0"/>
                  <w:vAlign w:val="center"/>
                </w:tcPr>
                <w:p w14:paraId="6A355218">
                  <w:pPr>
                    <w:pStyle w:val="200"/>
                    <w:spacing w:beforeLines="0" w:afterLines="0"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17.废气治理系统的处理能力要与企业产污情况相匹配，不应出现收集率过低、过度收集、处理能力偏小等现象。需密闭生产的车间，应聘请有资质的单位结合生产实际设计新风系统，明确收集口位置和数量、真空度、管线规格等内容，确保能够真正密闭且符合安全生产要求。</w:t>
                  </w:r>
                </w:p>
              </w:tc>
              <w:tc>
                <w:tcPr>
                  <w:tcW w:w="2636" w:type="dxa"/>
                  <w:noWrap w:val="0"/>
                  <w:vAlign w:val="center"/>
                </w:tcPr>
                <w:p w14:paraId="040C9AF7">
                  <w:pPr>
                    <w:pStyle w:val="200"/>
                    <w:spacing w:beforeLines="0" w:afterLines="0" w:line="240" w:lineRule="atLeast"/>
                    <w:rPr>
                      <w:rFonts w:hint="default" w:ascii="Times New Roman" w:hAnsi="Times New Roman" w:eastAsia="宋体" w:cs="Times New Roman"/>
                      <w:color w:val="000000"/>
                      <w:sz w:val="18"/>
                      <w:szCs w:val="18"/>
                      <w:lang w:eastAsia="zh-CN"/>
                    </w:rPr>
                  </w:pPr>
                  <w:r>
                    <w:rPr>
                      <w:rFonts w:hint="default" w:ascii="Times New Roman" w:hAnsi="Times New Roman" w:cs="Times New Roman"/>
                      <w:color w:val="000000"/>
                      <w:sz w:val="18"/>
                      <w:szCs w:val="18"/>
                    </w:rPr>
                    <w:t>本项目</w:t>
                  </w:r>
                  <w:r>
                    <w:rPr>
                      <w:rFonts w:hint="default" w:ascii="Times New Roman" w:hAnsi="Times New Roman" w:cs="Times New Roman"/>
                      <w:color w:val="000000"/>
                      <w:sz w:val="18"/>
                      <w:szCs w:val="18"/>
                      <w:lang w:eastAsia="zh-CN"/>
                    </w:rPr>
                    <w:t>废气治理系统处理能力与产污情况相匹配，确保能符合安全生产要求。</w:t>
                  </w:r>
                </w:p>
              </w:tc>
              <w:tc>
                <w:tcPr>
                  <w:tcW w:w="652" w:type="dxa"/>
                  <w:noWrap w:val="0"/>
                  <w:vAlign w:val="center"/>
                </w:tcPr>
                <w:p w14:paraId="24C36550">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757467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restart"/>
                  <w:noWrap w:val="0"/>
                  <w:vAlign w:val="center"/>
                </w:tcPr>
                <w:p w14:paraId="4543F005">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提升颗粒物治理水平</w:t>
                  </w:r>
                </w:p>
              </w:tc>
              <w:tc>
                <w:tcPr>
                  <w:tcW w:w="4392" w:type="dxa"/>
                  <w:noWrap w:val="0"/>
                  <w:vAlign w:val="center"/>
                </w:tcPr>
                <w:p w14:paraId="5B100543">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23.粉性原料、物料（含易起尘的粒状）等贮存场所要全密闭，非道路移动机械（铲车、挖掘机等）内部作业时宜安装并启用喷雾降尘装置</w:t>
                  </w:r>
                </w:p>
              </w:tc>
              <w:tc>
                <w:tcPr>
                  <w:tcW w:w="2636" w:type="dxa"/>
                  <w:noWrap w:val="0"/>
                  <w:vAlign w:val="center"/>
                </w:tcPr>
                <w:p w14:paraId="13E13C9F">
                  <w:pPr>
                    <w:pStyle w:val="200"/>
                    <w:spacing w:beforeLines="0" w:afterLines="0" w:line="240" w:lineRule="atLeast"/>
                    <w:rPr>
                      <w:rFonts w:hint="default" w:ascii="Times New Roman" w:hAnsi="Times New Roman" w:eastAsia="宋体" w:cs="Times New Roman"/>
                      <w:color w:val="000000"/>
                      <w:sz w:val="18"/>
                      <w:szCs w:val="18"/>
                      <w:lang w:eastAsia="zh-CN"/>
                    </w:rPr>
                  </w:pPr>
                  <w:r>
                    <w:rPr>
                      <w:rFonts w:hint="default" w:ascii="Times New Roman" w:hAnsi="Times New Roman" w:cs="Times New Roman"/>
                      <w:color w:val="000000"/>
                      <w:sz w:val="18"/>
                      <w:szCs w:val="18"/>
                    </w:rPr>
                    <w:t>本项目</w:t>
                  </w:r>
                  <w:r>
                    <w:rPr>
                      <w:rFonts w:hint="eastAsia" w:ascii="Times New Roman" w:cs="Times New Roman"/>
                      <w:color w:val="000000"/>
                      <w:sz w:val="18"/>
                      <w:szCs w:val="18"/>
                      <w:lang w:val="en-US" w:eastAsia="zh-CN"/>
                    </w:rPr>
                    <w:t>塑粉全密闭贮存，贮存过程无粉尘产生。</w:t>
                  </w:r>
                </w:p>
              </w:tc>
              <w:tc>
                <w:tcPr>
                  <w:tcW w:w="652" w:type="dxa"/>
                  <w:noWrap w:val="0"/>
                  <w:vAlign w:val="center"/>
                </w:tcPr>
                <w:p w14:paraId="6A15C7E6">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4089D7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continue"/>
                  <w:noWrap w:val="0"/>
                  <w:vAlign w:val="center"/>
                </w:tcPr>
                <w:p w14:paraId="7764574F">
                  <w:pPr>
                    <w:pStyle w:val="200"/>
                    <w:spacing w:beforeLines="0" w:afterLines="0" w:line="240" w:lineRule="atLeast"/>
                    <w:rPr>
                      <w:rFonts w:hint="default" w:ascii="Times New Roman" w:hAnsi="Times New Roman" w:cs="Times New Roman"/>
                      <w:color w:val="000000"/>
                      <w:sz w:val="18"/>
                      <w:szCs w:val="18"/>
                    </w:rPr>
                  </w:pPr>
                </w:p>
              </w:tc>
              <w:tc>
                <w:tcPr>
                  <w:tcW w:w="4392" w:type="dxa"/>
                  <w:noWrap w:val="0"/>
                  <w:vAlign w:val="center"/>
                </w:tcPr>
                <w:p w14:paraId="22C1A931">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厂内道路要全部硬化，地面要硬化或者绿化，不得出现裸露地面。定期对厂内及车间内道路、地面等进行洒扫保洁，原则上每周冲洗不少于1次，每天洒扫不少于2次，地面无积尘。</w:t>
                  </w:r>
                </w:p>
              </w:tc>
              <w:tc>
                <w:tcPr>
                  <w:tcW w:w="2636" w:type="dxa"/>
                  <w:noWrap w:val="0"/>
                  <w:vAlign w:val="center"/>
                </w:tcPr>
                <w:p w14:paraId="4AC1884E">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本项目车间全部硬化，无裸露地面。本项目建成后将按照要求进行保洁，做到地面无积尘</w:t>
                  </w:r>
                </w:p>
              </w:tc>
              <w:tc>
                <w:tcPr>
                  <w:tcW w:w="652" w:type="dxa"/>
                  <w:noWrap w:val="0"/>
                  <w:vAlign w:val="center"/>
                </w:tcPr>
                <w:p w14:paraId="6D30130A">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38ED1B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restart"/>
                  <w:noWrap w:val="0"/>
                  <w:vAlign w:val="center"/>
                </w:tcPr>
                <w:p w14:paraId="2851EC7E">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提升精细化管理水平</w:t>
                  </w:r>
                </w:p>
              </w:tc>
              <w:tc>
                <w:tcPr>
                  <w:tcW w:w="4392" w:type="dxa"/>
                  <w:noWrap w:val="0"/>
                  <w:vAlign w:val="center"/>
                </w:tcPr>
                <w:p w14:paraId="351649DA">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28.企业要按照排污许可证相关要求，完整记录和保存生产设施运行、脱硫脱硝剂消费、活性炭等吸附剂更换、原辅料及能源消费、污染设施运行等台账信息，相关台账信息要与DCS记录一致。DCS记录应定期备份，保存时间不少于书面台账。</w:t>
                  </w:r>
                </w:p>
              </w:tc>
              <w:tc>
                <w:tcPr>
                  <w:tcW w:w="2636" w:type="dxa"/>
                  <w:vMerge w:val="restart"/>
                  <w:noWrap w:val="0"/>
                  <w:vAlign w:val="center"/>
                </w:tcPr>
                <w:p w14:paraId="05B4F91A">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本项目建成后将按照要求进行精细化管理</w:t>
                  </w:r>
                </w:p>
              </w:tc>
              <w:tc>
                <w:tcPr>
                  <w:tcW w:w="652" w:type="dxa"/>
                  <w:vMerge w:val="restart"/>
                  <w:noWrap w:val="0"/>
                  <w:vAlign w:val="center"/>
                </w:tcPr>
                <w:p w14:paraId="668E091E">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6B3ED3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continue"/>
                  <w:noWrap w:val="0"/>
                  <w:vAlign w:val="center"/>
                </w:tcPr>
                <w:p w14:paraId="7086F218">
                  <w:pPr>
                    <w:pStyle w:val="200"/>
                    <w:spacing w:beforeLines="0" w:afterLines="0" w:line="240" w:lineRule="atLeast"/>
                    <w:rPr>
                      <w:rFonts w:hint="default" w:ascii="Times New Roman" w:hAnsi="Times New Roman" w:cs="Times New Roman"/>
                      <w:color w:val="000000"/>
                      <w:sz w:val="18"/>
                      <w:szCs w:val="18"/>
                    </w:rPr>
                  </w:pPr>
                </w:p>
              </w:tc>
              <w:tc>
                <w:tcPr>
                  <w:tcW w:w="4392" w:type="dxa"/>
                  <w:noWrap w:val="0"/>
                  <w:vAlign w:val="center"/>
                </w:tcPr>
                <w:p w14:paraId="341C0C17">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30.废气处理系统应与生产工艺设备“同启同停”，企业要根据处理工艺，在治污设施操作规程中规定要操作方法，明确启停时间、温度、压力、烟气量等参数</w:t>
                  </w:r>
                </w:p>
              </w:tc>
              <w:tc>
                <w:tcPr>
                  <w:tcW w:w="2636" w:type="dxa"/>
                  <w:vMerge w:val="continue"/>
                  <w:noWrap w:val="0"/>
                  <w:vAlign w:val="center"/>
                </w:tcPr>
                <w:p w14:paraId="23BD2471">
                  <w:pPr>
                    <w:pStyle w:val="200"/>
                    <w:spacing w:beforeLines="0" w:afterLines="0" w:line="240" w:lineRule="atLeast"/>
                    <w:rPr>
                      <w:rFonts w:hint="default" w:ascii="Times New Roman" w:hAnsi="Times New Roman" w:cs="Times New Roman"/>
                      <w:color w:val="000000"/>
                      <w:sz w:val="18"/>
                      <w:szCs w:val="18"/>
                    </w:rPr>
                  </w:pPr>
                </w:p>
              </w:tc>
              <w:tc>
                <w:tcPr>
                  <w:tcW w:w="652" w:type="dxa"/>
                  <w:vMerge w:val="continue"/>
                  <w:noWrap w:val="0"/>
                  <w:vAlign w:val="center"/>
                </w:tcPr>
                <w:p w14:paraId="32508E53">
                  <w:pPr>
                    <w:pStyle w:val="200"/>
                    <w:spacing w:beforeLines="0" w:afterLines="0" w:line="240" w:lineRule="atLeast"/>
                    <w:rPr>
                      <w:rFonts w:hint="default" w:ascii="Times New Roman" w:hAnsi="Times New Roman" w:cs="Times New Roman"/>
                      <w:color w:val="000000"/>
                      <w:sz w:val="18"/>
                      <w:szCs w:val="18"/>
                    </w:rPr>
                  </w:pPr>
                </w:p>
              </w:tc>
            </w:tr>
            <w:tr w14:paraId="3CBD7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continue"/>
                  <w:noWrap w:val="0"/>
                  <w:vAlign w:val="center"/>
                </w:tcPr>
                <w:p w14:paraId="0C975843">
                  <w:pPr>
                    <w:pStyle w:val="200"/>
                    <w:spacing w:beforeLines="0" w:afterLines="0" w:line="240" w:lineRule="atLeast"/>
                    <w:rPr>
                      <w:rFonts w:hint="default" w:ascii="Times New Roman" w:hAnsi="Times New Roman" w:cs="Times New Roman"/>
                      <w:color w:val="000000"/>
                      <w:sz w:val="18"/>
                      <w:szCs w:val="18"/>
                    </w:rPr>
                  </w:pPr>
                </w:p>
              </w:tc>
              <w:tc>
                <w:tcPr>
                  <w:tcW w:w="4392" w:type="dxa"/>
                  <w:noWrap w:val="0"/>
                  <w:vAlign w:val="center"/>
                </w:tcPr>
                <w:p w14:paraId="291A0D25">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企业应建立健全大气污染治理责任制、管理制度和操作规程，定期开展专项培训或综合培训。其中，治污设施操作人员的专项培训，每季度至少开展一次公司级培训，每月至少开展一次车间级培训，考核合格后方可上岗。</w:t>
                  </w:r>
                </w:p>
              </w:tc>
              <w:tc>
                <w:tcPr>
                  <w:tcW w:w="2636" w:type="dxa"/>
                  <w:vMerge w:val="continue"/>
                  <w:noWrap w:val="0"/>
                  <w:vAlign w:val="center"/>
                </w:tcPr>
                <w:p w14:paraId="633E2010">
                  <w:pPr>
                    <w:pStyle w:val="200"/>
                    <w:spacing w:beforeLines="0" w:afterLines="0" w:line="240" w:lineRule="atLeast"/>
                    <w:rPr>
                      <w:rFonts w:hint="default" w:ascii="Times New Roman" w:hAnsi="Times New Roman" w:cs="Times New Roman"/>
                      <w:color w:val="000000"/>
                      <w:sz w:val="18"/>
                      <w:szCs w:val="18"/>
                    </w:rPr>
                  </w:pPr>
                </w:p>
              </w:tc>
              <w:tc>
                <w:tcPr>
                  <w:tcW w:w="652" w:type="dxa"/>
                  <w:vMerge w:val="continue"/>
                  <w:noWrap w:val="0"/>
                  <w:vAlign w:val="center"/>
                </w:tcPr>
                <w:p w14:paraId="52C9D9D6">
                  <w:pPr>
                    <w:pStyle w:val="200"/>
                    <w:spacing w:beforeLines="0" w:afterLines="0" w:line="240" w:lineRule="atLeast"/>
                    <w:rPr>
                      <w:rFonts w:hint="default" w:ascii="Times New Roman" w:hAnsi="Times New Roman" w:cs="Times New Roman"/>
                      <w:color w:val="000000"/>
                      <w:sz w:val="18"/>
                      <w:szCs w:val="18"/>
                    </w:rPr>
                  </w:pPr>
                </w:p>
              </w:tc>
            </w:tr>
            <w:tr w14:paraId="78359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390" w:type="dxa"/>
                  <w:vMerge w:val="continue"/>
                  <w:noWrap w:val="0"/>
                  <w:vAlign w:val="center"/>
                </w:tcPr>
                <w:p w14:paraId="444B8078">
                  <w:pPr>
                    <w:pStyle w:val="200"/>
                    <w:spacing w:beforeLines="0" w:afterLines="0" w:line="240" w:lineRule="atLeast"/>
                    <w:rPr>
                      <w:rFonts w:hint="default" w:ascii="Times New Roman" w:hAnsi="Times New Roman" w:cs="Times New Roman"/>
                      <w:color w:val="000000"/>
                      <w:sz w:val="18"/>
                      <w:szCs w:val="18"/>
                    </w:rPr>
                  </w:pPr>
                </w:p>
              </w:tc>
              <w:tc>
                <w:tcPr>
                  <w:tcW w:w="4392" w:type="dxa"/>
                  <w:noWrap w:val="0"/>
                  <w:vAlign w:val="center"/>
                </w:tcPr>
                <w:p w14:paraId="24D47F51">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企业应建立治污设施运行巡查制度，定期巡查治污设施运行情况，巡查间隔时间不得超过半小时。治污设施运行参数要张贴悬挂于醒目位置，并明确异常问题的处理办法。巡查发现的问题要及时处置，不能整改的启用备用治污设施或有序停产，确保污染物达标排放</w:t>
                  </w:r>
                </w:p>
              </w:tc>
              <w:tc>
                <w:tcPr>
                  <w:tcW w:w="2636" w:type="dxa"/>
                  <w:vMerge w:val="continue"/>
                  <w:noWrap w:val="0"/>
                  <w:vAlign w:val="center"/>
                </w:tcPr>
                <w:p w14:paraId="2A733214">
                  <w:pPr>
                    <w:pStyle w:val="200"/>
                    <w:spacing w:beforeLines="0" w:afterLines="0" w:line="240" w:lineRule="atLeast"/>
                    <w:rPr>
                      <w:rFonts w:hint="default" w:ascii="Times New Roman" w:hAnsi="Times New Roman" w:cs="Times New Roman"/>
                      <w:color w:val="000000"/>
                      <w:sz w:val="18"/>
                      <w:szCs w:val="18"/>
                    </w:rPr>
                  </w:pPr>
                </w:p>
              </w:tc>
              <w:tc>
                <w:tcPr>
                  <w:tcW w:w="652" w:type="dxa"/>
                  <w:vMerge w:val="continue"/>
                  <w:noWrap w:val="0"/>
                  <w:vAlign w:val="center"/>
                </w:tcPr>
                <w:p w14:paraId="76CE051C">
                  <w:pPr>
                    <w:pStyle w:val="200"/>
                    <w:spacing w:beforeLines="0" w:afterLines="0" w:line="240" w:lineRule="atLeast"/>
                    <w:rPr>
                      <w:rFonts w:hint="default" w:ascii="Times New Roman" w:hAnsi="Times New Roman" w:cs="Times New Roman"/>
                      <w:color w:val="000000"/>
                      <w:sz w:val="18"/>
                      <w:szCs w:val="18"/>
                    </w:rPr>
                  </w:pPr>
                </w:p>
              </w:tc>
            </w:tr>
            <w:tr w14:paraId="42C5C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restart"/>
                  <w:noWrap w:val="0"/>
                  <w:vAlign w:val="center"/>
                </w:tcPr>
                <w:p w14:paraId="2E00E6A5">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坚决淘汰落后处理工艺</w:t>
                  </w:r>
                </w:p>
              </w:tc>
              <w:tc>
                <w:tcPr>
                  <w:tcW w:w="4392" w:type="dxa"/>
                  <w:noWrap w:val="0"/>
                  <w:vAlign w:val="center"/>
                </w:tcPr>
                <w:p w14:paraId="5995F24F">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全面淘汰除尘脱硫一体化、简易脱硫脱硝一体化、水洗法脱硫、氨法脱硫、生物脱硫以及无法实现精准管控的双碱法等脱硫工艺；全面淘汰微生物法脱硝及难以实现精准有效控制的氧化法脱硝和湿法脱硝工艺；全面淘汰水膜除尘、重力降尘、旋风除尘等单一措施除尘工艺。</w:t>
                  </w:r>
                </w:p>
              </w:tc>
              <w:tc>
                <w:tcPr>
                  <w:tcW w:w="2636" w:type="dxa"/>
                  <w:noWrap w:val="0"/>
                  <w:vAlign w:val="center"/>
                </w:tcPr>
                <w:p w14:paraId="6B6EBA4B">
                  <w:pPr>
                    <w:pStyle w:val="200"/>
                    <w:spacing w:beforeLines="0" w:afterLines="0" w:line="240" w:lineRule="atLeast"/>
                    <w:rPr>
                      <w:rFonts w:hint="default" w:ascii="Times New Roman" w:hAnsi="Times New Roman" w:eastAsia="宋体" w:cs="Times New Roman"/>
                      <w:color w:val="000000"/>
                      <w:sz w:val="18"/>
                      <w:szCs w:val="18"/>
                      <w:lang w:eastAsia="zh-CN"/>
                    </w:rPr>
                  </w:pPr>
                  <w:r>
                    <w:rPr>
                      <w:rFonts w:hint="default" w:ascii="Times New Roman" w:hAnsi="Times New Roman" w:cs="Times New Roman"/>
                      <w:color w:val="000000"/>
                      <w:sz w:val="18"/>
                      <w:szCs w:val="18"/>
                    </w:rPr>
                    <w:t>本项目</w:t>
                  </w:r>
                  <w:r>
                    <w:rPr>
                      <w:rFonts w:hint="default" w:ascii="Times New Roman" w:hAnsi="Times New Roman" w:cs="Times New Roman"/>
                      <w:color w:val="000000"/>
                      <w:sz w:val="18"/>
                      <w:szCs w:val="18"/>
                      <w:lang w:eastAsia="zh-CN"/>
                    </w:rPr>
                    <w:t>不涉及上述环保设施。</w:t>
                  </w:r>
                </w:p>
              </w:tc>
              <w:tc>
                <w:tcPr>
                  <w:tcW w:w="652" w:type="dxa"/>
                  <w:noWrap w:val="0"/>
                  <w:vAlign w:val="center"/>
                </w:tcPr>
                <w:p w14:paraId="1B4F4FFB">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r w14:paraId="6C115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jc w:val="center"/>
              </w:trPr>
              <w:tc>
                <w:tcPr>
                  <w:tcW w:w="390" w:type="dxa"/>
                  <w:vMerge w:val="continue"/>
                  <w:noWrap w:val="0"/>
                  <w:vAlign w:val="center"/>
                </w:tcPr>
                <w:p w14:paraId="56B9F8B7">
                  <w:pPr>
                    <w:pStyle w:val="200"/>
                    <w:spacing w:beforeLines="0" w:afterLines="0" w:line="240" w:lineRule="atLeast"/>
                    <w:rPr>
                      <w:rFonts w:hint="default" w:ascii="Times New Roman" w:hAnsi="Times New Roman" w:cs="Times New Roman"/>
                      <w:color w:val="000000"/>
                      <w:sz w:val="18"/>
                      <w:szCs w:val="18"/>
                    </w:rPr>
                  </w:pPr>
                </w:p>
              </w:tc>
              <w:tc>
                <w:tcPr>
                  <w:tcW w:w="4392" w:type="dxa"/>
                  <w:noWrap w:val="0"/>
                  <w:vAlign w:val="center"/>
                </w:tcPr>
                <w:p w14:paraId="1B0AF744">
                  <w:pPr>
                    <w:pStyle w:val="200"/>
                    <w:spacing w:before="24" w:after="24" w:line="240" w:lineRule="atLeast"/>
                    <w:rPr>
                      <w:rFonts w:hint="default" w:ascii="Times New Roman" w:hAnsi="Times New Roman" w:cs="Times New Roman"/>
                      <w:color w:val="000000"/>
                      <w:sz w:val="18"/>
                      <w:szCs w:val="18"/>
                      <w:shd w:val="clear" w:color="auto" w:fill="FFFFFF"/>
                    </w:rPr>
                  </w:pPr>
                  <w:r>
                    <w:rPr>
                      <w:rFonts w:hint="default" w:ascii="Times New Roman" w:hAnsi="Times New Roman" w:cs="Times New Roman"/>
                      <w:color w:val="000000"/>
                      <w:sz w:val="18"/>
                      <w:szCs w:val="18"/>
                      <w:shd w:val="clear" w:color="auto" w:fill="FFFFFF"/>
                    </w:rPr>
                    <w:t>全面淘汰落后VOCs治理工艺，严禁大风量、高浓度有机废气的有机化工、医药制药、石油化工等行业企业使用UV光解、低温等离子、光氧催化等低效治污设施。其他行业在保证异味治理的前提下，原则上全面淘汰以上低效治污设施。</w:t>
                  </w:r>
                </w:p>
              </w:tc>
              <w:tc>
                <w:tcPr>
                  <w:tcW w:w="2636" w:type="dxa"/>
                  <w:noWrap w:val="0"/>
                  <w:vAlign w:val="center"/>
                </w:tcPr>
                <w:p w14:paraId="431386E4">
                  <w:pPr>
                    <w:pStyle w:val="200"/>
                    <w:spacing w:beforeLines="0" w:afterLines="0" w:line="240" w:lineRule="atLeast"/>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rPr>
                    <w:t>本项目</w:t>
                  </w:r>
                  <w:r>
                    <w:rPr>
                      <w:rFonts w:hint="default" w:ascii="Times New Roman" w:hAnsi="Times New Roman" w:cs="Times New Roman"/>
                      <w:color w:val="000000"/>
                      <w:sz w:val="18"/>
                      <w:szCs w:val="18"/>
                      <w:lang w:val="en-US" w:eastAsia="zh-CN"/>
                    </w:rPr>
                    <w:t>VOCs环保设备为</w:t>
                  </w:r>
                  <w:r>
                    <w:rPr>
                      <w:rFonts w:hint="eastAsia" w:ascii="Times New Roman" w:hAnsi="Times New Roman" w:cs="Times New Roman"/>
                      <w:color w:val="000000"/>
                      <w:sz w:val="18"/>
                      <w:szCs w:val="18"/>
                      <w:lang w:val="en-US" w:eastAsia="zh-CN"/>
                    </w:rPr>
                    <w:t>两级活性炭吸附</w:t>
                  </w:r>
                  <w:r>
                    <w:rPr>
                      <w:rFonts w:hint="default" w:ascii="Times New Roman" w:hAnsi="Times New Roman" w:cs="Times New Roman"/>
                      <w:color w:val="000000"/>
                      <w:sz w:val="18"/>
                      <w:szCs w:val="18"/>
                      <w:lang w:val="en-US" w:eastAsia="zh-CN"/>
                    </w:rPr>
                    <w:t>装置，为VOCs先进处理工艺。</w:t>
                  </w:r>
                </w:p>
              </w:tc>
              <w:tc>
                <w:tcPr>
                  <w:tcW w:w="652" w:type="dxa"/>
                  <w:noWrap w:val="0"/>
                  <w:vAlign w:val="center"/>
                </w:tcPr>
                <w:p w14:paraId="48FD272E">
                  <w:pPr>
                    <w:pStyle w:val="200"/>
                    <w:spacing w:beforeLines="0" w:afterLines="0" w:line="240" w:lineRule="atLeast"/>
                    <w:rPr>
                      <w:rFonts w:hint="default" w:ascii="Times New Roman" w:hAnsi="Times New Roman" w:cs="Times New Roman"/>
                      <w:color w:val="000000"/>
                      <w:sz w:val="18"/>
                      <w:szCs w:val="18"/>
                    </w:rPr>
                  </w:pPr>
                  <w:r>
                    <w:rPr>
                      <w:rFonts w:hint="default" w:ascii="Times New Roman" w:hAnsi="Times New Roman" w:cs="Times New Roman"/>
                      <w:color w:val="000000"/>
                      <w:sz w:val="18"/>
                      <w:szCs w:val="18"/>
                    </w:rPr>
                    <w:t>符合</w:t>
                  </w:r>
                </w:p>
              </w:tc>
            </w:tr>
          </w:tbl>
          <w:p w14:paraId="0653359E">
            <w:pPr>
              <w:pStyle w:val="381"/>
              <w:ind w:firstLine="420"/>
              <w:rPr>
                <w:rFonts w:hint="default" w:ascii="Times New Roman" w:hAnsi="Times New Roman" w:cs="Times New Roman"/>
                <w:color w:val="000000"/>
                <w:sz w:val="21"/>
                <w:szCs w:val="21"/>
                <w:lang w:eastAsia="zh-CN"/>
              </w:rPr>
            </w:pPr>
            <w:r>
              <w:rPr>
                <w:rFonts w:hint="default" w:ascii="Times New Roman" w:hAnsi="Times New Roman" w:cs="Times New Roman"/>
                <w:color w:val="000000"/>
                <w:sz w:val="21"/>
                <w:szCs w:val="18"/>
                <w:lang w:val="en-US"/>
              </w:rPr>
              <w:t>综上分析，</w:t>
            </w:r>
            <w:r>
              <w:rPr>
                <w:rFonts w:hint="default" w:ascii="Times New Roman" w:hAnsi="Times New Roman" w:cs="Times New Roman"/>
                <w:color w:val="000000"/>
                <w:sz w:val="21"/>
                <w:szCs w:val="18"/>
                <w:lang w:val="en-US" w:eastAsia="zh-CN"/>
              </w:rPr>
              <w:t>本</w:t>
            </w:r>
            <w:r>
              <w:rPr>
                <w:rFonts w:hint="default" w:ascii="Times New Roman" w:hAnsi="Times New Roman" w:cs="Times New Roman"/>
                <w:color w:val="000000"/>
                <w:sz w:val="21"/>
                <w:szCs w:val="18"/>
                <w:lang w:val="en-US"/>
              </w:rPr>
              <w:t>项目符合</w:t>
            </w:r>
            <w:r>
              <w:rPr>
                <w:rFonts w:hint="default" w:ascii="Times New Roman" w:hAnsi="Times New Roman" w:cs="Times New Roman"/>
                <w:color w:val="000000"/>
                <w:sz w:val="21"/>
                <w:szCs w:val="21"/>
              </w:rPr>
              <w:t>《全市工业企业大气污染治理品质提升实施方案》的通知（</w:t>
            </w:r>
            <w:r>
              <w:rPr>
                <w:rFonts w:hint="default" w:ascii="Times New Roman" w:hAnsi="Times New Roman" w:cs="Times New Roman"/>
                <w:color w:val="000000"/>
                <w:kern w:val="0"/>
                <w:sz w:val="21"/>
                <w:szCs w:val="18"/>
                <w:shd w:val="clear" w:color="auto" w:fill="FFFFFF"/>
              </w:rPr>
              <w:t>淄环委办〔2022〕10号</w:t>
            </w:r>
            <w:r>
              <w:rPr>
                <w:rFonts w:hint="default" w:ascii="Times New Roman" w:hAnsi="Times New Roman" w:cs="Times New Roman"/>
                <w:color w:val="000000"/>
                <w:sz w:val="21"/>
                <w:szCs w:val="21"/>
              </w:rPr>
              <w:t>）中相关要求</w:t>
            </w:r>
            <w:r>
              <w:rPr>
                <w:rFonts w:hint="default" w:ascii="Times New Roman" w:hAnsi="Times New Roman" w:cs="Times New Roman"/>
                <w:color w:val="000000"/>
                <w:sz w:val="21"/>
                <w:szCs w:val="21"/>
                <w:lang w:eastAsia="zh-CN"/>
              </w:rPr>
              <w:t>。</w:t>
            </w:r>
          </w:p>
          <w:p w14:paraId="3089D737">
            <w:pPr>
              <w:pStyle w:val="381"/>
              <w:ind w:firstLine="420"/>
              <w:rPr>
                <w:rFonts w:hint="default" w:ascii="Times New Roman" w:hAnsi="Times New Roman" w:cs="Times New Roman"/>
                <w:color w:val="000000"/>
                <w:sz w:val="21"/>
                <w:szCs w:val="21"/>
                <w:lang w:eastAsia="zh-CN"/>
              </w:rPr>
            </w:pPr>
          </w:p>
          <w:p w14:paraId="6D46AC57">
            <w:pPr>
              <w:pStyle w:val="381"/>
              <w:ind w:firstLine="420"/>
              <w:rPr>
                <w:rFonts w:hint="default" w:ascii="Times New Roman" w:hAnsi="Times New Roman" w:cs="Times New Roman"/>
                <w:color w:val="000000"/>
                <w:sz w:val="21"/>
                <w:szCs w:val="21"/>
                <w:lang w:eastAsia="zh-CN"/>
              </w:rPr>
            </w:pPr>
          </w:p>
          <w:p w14:paraId="7D3CCF0F">
            <w:pPr>
              <w:pStyle w:val="381"/>
              <w:ind w:firstLine="420"/>
              <w:rPr>
                <w:rFonts w:hint="default" w:ascii="Times New Roman" w:hAnsi="Times New Roman" w:cs="Times New Roman"/>
                <w:color w:val="000000"/>
                <w:sz w:val="21"/>
                <w:szCs w:val="21"/>
                <w:lang w:eastAsia="zh-CN"/>
              </w:rPr>
            </w:pPr>
          </w:p>
          <w:p w14:paraId="18315902">
            <w:pPr>
              <w:pStyle w:val="381"/>
              <w:ind w:firstLine="420"/>
              <w:rPr>
                <w:rFonts w:hint="default" w:ascii="Times New Roman" w:hAnsi="Times New Roman" w:cs="Times New Roman"/>
                <w:color w:val="000000"/>
                <w:sz w:val="21"/>
                <w:szCs w:val="21"/>
                <w:lang w:eastAsia="zh-CN"/>
              </w:rPr>
            </w:pPr>
          </w:p>
          <w:p w14:paraId="2AA74FF2">
            <w:pPr>
              <w:pStyle w:val="381"/>
              <w:ind w:firstLine="420"/>
              <w:rPr>
                <w:rFonts w:hint="default" w:ascii="Times New Roman" w:hAnsi="Times New Roman" w:cs="Times New Roman"/>
                <w:color w:val="000000"/>
                <w:sz w:val="21"/>
                <w:szCs w:val="21"/>
                <w:lang w:eastAsia="zh-CN"/>
              </w:rPr>
            </w:pPr>
          </w:p>
          <w:p w14:paraId="33D222FD">
            <w:pPr>
              <w:pStyle w:val="381"/>
              <w:ind w:firstLine="420"/>
              <w:rPr>
                <w:color w:val="auto"/>
                <w:sz w:val="21"/>
                <w:szCs w:val="21"/>
                <w:highlight w:val="none"/>
              </w:rPr>
            </w:pPr>
          </w:p>
          <w:p w14:paraId="61CCC5BA">
            <w:pPr>
              <w:pStyle w:val="381"/>
              <w:ind w:firstLine="420"/>
              <w:rPr>
                <w:color w:val="auto"/>
                <w:sz w:val="21"/>
                <w:szCs w:val="21"/>
                <w:highlight w:val="none"/>
              </w:rPr>
            </w:pPr>
          </w:p>
          <w:p w14:paraId="3F1CFDEB">
            <w:pPr>
              <w:pStyle w:val="381"/>
              <w:ind w:firstLine="420"/>
              <w:rPr>
                <w:color w:val="auto"/>
                <w:sz w:val="21"/>
                <w:szCs w:val="21"/>
                <w:highlight w:val="none"/>
              </w:rPr>
            </w:pPr>
          </w:p>
          <w:p w14:paraId="39853F12">
            <w:pPr>
              <w:pStyle w:val="381"/>
              <w:ind w:firstLine="420"/>
              <w:rPr>
                <w:color w:val="auto"/>
                <w:sz w:val="21"/>
                <w:szCs w:val="21"/>
                <w:highlight w:val="none"/>
              </w:rPr>
            </w:pPr>
          </w:p>
          <w:p w14:paraId="2602255C">
            <w:pPr>
              <w:pStyle w:val="381"/>
              <w:ind w:firstLine="420"/>
              <w:rPr>
                <w:color w:val="auto"/>
                <w:sz w:val="21"/>
                <w:szCs w:val="21"/>
                <w:highlight w:val="none"/>
              </w:rPr>
            </w:pPr>
          </w:p>
          <w:p w14:paraId="4523F29D">
            <w:pPr>
              <w:pStyle w:val="381"/>
              <w:ind w:firstLine="420"/>
              <w:rPr>
                <w:color w:val="auto"/>
                <w:sz w:val="21"/>
                <w:szCs w:val="21"/>
                <w:highlight w:val="none"/>
              </w:rPr>
            </w:pPr>
          </w:p>
          <w:p w14:paraId="28644C4D">
            <w:pPr>
              <w:pStyle w:val="381"/>
              <w:ind w:firstLine="420"/>
              <w:rPr>
                <w:color w:val="auto"/>
                <w:sz w:val="21"/>
                <w:szCs w:val="21"/>
                <w:highlight w:val="none"/>
              </w:rPr>
            </w:pPr>
          </w:p>
          <w:p w14:paraId="4C40EE6A">
            <w:pPr>
              <w:pStyle w:val="381"/>
              <w:ind w:firstLine="420"/>
              <w:rPr>
                <w:color w:val="auto"/>
                <w:sz w:val="21"/>
                <w:szCs w:val="21"/>
                <w:highlight w:val="none"/>
              </w:rPr>
            </w:pPr>
          </w:p>
          <w:p w14:paraId="1350E021">
            <w:pPr>
              <w:pStyle w:val="2"/>
              <w:ind w:left="0" w:leftChars="0" w:firstLine="0" w:firstLineChars="0"/>
            </w:pPr>
          </w:p>
          <w:p w14:paraId="01FDF591">
            <w:pPr>
              <w:rPr>
                <w:color w:val="FF0000"/>
              </w:rPr>
            </w:pPr>
          </w:p>
        </w:tc>
      </w:tr>
    </w:tbl>
    <w:p w14:paraId="17345E36">
      <w:pPr>
        <w:spacing w:line="420" w:lineRule="exact"/>
        <w:outlineLvl w:val="0"/>
        <w:rPr>
          <w:rFonts w:eastAsia="黑体"/>
          <w:color w:val="FF0000"/>
          <w:sz w:val="30"/>
        </w:rPr>
        <w:sectPr>
          <w:pgSz w:w="11906" w:h="16838"/>
          <w:pgMar w:top="1701" w:right="1531" w:bottom="1701" w:left="1531" w:header="851" w:footer="1191" w:gutter="0"/>
          <w:pgNumType w:fmt="decimal" w:start="1"/>
          <w:cols w:space="720" w:num="1"/>
          <w:docGrid w:linePitch="312" w:charSpace="0"/>
        </w:sectPr>
      </w:pPr>
    </w:p>
    <w:p w14:paraId="55183B61">
      <w:pPr>
        <w:pStyle w:val="76"/>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二、建设项目工程分析</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0"/>
        <w:gridCol w:w="8640"/>
      </w:tblGrid>
      <w:tr w14:paraId="647368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0" w:type="dxa"/>
            <w:vAlign w:val="center"/>
          </w:tcPr>
          <w:p w14:paraId="62860DC2">
            <w:pPr>
              <w:pStyle w:val="76"/>
              <w:adjustRightInd w:val="0"/>
              <w:snapToGrid w:val="0"/>
              <w:spacing w:before="0" w:beforeAutospacing="0" w:after="0" w:afterAutospacing="0" w:line="420" w:lineRule="exact"/>
              <w:jc w:val="center"/>
              <w:rPr>
                <w:rFonts w:ascii="Times New Roman" w:hAnsi="Times New Roman"/>
                <w:color w:val="FF0000"/>
                <w:sz w:val="21"/>
                <w:szCs w:val="21"/>
              </w:rPr>
            </w:pPr>
            <w:r>
              <w:rPr>
                <w:rFonts w:ascii="Times New Roman" w:hAnsi="Times New Roman"/>
                <w:sz w:val="21"/>
                <w:szCs w:val="21"/>
              </w:rPr>
              <w:t>建设内容</w:t>
            </w:r>
          </w:p>
        </w:tc>
        <w:tc>
          <w:tcPr>
            <w:tcW w:w="8640" w:type="dxa"/>
          </w:tcPr>
          <w:p w14:paraId="0795C2E3">
            <w:pPr>
              <w:numPr>
                <w:ilvl w:val="0"/>
                <w:numId w:val="0"/>
              </w:numPr>
              <w:snapToGrid w:val="0"/>
              <w:spacing w:line="420" w:lineRule="exact"/>
              <w:ind w:left="780" w:leftChars="0" w:hanging="360" w:firstLineChars="0"/>
            </w:pPr>
            <w:r>
              <w:rPr>
                <w:rFonts w:hint="default" w:ascii="Times New Roman" w:hAnsi="Times New Roman" w:eastAsia="宋体" w:cs="Times New Roman"/>
                <w:kern w:val="2"/>
                <w:sz w:val="21"/>
                <w:szCs w:val="21"/>
                <w:lang w:val="en-US" w:eastAsia="zh-CN" w:bidi="ar-SA"/>
              </w:rPr>
              <w:t>1、</w:t>
            </w:r>
            <w:r>
              <w:t>项目由来</w:t>
            </w:r>
          </w:p>
          <w:p w14:paraId="6F845BF4">
            <w:pPr>
              <w:snapToGrid w:val="0"/>
              <w:spacing w:line="420" w:lineRule="exact"/>
              <w:ind w:firstLine="420" w:firstLineChars="200"/>
              <w:rPr>
                <w:rFonts w:ascii="Times New Roman" w:hAnsi="Times New Roman" w:eastAsia="宋体" w:cs="Times New Roman"/>
                <w:sz w:val="21"/>
                <w:szCs w:val="21"/>
              </w:rPr>
            </w:pPr>
            <w:r>
              <w:rPr>
                <w:rFonts w:hint="eastAsia"/>
                <w:sz w:val="21"/>
                <w:szCs w:val="21"/>
                <w:lang w:eastAsia="zh-CN"/>
              </w:rPr>
              <w:t>淄博华鲁供水设备有限公司</w:t>
            </w:r>
            <w:r>
              <w:rPr>
                <w:rFonts w:hint="eastAsia"/>
                <w:sz w:val="21"/>
                <w:szCs w:val="21"/>
              </w:rPr>
              <w:t>成立于</w:t>
            </w:r>
            <w:r>
              <w:rPr>
                <w:rFonts w:hint="eastAsia"/>
                <w:sz w:val="21"/>
                <w:szCs w:val="21"/>
                <w:lang w:val="en-US" w:eastAsia="zh-CN"/>
              </w:rPr>
              <w:t>1994</w:t>
            </w:r>
            <w:r>
              <w:rPr>
                <w:rFonts w:hint="eastAsia"/>
                <w:sz w:val="21"/>
                <w:szCs w:val="21"/>
              </w:rPr>
              <w:t>年</w:t>
            </w:r>
            <w:r>
              <w:rPr>
                <w:rFonts w:hint="eastAsia"/>
                <w:sz w:val="21"/>
                <w:szCs w:val="21"/>
                <w:lang w:eastAsia="zh-CN"/>
              </w:rPr>
              <w:t>，</w:t>
            </w:r>
            <w:r>
              <w:rPr>
                <w:rFonts w:hint="eastAsia"/>
                <w:sz w:val="21"/>
                <w:szCs w:val="21"/>
                <w:lang w:val="en-US" w:eastAsia="zh-CN"/>
              </w:rPr>
              <w:t>1998年投产</w:t>
            </w:r>
            <w:r>
              <w:rPr>
                <w:rFonts w:hint="eastAsia"/>
                <w:sz w:val="21"/>
                <w:szCs w:val="21"/>
              </w:rPr>
              <w:t>，</w:t>
            </w:r>
            <w:r>
              <w:rPr>
                <w:rFonts w:hint="eastAsia"/>
                <w:sz w:val="21"/>
                <w:szCs w:val="21"/>
                <w:lang w:eastAsia="zh-CN"/>
              </w:rPr>
              <w:t>现有</w:t>
            </w:r>
            <w:r>
              <w:rPr>
                <w:rFonts w:hint="eastAsia"/>
                <w:sz w:val="21"/>
                <w:szCs w:val="21"/>
                <w:lang w:val="en-US" w:eastAsia="zh-CN"/>
              </w:rPr>
              <w:t>1</w:t>
            </w:r>
            <w:r>
              <w:rPr>
                <w:rFonts w:hint="eastAsia"/>
                <w:sz w:val="21"/>
                <w:szCs w:val="21"/>
                <w:lang w:eastAsia="zh-CN"/>
              </w:rPr>
              <w:t>个老厂区位于淄博市淄川经济开发区华鲁路</w:t>
            </w:r>
            <w:r>
              <w:rPr>
                <w:rFonts w:hint="eastAsia"/>
                <w:sz w:val="21"/>
                <w:szCs w:val="21"/>
                <w:lang w:val="en-US" w:eastAsia="zh-CN"/>
              </w:rPr>
              <w:t>1号</w:t>
            </w:r>
            <w:r>
              <w:rPr>
                <w:rFonts w:hint="eastAsia"/>
                <w:sz w:val="21"/>
                <w:szCs w:val="21"/>
                <w:lang w:eastAsia="zh-CN"/>
              </w:rPr>
              <w:t>，</w:t>
            </w:r>
            <w:r>
              <w:rPr>
                <w:rFonts w:hint="eastAsia"/>
                <w:sz w:val="21"/>
                <w:szCs w:val="21"/>
                <w:lang w:val="en-US" w:eastAsia="zh-CN"/>
              </w:rPr>
              <w:t>主要生产供水设备、热水锅炉、换热器等，</w:t>
            </w:r>
            <w:r>
              <w:rPr>
                <w:rFonts w:hint="eastAsia" w:cs="Times New Roman"/>
                <w:sz w:val="21"/>
                <w:szCs w:val="21"/>
                <w:lang w:eastAsia="zh-CN"/>
              </w:rPr>
              <w:t>现有项目环评及“三同时”执行情况见下表。</w:t>
            </w:r>
          </w:p>
          <w:p w14:paraId="5FF18048">
            <w:pPr>
              <w:snapToGrid w:val="0"/>
              <w:spacing w:line="420" w:lineRule="exact"/>
              <w:jc w:val="center"/>
            </w:pPr>
            <w:r>
              <w:rPr>
                <w:b/>
                <w:bCs/>
                <w:kern w:val="44"/>
              </w:rPr>
              <w:t>表</w:t>
            </w:r>
            <w:r>
              <w:rPr>
                <w:rFonts w:hint="eastAsia"/>
                <w:b/>
                <w:bCs/>
                <w:kern w:val="44"/>
              </w:rPr>
              <w:t>2-</w:t>
            </w:r>
            <w:r>
              <w:rPr>
                <w:rFonts w:hint="eastAsia"/>
                <w:b/>
                <w:bCs/>
                <w:kern w:val="44"/>
                <w:lang w:val="en-US" w:eastAsia="zh-CN"/>
              </w:rPr>
              <w:t>1</w:t>
            </w:r>
            <w:r>
              <w:rPr>
                <w:b/>
                <w:bCs/>
                <w:kern w:val="44"/>
              </w:rPr>
              <w:t>现有项目环评及“三同时”执行情况一览表</w:t>
            </w:r>
          </w:p>
          <w:tbl>
            <w:tblPr>
              <w:tblStyle w:val="138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27"/>
              <w:gridCol w:w="812"/>
              <w:gridCol w:w="1050"/>
              <w:gridCol w:w="1010"/>
              <w:gridCol w:w="1005"/>
              <w:gridCol w:w="1013"/>
              <w:gridCol w:w="1096"/>
              <w:gridCol w:w="1096"/>
            </w:tblGrid>
            <w:tr w14:paraId="30A35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3" w:hRule="atLeast"/>
                <w:jc w:val="center"/>
              </w:trPr>
              <w:tc>
                <w:tcPr>
                  <w:tcW w:w="789" w:type="pct"/>
                  <w:vAlign w:val="center"/>
                </w:tcPr>
                <w:p w14:paraId="70C5DF79">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项目名称</w:t>
                  </w:r>
                </w:p>
              </w:tc>
              <w:tc>
                <w:tcPr>
                  <w:tcW w:w="483" w:type="pct"/>
                  <w:vAlign w:val="center"/>
                </w:tcPr>
                <w:p w14:paraId="0C9E9C81">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审批单位</w:t>
                  </w:r>
                </w:p>
              </w:tc>
              <w:tc>
                <w:tcPr>
                  <w:tcW w:w="624" w:type="pct"/>
                  <w:vAlign w:val="center"/>
                </w:tcPr>
                <w:p w14:paraId="7790B5DD">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审批时间</w:t>
                  </w:r>
                </w:p>
              </w:tc>
              <w:tc>
                <w:tcPr>
                  <w:tcW w:w="600" w:type="pct"/>
                  <w:vAlign w:val="center"/>
                </w:tcPr>
                <w:p w14:paraId="2CA0071C">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批复文号</w:t>
                  </w:r>
                </w:p>
              </w:tc>
              <w:tc>
                <w:tcPr>
                  <w:tcW w:w="597" w:type="pct"/>
                  <w:vAlign w:val="center"/>
                </w:tcPr>
                <w:p w14:paraId="5D37070E">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验收时间</w:t>
                  </w:r>
                </w:p>
              </w:tc>
              <w:tc>
                <w:tcPr>
                  <w:tcW w:w="602" w:type="pct"/>
                  <w:vAlign w:val="center"/>
                </w:tcPr>
                <w:p w14:paraId="481157F9">
                  <w:pPr>
                    <w:adjustRightInd w:val="0"/>
                    <w:snapToGrid w:val="0"/>
                    <w:jc w:val="center"/>
                    <w:rPr>
                      <w:rFonts w:hint="default" w:ascii="Times New Roman" w:hAnsi="Times New Roman" w:eastAsia="宋体" w:cs="Times New Roman"/>
                      <w:b/>
                      <w:bCs/>
                      <w:sz w:val="18"/>
                      <w:szCs w:val="18"/>
                      <w:highlight w:val="none"/>
                      <w:lang w:eastAsia="zh-CN"/>
                    </w:rPr>
                  </w:pPr>
                  <w:r>
                    <w:rPr>
                      <w:rFonts w:hint="default" w:ascii="Times New Roman" w:hAnsi="Times New Roman" w:eastAsia="宋体" w:cs="Times New Roman"/>
                      <w:b/>
                      <w:bCs/>
                      <w:sz w:val="18"/>
                      <w:szCs w:val="18"/>
                      <w:highlight w:val="none"/>
                      <w:lang w:eastAsia="zh-CN"/>
                    </w:rPr>
                    <w:t>验收文号</w:t>
                  </w:r>
                </w:p>
              </w:tc>
              <w:tc>
                <w:tcPr>
                  <w:tcW w:w="651" w:type="pct"/>
                  <w:vAlign w:val="center"/>
                </w:tcPr>
                <w:p w14:paraId="1253DE75">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运行情况</w:t>
                  </w:r>
                </w:p>
              </w:tc>
              <w:tc>
                <w:tcPr>
                  <w:tcW w:w="651" w:type="pct"/>
                  <w:vAlign w:val="center"/>
                </w:tcPr>
                <w:p w14:paraId="4FA1DDAB">
                  <w:pPr>
                    <w:adjustRightInd w:val="0"/>
                    <w:snapToGrid w:val="0"/>
                    <w:jc w:val="center"/>
                    <w:rPr>
                      <w:rFonts w:hint="default" w:ascii="Times New Roman" w:hAnsi="Times New Roman" w:eastAsia="宋体" w:cs="Times New Roman"/>
                      <w:b/>
                      <w:bCs/>
                      <w:sz w:val="18"/>
                      <w:szCs w:val="18"/>
                      <w:highlight w:val="none"/>
                      <w:lang w:eastAsia="zh-CN"/>
                    </w:rPr>
                  </w:pPr>
                  <w:r>
                    <w:rPr>
                      <w:rFonts w:hint="default" w:ascii="Times New Roman" w:hAnsi="Times New Roman" w:eastAsia="宋体" w:cs="Times New Roman"/>
                      <w:b/>
                      <w:bCs/>
                      <w:sz w:val="18"/>
                      <w:szCs w:val="18"/>
                      <w:highlight w:val="none"/>
                      <w:lang w:eastAsia="zh-CN"/>
                    </w:rPr>
                    <w:t>位置情况</w:t>
                  </w:r>
                </w:p>
              </w:tc>
            </w:tr>
            <w:tr w14:paraId="730757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789" w:type="pct"/>
                  <w:vAlign w:val="center"/>
                </w:tcPr>
                <w:p w14:paraId="4485DA3E">
                  <w:pPr>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年产100套供水设备、10台热水锅炉、10台换热器项目</w:t>
                  </w:r>
                </w:p>
              </w:tc>
              <w:tc>
                <w:tcPr>
                  <w:tcW w:w="483" w:type="pct"/>
                  <w:vAlign w:val="center"/>
                </w:tcPr>
                <w:p w14:paraId="23ED2B5A">
                  <w:pPr>
                    <w:adjustRightInd w:val="0"/>
                    <w:snapToGrid w:val="0"/>
                    <w:jc w:val="center"/>
                    <w:rPr>
                      <w:rFonts w:hint="default" w:ascii="Times New Roman" w:hAnsi="Times New Roman" w:eastAsia="宋体" w:cs="Times New Roman"/>
                      <w:sz w:val="18"/>
                      <w:szCs w:val="18"/>
                      <w:highlight w:val="none"/>
                      <w:lang w:eastAsia="zh-CN"/>
                    </w:rPr>
                  </w:pPr>
                  <w:r>
                    <w:rPr>
                      <w:rFonts w:hint="default" w:ascii="Times New Roman" w:hAnsi="Times New Roman" w:eastAsia="宋体" w:cs="Times New Roman"/>
                      <w:sz w:val="18"/>
                      <w:szCs w:val="18"/>
                      <w:lang w:val="en-US" w:eastAsia="zh-CN"/>
                    </w:rPr>
                    <w:t>原淄博市环境保护局淄川分局</w:t>
                  </w:r>
                </w:p>
              </w:tc>
              <w:tc>
                <w:tcPr>
                  <w:tcW w:w="624" w:type="pct"/>
                  <w:vAlign w:val="center"/>
                </w:tcPr>
                <w:p w14:paraId="34CDF1B9">
                  <w:pPr>
                    <w:adjustRightInd w:val="0"/>
                    <w:snapToGrid w:val="0"/>
                    <w:jc w:val="center"/>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sz w:val="18"/>
                      <w:szCs w:val="18"/>
                      <w:lang w:val="en-US" w:eastAsia="zh-CN"/>
                    </w:rPr>
                    <w:t>2</w:t>
                  </w:r>
                  <w:r>
                    <w:rPr>
                      <w:rFonts w:hint="default" w:ascii="Times New Roman" w:hAnsi="Times New Roman" w:cs="Times New Roman"/>
                      <w:sz w:val="18"/>
                      <w:szCs w:val="18"/>
                      <w:lang w:val="en-US" w:eastAsia="zh-CN"/>
                    </w:rPr>
                    <w:t>009</w:t>
                  </w:r>
                  <w:r>
                    <w:rPr>
                      <w:rFonts w:hint="default" w:ascii="Times New Roman" w:hAnsi="Times New Roman" w:eastAsia="宋体" w:cs="Times New Roman"/>
                      <w:sz w:val="18"/>
                      <w:szCs w:val="18"/>
                      <w:lang w:val="en-US" w:eastAsia="zh-CN"/>
                    </w:rPr>
                    <w:t>年</w:t>
                  </w:r>
                  <w:r>
                    <w:rPr>
                      <w:rFonts w:hint="default" w:ascii="Times New Roman" w:hAnsi="Times New Roman" w:cs="Times New Roman"/>
                      <w:sz w:val="18"/>
                      <w:szCs w:val="18"/>
                      <w:lang w:val="en-US" w:eastAsia="zh-CN"/>
                    </w:rPr>
                    <w:t>7</w:t>
                  </w:r>
                  <w:r>
                    <w:rPr>
                      <w:rFonts w:hint="default" w:ascii="Times New Roman" w:hAnsi="Times New Roman" w:eastAsia="宋体" w:cs="Times New Roman"/>
                      <w:sz w:val="18"/>
                      <w:szCs w:val="18"/>
                      <w:lang w:val="en-US" w:eastAsia="zh-CN"/>
                    </w:rPr>
                    <w:t xml:space="preserve">月 </w:t>
                  </w:r>
                  <w:r>
                    <w:rPr>
                      <w:rFonts w:hint="default" w:ascii="Times New Roman" w:hAnsi="Times New Roman" w:cs="Times New Roman"/>
                      <w:sz w:val="18"/>
                      <w:szCs w:val="18"/>
                      <w:lang w:val="en-US" w:eastAsia="zh-CN"/>
                    </w:rPr>
                    <w:t>16</w:t>
                  </w:r>
                  <w:r>
                    <w:rPr>
                      <w:rFonts w:hint="default" w:ascii="Times New Roman" w:hAnsi="Times New Roman" w:eastAsia="宋体" w:cs="Times New Roman"/>
                      <w:sz w:val="18"/>
                      <w:szCs w:val="18"/>
                      <w:lang w:val="en-US" w:eastAsia="zh-CN"/>
                    </w:rPr>
                    <w:t>日</w:t>
                  </w:r>
                </w:p>
              </w:tc>
              <w:tc>
                <w:tcPr>
                  <w:tcW w:w="600" w:type="pct"/>
                  <w:vAlign w:val="center"/>
                </w:tcPr>
                <w:p w14:paraId="4CBF93A5">
                  <w:pPr>
                    <w:jc w:val="center"/>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bCs/>
                      <w:color w:val="000000"/>
                      <w:kern w:val="0"/>
                      <w:sz w:val="18"/>
                      <w:szCs w:val="18"/>
                    </w:rPr>
                    <w:t>川环</w:t>
                  </w:r>
                  <w:r>
                    <w:rPr>
                      <w:rFonts w:hint="default" w:ascii="Times New Roman" w:hAnsi="Times New Roman" w:eastAsia="宋体" w:cs="Times New Roman"/>
                      <w:bCs/>
                      <w:color w:val="000000"/>
                      <w:kern w:val="0"/>
                      <w:sz w:val="18"/>
                      <w:szCs w:val="18"/>
                      <w:lang w:eastAsia="zh-CN"/>
                    </w:rPr>
                    <w:t>报告表</w:t>
                  </w:r>
                  <w:r>
                    <w:rPr>
                      <w:rFonts w:hint="default" w:ascii="Times New Roman" w:hAnsi="Times New Roman" w:eastAsia="宋体" w:cs="Times New Roman"/>
                      <w:bCs/>
                      <w:color w:val="000000"/>
                      <w:kern w:val="0"/>
                      <w:sz w:val="18"/>
                      <w:szCs w:val="18"/>
                    </w:rPr>
                    <w:t>[20</w:t>
                  </w:r>
                  <w:r>
                    <w:rPr>
                      <w:rFonts w:hint="default" w:ascii="Times New Roman" w:hAnsi="Times New Roman" w:cs="Times New Roman"/>
                      <w:bCs/>
                      <w:color w:val="000000"/>
                      <w:kern w:val="0"/>
                      <w:sz w:val="18"/>
                      <w:szCs w:val="18"/>
                      <w:lang w:val="en-US" w:eastAsia="zh-CN"/>
                    </w:rPr>
                    <w:t>09</w:t>
                  </w:r>
                  <w:r>
                    <w:rPr>
                      <w:rFonts w:hint="default" w:ascii="Times New Roman" w:hAnsi="Times New Roman" w:eastAsia="宋体" w:cs="Times New Roman"/>
                      <w:bCs/>
                      <w:color w:val="000000"/>
                      <w:kern w:val="0"/>
                      <w:sz w:val="18"/>
                      <w:szCs w:val="18"/>
                    </w:rPr>
                    <w:t>]</w:t>
                  </w:r>
                  <w:r>
                    <w:rPr>
                      <w:rFonts w:hint="default" w:ascii="Times New Roman" w:hAnsi="Times New Roman" w:cs="Times New Roman"/>
                      <w:bCs/>
                      <w:color w:val="000000"/>
                      <w:kern w:val="0"/>
                      <w:sz w:val="18"/>
                      <w:szCs w:val="18"/>
                      <w:lang w:val="en-US" w:eastAsia="zh-CN"/>
                    </w:rPr>
                    <w:t>19</w:t>
                  </w:r>
                  <w:r>
                    <w:rPr>
                      <w:rFonts w:hint="default" w:ascii="Times New Roman" w:hAnsi="Times New Roman" w:eastAsia="宋体" w:cs="Times New Roman"/>
                      <w:bCs/>
                      <w:color w:val="000000"/>
                      <w:kern w:val="0"/>
                      <w:sz w:val="18"/>
                      <w:szCs w:val="18"/>
                    </w:rPr>
                    <w:t>号</w:t>
                  </w:r>
                </w:p>
              </w:tc>
              <w:tc>
                <w:tcPr>
                  <w:tcW w:w="597" w:type="pct"/>
                  <w:vAlign w:val="center"/>
                </w:tcPr>
                <w:p w14:paraId="0166E49B">
                  <w:pPr>
                    <w:adjustRightInd w:val="0"/>
                    <w:snapToGrid w:val="0"/>
                    <w:jc w:val="center"/>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sz w:val="18"/>
                      <w:szCs w:val="18"/>
                      <w:lang w:val="en-US" w:eastAsia="zh-CN"/>
                    </w:rPr>
                    <w:t>20</w:t>
                  </w:r>
                  <w:r>
                    <w:rPr>
                      <w:rFonts w:hint="default" w:ascii="Times New Roman" w:hAnsi="Times New Roman" w:cs="Times New Roman"/>
                      <w:sz w:val="18"/>
                      <w:szCs w:val="18"/>
                      <w:lang w:val="en-US" w:eastAsia="zh-CN"/>
                    </w:rPr>
                    <w:t>09</w:t>
                  </w:r>
                  <w:r>
                    <w:rPr>
                      <w:rFonts w:hint="default" w:ascii="Times New Roman" w:hAnsi="Times New Roman" w:eastAsia="宋体" w:cs="Times New Roman"/>
                      <w:sz w:val="18"/>
                      <w:szCs w:val="18"/>
                      <w:lang w:val="en-US" w:eastAsia="zh-CN"/>
                    </w:rPr>
                    <w:t>年</w:t>
                  </w:r>
                  <w:r>
                    <w:rPr>
                      <w:rFonts w:hint="default" w:ascii="Times New Roman" w:hAnsi="Times New Roman" w:cs="Times New Roman"/>
                      <w:sz w:val="18"/>
                      <w:szCs w:val="18"/>
                      <w:lang w:val="en-US" w:eastAsia="zh-CN"/>
                    </w:rPr>
                    <w:t>9</w:t>
                  </w:r>
                  <w:r>
                    <w:rPr>
                      <w:rFonts w:hint="default" w:ascii="Times New Roman" w:hAnsi="Times New Roman" w:eastAsia="宋体" w:cs="Times New Roman"/>
                      <w:sz w:val="18"/>
                      <w:szCs w:val="18"/>
                      <w:lang w:val="en-US" w:eastAsia="zh-CN"/>
                    </w:rPr>
                    <w:t xml:space="preserve">月 </w:t>
                  </w:r>
                  <w:r>
                    <w:rPr>
                      <w:rFonts w:hint="default" w:ascii="Times New Roman" w:hAnsi="Times New Roman" w:cs="Times New Roman"/>
                      <w:sz w:val="18"/>
                      <w:szCs w:val="18"/>
                      <w:lang w:val="en-US" w:eastAsia="zh-CN"/>
                    </w:rPr>
                    <w:t>1</w:t>
                  </w:r>
                  <w:r>
                    <w:rPr>
                      <w:rFonts w:hint="default" w:ascii="Times New Roman" w:hAnsi="Times New Roman" w:eastAsia="宋体" w:cs="Times New Roman"/>
                      <w:sz w:val="18"/>
                      <w:szCs w:val="18"/>
                      <w:lang w:val="en-US" w:eastAsia="zh-CN"/>
                    </w:rPr>
                    <w:t>8日</w:t>
                  </w:r>
                </w:p>
              </w:tc>
              <w:tc>
                <w:tcPr>
                  <w:tcW w:w="602" w:type="pct"/>
                  <w:vAlign w:val="center"/>
                </w:tcPr>
                <w:p w14:paraId="450DC546">
                  <w:pPr>
                    <w:adjustRightInd w:val="0"/>
                    <w:snapToGrid w:val="0"/>
                    <w:jc w:val="center"/>
                    <w:rPr>
                      <w:rFonts w:hint="default" w:ascii="Times New Roman" w:hAnsi="Times New Roman" w:eastAsia="宋体" w:cs="Times New Roman"/>
                      <w:spacing w:val="5"/>
                      <w:sz w:val="18"/>
                      <w:szCs w:val="18"/>
                      <w:highlight w:val="none"/>
                      <w:lang w:eastAsia="zh-CN"/>
                    </w:rPr>
                  </w:pPr>
                  <w:r>
                    <w:rPr>
                      <w:rFonts w:hint="default" w:ascii="Times New Roman" w:hAnsi="Times New Roman" w:eastAsia="宋体" w:cs="Times New Roman"/>
                      <w:spacing w:val="5"/>
                      <w:sz w:val="18"/>
                      <w:szCs w:val="18"/>
                      <w:highlight w:val="none"/>
                      <w:lang w:eastAsia="zh-CN"/>
                    </w:rPr>
                    <w:t>川环验</w:t>
                  </w:r>
                  <w:r>
                    <w:rPr>
                      <w:rFonts w:hint="default" w:ascii="Times New Roman" w:hAnsi="Times New Roman" w:eastAsia="宋体" w:cs="Times New Roman"/>
                      <w:bCs/>
                      <w:color w:val="000000"/>
                      <w:kern w:val="0"/>
                      <w:sz w:val="18"/>
                      <w:szCs w:val="18"/>
                    </w:rPr>
                    <w:t>[20</w:t>
                  </w:r>
                  <w:r>
                    <w:rPr>
                      <w:rFonts w:hint="default" w:ascii="Times New Roman" w:hAnsi="Times New Roman" w:cs="Times New Roman"/>
                      <w:bCs/>
                      <w:color w:val="000000"/>
                      <w:kern w:val="0"/>
                      <w:sz w:val="18"/>
                      <w:szCs w:val="18"/>
                      <w:lang w:val="en-US" w:eastAsia="zh-CN"/>
                    </w:rPr>
                    <w:t>09</w:t>
                  </w:r>
                  <w:r>
                    <w:rPr>
                      <w:rFonts w:hint="default" w:ascii="Times New Roman" w:hAnsi="Times New Roman" w:eastAsia="宋体" w:cs="Times New Roman"/>
                      <w:bCs/>
                      <w:color w:val="000000"/>
                      <w:kern w:val="0"/>
                      <w:sz w:val="18"/>
                      <w:szCs w:val="18"/>
                    </w:rPr>
                    <w:t>]</w:t>
                  </w:r>
                  <w:r>
                    <w:rPr>
                      <w:rFonts w:hint="default" w:ascii="Times New Roman" w:hAnsi="Times New Roman" w:cs="Times New Roman"/>
                      <w:bCs/>
                      <w:color w:val="000000"/>
                      <w:kern w:val="0"/>
                      <w:sz w:val="18"/>
                      <w:szCs w:val="18"/>
                      <w:lang w:val="en-US" w:eastAsia="zh-CN"/>
                    </w:rPr>
                    <w:t>62</w:t>
                  </w:r>
                  <w:r>
                    <w:rPr>
                      <w:rFonts w:hint="default" w:ascii="Times New Roman" w:hAnsi="Times New Roman" w:eastAsia="宋体" w:cs="Times New Roman"/>
                      <w:bCs/>
                      <w:color w:val="000000"/>
                      <w:kern w:val="0"/>
                      <w:sz w:val="18"/>
                      <w:szCs w:val="18"/>
                    </w:rPr>
                    <w:t>号</w:t>
                  </w:r>
                </w:p>
              </w:tc>
              <w:tc>
                <w:tcPr>
                  <w:tcW w:w="651" w:type="pct"/>
                  <w:vAlign w:val="center"/>
                </w:tcPr>
                <w:p w14:paraId="3794D6EE">
                  <w:pPr>
                    <w:adjustRightInd w:val="0"/>
                    <w:snapToGrid w:val="0"/>
                    <w:jc w:val="center"/>
                    <w:rPr>
                      <w:rFonts w:hint="default" w:ascii="Times New Roman" w:hAnsi="Times New Roman" w:eastAsia="宋体" w:cs="Times New Roman"/>
                      <w:sz w:val="18"/>
                      <w:szCs w:val="18"/>
                      <w:highlight w:val="none"/>
                      <w:lang w:eastAsia="zh-CN"/>
                    </w:rPr>
                  </w:pPr>
                  <w:r>
                    <w:rPr>
                      <w:rFonts w:hint="default" w:ascii="Times New Roman" w:hAnsi="Times New Roman" w:eastAsia="宋体" w:cs="Times New Roman"/>
                      <w:spacing w:val="5"/>
                      <w:sz w:val="18"/>
                      <w:szCs w:val="18"/>
                      <w:highlight w:val="none"/>
                      <w:lang w:eastAsia="zh-CN"/>
                    </w:rPr>
                    <w:t>正常生产</w:t>
                  </w:r>
                </w:p>
              </w:tc>
              <w:tc>
                <w:tcPr>
                  <w:tcW w:w="651" w:type="pct"/>
                  <w:vAlign w:val="center"/>
                </w:tcPr>
                <w:p w14:paraId="2EAD21B8">
                  <w:pPr>
                    <w:adjustRightInd w:val="0"/>
                    <w:snapToGrid w:val="0"/>
                    <w:jc w:val="center"/>
                    <w:rPr>
                      <w:rFonts w:hint="default" w:ascii="Times New Roman" w:hAnsi="Times New Roman" w:eastAsia="宋体" w:cs="Times New Roman"/>
                      <w:spacing w:val="5"/>
                      <w:sz w:val="18"/>
                      <w:szCs w:val="18"/>
                      <w:highlight w:val="none"/>
                      <w:lang w:eastAsia="zh-CN"/>
                    </w:rPr>
                  </w:pPr>
                  <w:r>
                    <w:rPr>
                      <w:rFonts w:hint="default" w:ascii="Times New Roman" w:hAnsi="Times New Roman" w:cs="Times New Roman"/>
                      <w:spacing w:val="5"/>
                      <w:sz w:val="18"/>
                      <w:szCs w:val="18"/>
                      <w:highlight w:val="none"/>
                      <w:lang w:eastAsia="zh-CN"/>
                    </w:rPr>
                    <w:t>老</w:t>
                  </w:r>
                  <w:r>
                    <w:rPr>
                      <w:rFonts w:hint="default" w:ascii="Times New Roman" w:hAnsi="Times New Roman" w:eastAsia="宋体" w:cs="Times New Roman"/>
                      <w:spacing w:val="5"/>
                      <w:sz w:val="18"/>
                      <w:szCs w:val="18"/>
                      <w:highlight w:val="none"/>
                      <w:lang w:eastAsia="zh-CN"/>
                    </w:rPr>
                    <w:t>厂区</w:t>
                  </w:r>
                </w:p>
              </w:tc>
            </w:tr>
            <w:tr w14:paraId="696B7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789" w:type="pct"/>
                  <w:vAlign w:val="center"/>
                </w:tcPr>
                <w:p w14:paraId="3D5E93BF">
                  <w:pPr>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年产100套供水设备、10台热水锅炉、10台换热器项目后评价</w:t>
                  </w:r>
                </w:p>
              </w:tc>
              <w:tc>
                <w:tcPr>
                  <w:tcW w:w="483" w:type="pct"/>
                  <w:vAlign w:val="center"/>
                </w:tcPr>
                <w:p w14:paraId="53864A66">
                  <w:pPr>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原淄博市环境保护局淄川分局</w:t>
                  </w:r>
                </w:p>
              </w:tc>
              <w:tc>
                <w:tcPr>
                  <w:tcW w:w="624" w:type="pct"/>
                  <w:vAlign w:val="center"/>
                </w:tcPr>
                <w:p w14:paraId="5F7131D8">
                  <w:pPr>
                    <w:adjustRightInd w:val="0"/>
                    <w:snapToGrid w:val="0"/>
                    <w:jc w:val="center"/>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sz w:val="18"/>
                      <w:szCs w:val="18"/>
                      <w:highlight w:val="none"/>
                      <w:lang w:val="en-US" w:eastAsia="zh-CN"/>
                    </w:rPr>
                    <w:t>201</w:t>
                  </w:r>
                  <w:r>
                    <w:rPr>
                      <w:rFonts w:hint="default" w:ascii="Times New Roman" w:hAnsi="Times New Roman" w:cs="Times New Roman"/>
                      <w:sz w:val="18"/>
                      <w:szCs w:val="18"/>
                      <w:highlight w:val="none"/>
                      <w:lang w:val="en-US" w:eastAsia="zh-CN"/>
                    </w:rPr>
                    <w:t>8</w:t>
                  </w:r>
                  <w:r>
                    <w:rPr>
                      <w:rFonts w:hint="default" w:ascii="Times New Roman" w:hAnsi="Times New Roman" w:eastAsia="宋体" w:cs="Times New Roman"/>
                      <w:sz w:val="18"/>
                      <w:szCs w:val="18"/>
                      <w:highlight w:val="none"/>
                      <w:lang w:val="en-US" w:eastAsia="zh-CN"/>
                    </w:rPr>
                    <w:t>年</w:t>
                  </w:r>
                  <w:r>
                    <w:rPr>
                      <w:rFonts w:hint="default" w:ascii="Times New Roman" w:hAnsi="Times New Roman" w:cs="Times New Roman"/>
                      <w:sz w:val="18"/>
                      <w:szCs w:val="18"/>
                      <w:highlight w:val="none"/>
                      <w:lang w:val="en-US" w:eastAsia="zh-CN"/>
                    </w:rPr>
                    <w:t>9</w:t>
                  </w:r>
                  <w:r>
                    <w:rPr>
                      <w:rFonts w:hint="default" w:ascii="Times New Roman" w:hAnsi="Times New Roman" w:eastAsia="宋体" w:cs="Times New Roman"/>
                      <w:sz w:val="18"/>
                      <w:szCs w:val="18"/>
                      <w:highlight w:val="none"/>
                      <w:lang w:val="en-US" w:eastAsia="zh-CN"/>
                    </w:rPr>
                    <w:t>月1</w:t>
                  </w:r>
                  <w:r>
                    <w:rPr>
                      <w:rFonts w:hint="default" w:ascii="Times New Roman" w:hAnsi="Times New Roman" w:cs="Times New Roman"/>
                      <w:sz w:val="18"/>
                      <w:szCs w:val="18"/>
                      <w:highlight w:val="none"/>
                      <w:lang w:val="en-US" w:eastAsia="zh-CN"/>
                    </w:rPr>
                    <w:t>0</w:t>
                  </w:r>
                  <w:r>
                    <w:rPr>
                      <w:rFonts w:hint="default" w:ascii="Times New Roman" w:hAnsi="Times New Roman" w:eastAsia="宋体" w:cs="Times New Roman"/>
                      <w:sz w:val="18"/>
                      <w:szCs w:val="18"/>
                      <w:highlight w:val="none"/>
                      <w:lang w:val="en-US" w:eastAsia="zh-CN"/>
                    </w:rPr>
                    <w:t>日</w:t>
                  </w:r>
                </w:p>
              </w:tc>
              <w:tc>
                <w:tcPr>
                  <w:tcW w:w="600" w:type="pct"/>
                  <w:vAlign w:val="center"/>
                </w:tcPr>
                <w:p w14:paraId="3E806FE7">
                  <w:pPr>
                    <w:jc w:val="center"/>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color w:val="000000"/>
                      <w:kern w:val="0"/>
                      <w:sz w:val="18"/>
                      <w:szCs w:val="18"/>
                      <w:highlight w:val="none"/>
                    </w:rPr>
                    <w:t>川环</w:t>
                  </w:r>
                  <w:r>
                    <w:rPr>
                      <w:rFonts w:hint="default" w:ascii="Times New Roman" w:hAnsi="Times New Roman" w:cs="Times New Roman"/>
                      <w:color w:val="000000"/>
                      <w:kern w:val="0"/>
                      <w:sz w:val="18"/>
                      <w:szCs w:val="18"/>
                      <w:highlight w:val="none"/>
                      <w:lang w:eastAsia="zh-CN"/>
                    </w:rPr>
                    <w:t>备案</w:t>
                  </w:r>
                  <w:r>
                    <w:rPr>
                      <w:rFonts w:hint="default" w:ascii="Times New Roman" w:hAnsi="Times New Roman" w:eastAsia="宋体" w:cs="Times New Roman"/>
                      <w:color w:val="000000"/>
                      <w:kern w:val="0"/>
                      <w:sz w:val="18"/>
                      <w:szCs w:val="18"/>
                      <w:highlight w:val="none"/>
                    </w:rPr>
                    <w:t>［201</w:t>
                  </w:r>
                  <w:r>
                    <w:rPr>
                      <w:rFonts w:hint="default" w:ascii="Times New Roman" w:hAnsi="Times New Roman" w:cs="Times New Roman"/>
                      <w:color w:val="000000"/>
                      <w:kern w:val="0"/>
                      <w:sz w:val="18"/>
                      <w:szCs w:val="18"/>
                      <w:highlight w:val="none"/>
                      <w:lang w:val="en-US" w:eastAsia="zh-CN"/>
                    </w:rPr>
                    <w:t>8</w:t>
                  </w:r>
                  <w:r>
                    <w:rPr>
                      <w:rFonts w:hint="default" w:ascii="Times New Roman" w:hAnsi="Times New Roman" w:eastAsia="宋体" w:cs="Times New Roman"/>
                      <w:color w:val="000000"/>
                      <w:kern w:val="0"/>
                      <w:sz w:val="18"/>
                      <w:szCs w:val="18"/>
                      <w:highlight w:val="none"/>
                    </w:rPr>
                    <w:t>］</w:t>
                  </w:r>
                  <w:r>
                    <w:rPr>
                      <w:rFonts w:hint="default" w:ascii="Times New Roman" w:hAnsi="Times New Roman" w:cs="Times New Roman"/>
                      <w:color w:val="000000"/>
                      <w:kern w:val="0"/>
                      <w:sz w:val="18"/>
                      <w:szCs w:val="18"/>
                      <w:highlight w:val="none"/>
                      <w:lang w:val="en-US" w:eastAsia="zh-CN"/>
                    </w:rPr>
                    <w:t>46</w:t>
                  </w:r>
                  <w:r>
                    <w:rPr>
                      <w:rFonts w:hint="default" w:ascii="Times New Roman" w:hAnsi="Times New Roman" w:eastAsia="宋体" w:cs="Times New Roman"/>
                      <w:color w:val="000000"/>
                      <w:kern w:val="0"/>
                      <w:sz w:val="18"/>
                      <w:szCs w:val="18"/>
                      <w:highlight w:val="none"/>
                    </w:rPr>
                    <w:t>号</w:t>
                  </w:r>
                </w:p>
              </w:tc>
              <w:tc>
                <w:tcPr>
                  <w:tcW w:w="597" w:type="pct"/>
                  <w:vAlign w:val="center"/>
                </w:tcPr>
                <w:p w14:paraId="7AB8E65B">
                  <w:pPr>
                    <w:adjustRightInd w:val="0"/>
                    <w:snapToGrid w:val="0"/>
                    <w:jc w:val="center"/>
                    <w:rPr>
                      <w:rFonts w:hint="default" w:ascii="Times New Roman" w:hAnsi="Times New Roman" w:eastAsia="宋体" w:cs="Times New Roman"/>
                      <w:sz w:val="18"/>
                      <w:szCs w:val="18"/>
                      <w:highlight w:val="none"/>
                      <w:lang w:val="en-US" w:eastAsia="zh-CN"/>
                    </w:rPr>
                  </w:pPr>
                  <w:r>
                    <w:rPr>
                      <w:rFonts w:hint="default" w:ascii="Times New Roman" w:hAnsi="Times New Roman" w:cs="Times New Roman"/>
                      <w:sz w:val="18"/>
                      <w:szCs w:val="18"/>
                      <w:highlight w:val="none"/>
                      <w:lang w:val="en-US" w:eastAsia="zh-CN"/>
                    </w:rPr>
                    <w:t>/</w:t>
                  </w:r>
                </w:p>
              </w:tc>
              <w:tc>
                <w:tcPr>
                  <w:tcW w:w="602" w:type="pct"/>
                  <w:vAlign w:val="center"/>
                </w:tcPr>
                <w:p w14:paraId="32E6C634">
                  <w:pPr>
                    <w:adjustRightInd w:val="0"/>
                    <w:snapToGrid w:val="0"/>
                    <w:jc w:val="center"/>
                    <w:rPr>
                      <w:rFonts w:hint="default" w:ascii="Times New Roman" w:hAnsi="Times New Roman" w:eastAsia="宋体" w:cs="Times New Roman"/>
                      <w:spacing w:val="5"/>
                      <w:sz w:val="18"/>
                      <w:szCs w:val="18"/>
                      <w:highlight w:val="none"/>
                      <w:lang w:val="en-US" w:eastAsia="zh-CN"/>
                    </w:rPr>
                  </w:pPr>
                  <w:r>
                    <w:rPr>
                      <w:rFonts w:hint="default" w:ascii="Times New Roman" w:hAnsi="Times New Roman" w:cs="Times New Roman"/>
                      <w:spacing w:val="5"/>
                      <w:sz w:val="18"/>
                      <w:szCs w:val="18"/>
                      <w:highlight w:val="none"/>
                      <w:lang w:val="en-US" w:eastAsia="zh-CN"/>
                    </w:rPr>
                    <w:t>/</w:t>
                  </w:r>
                </w:p>
              </w:tc>
              <w:tc>
                <w:tcPr>
                  <w:tcW w:w="651" w:type="pct"/>
                  <w:vAlign w:val="center"/>
                </w:tcPr>
                <w:p w14:paraId="07ECBD19">
                  <w:pPr>
                    <w:adjustRightInd w:val="0"/>
                    <w:snapToGrid w:val="0"/>
                    <w:jc w:val="center"/>
                    <w:rPr>
                      <w:rFonts w:hint="default" w:ascii="Times New Roman" w:hAnsi="Times New Roman" w:eastAsia="宋体" w:cs="Times New Roman"/>
                      <w:spacing w:val="5"/>
                      <w:sz w:val="18"/>
                      <w:szCs w:val="18"/>
                      <w:highlight w:val="none"/>
                      <w:lang w:eastAsia="zh-CN"/>
                    </w:rPr>
                  </w:pPr>
                  <w:r>
                    <w:rPr>
                      <w:rFonts w:hint="default" w:ascii="Times New Roman" w:hAnsi="Times New Roman" w:eastAsia="宋体" w:cs="Times New Roman"/>
                      <w:spacing w:val="5"/>
                      <w:sz w:val="18"/>
                      <w:szCs w:val="18"/>
                      <w:highlight w:val="none"/>
                      <w:lang w:eastAsia="zh-CN"/>
                    </w:rPr>
                    <w:t>正常生产</w:t>
                  </w:r>
                </w:p>
              </w:tc>
              <w:tc>
                <w:tcPr>
                  <w:tcW w:w="651" w:type="pct"/>
                  <w:vAlign w:val="center"/>
                </w:tcPr>
                <w:p w14:paraId="054A67E5">
                  <w:pPr>
                    <w:adjustRightInd w:val="0"/>
                    <w:snapToGrid w:val="0"/>
                    <w:jc w:val="center"/>
                    <w:rPr>
                      <w:rFonts w:hint="default" w:ascii="Times New Roman" w:hAnsi="Times New Roman" w:eastAsia="宋体" w:cs="Times New Roman"/>
                      <w:spacing w:val="5"/>
                      <w:sz w:val="18"/>
                      <w:szCs w:val="18"/>
                      <w:highlight w:val="none"/>
                      <w:lang w:eastAsia="zh-CN"/>
                    </w:rPr>
                  </w:pPr>
                  <w:r>
                    <w:rPr>
                      <w:rFonts w:hint="default" w:ascii="Times New Roman" w:hAnsi="Times New Roman" w:cs="Times New Roman"/>
                      <w:spacing w:val="5"/>
                      <w:sz w:val="18"/>
                      <w:szCs w:val="18"/>
                      <w:highlight w:val="none"/>
                      <w:lang w:eastAsia="zh-CN"/>
                    </w:rPr>
                    <w:t>老</w:t>
                  </w:r>
                  <w:r>
                    <w:rPr>
                      <w:rFonts w:hint="default" w:ascii="Times New Roman" w:hAnsi="Times New Roman" w:eastAsia="宋体" w:cs="Times New Roman"/>
                      <w:spacing w:val="5"/>
                      <w:sz w:val="18"/>
                      <w:szCs w:val="18"/>
                      <w:highlight w:val="none"/>
                      <w:lang w:eastAsia="zh-CN"/>
                    </w:rPr>
                    <w:t>厂区</w:t>
                  </w:r>
                </w:p>
              </w:tc>
            </w:tr>
          </w:tbl>
          <w:p w14:paraId="390FD793">
            <w:pPr>
              <w:snapToGrid w:val="0"/>
              <w:spacing w:line="420" w:lineRule="exact"/>
              <w:ind w:firstLine="420" w:firstLineChars="200"/>
              <w:rPr>
                <w:rFonts w:hint="default" w:ascii="Times New Roman" w:hAnsi="Times New Roman" w:eastAsia="宋体" w:cs="Times New Roman"/>
                <w:sz w:val="21"/>
                <w:szCs w:val="21"/>
                <w:lang w:val="en-US" w:eastAsia="zh-CN"/>
              </w:rPr>
            </w:pPr>
            <w:r>
              <w:rPr>
                <w:rFonts w:hint="eastAsia"/>
                <w:sz w:val="21"/>
                <w:szCs w:val="21"/>
                <w:lang w:eastAsia="zh-CN"/>
              </w:rPr>
              <w:t>为满足市场需求，扩大产品市场占有率，企业拟投资</w:t>
            </w:r>
            <w:r>
              <w:rPr>
                <w:rFonts w:hint="eastAsia"/>
                <w:sz w:val="21"/>
                <w:szCs w:val="21"/>
                <w:lang w:val="en-US" w:eastAsia="zh-CN"/>
              </w:rPr>
              <w:t>6000万元，购置淄川经济开发区中一产业园厂房3栋共计约16200平方米作为新厂区</w:t>
            </w:r>
            <w:r>
              <w:rPr>
                <w:rFonts w:hint="eastAsia"/>
                <w:sz w:val="21"/>
                <w:szCs w:val="21"/>
                <w:lang w:eastAsia="zh-CN"/>
              </w:rPr>
              <w:t>，购置自动焊机、检测设备、行车等国产设备</w:t>
            </w:r>
            <w:r>
              <w:rPr>
                <w:rFonts w:hint="eastAsia"/>
                <w:sz w:val="21"/>
                <w:szCs w:val="21"/>
                <w:lang w:val="en-US" w:eastAsia="zh-CN"/>
              </w:rPr>
              <w:t>约200台（套），同时从老厂区搬迁多余的空压机等辅助设备若干台至新厂区使用，建设</w:t>
            </w:r>
            <w:r>
              <w:rPr>
                <w:rFonts w:hint="eastAsia"/>
                <w:sz w:val="21"/>
                <w:szCs w:val="21"/>
                <w:lang w:eastAsia="zh-CN"/>
              </w:rPr>
              <w:t>淄博华鲁供水设备有限公司搬迁技改项目。项目建成达产后，新厂区可达到年产</w:t>
            </w:r>
            <w:r>
              <w:rPr>
                <w:rFonts w:hint="eastAsia"/>
                <w:sz w:val="21"/>
                <w:szCs w:val="21"/>
                <w:lang w:val="en-US" w:eastAsia="zh-CN"/>
              </w:rPr>
              <w:t>3880套生活、消防供水设备。本项目建成后老厂区仍正常生产，仍为</w:t>
            </w:r>
            <w:r>
              <w:rPr>
                <w:rFonts w:hint="eastAsia" w:ascii="Times New Roman" w:hAnsi="Times New Roman" w:eastAsia="宋体" w:cs="Times New Roman"/>
                <w:sz w:val="21"/>
                <w:szCs w:val="21"/>
                <w:lang w:val="en-US" w:eastAsia="zh-CN"/>
              </w:rPr>
              <w:t>年产100套供水设备、10台热水锅炉、10台换热器。</w:t>
            </w:r>
          </w:p>
          <w:p w14:paraId="7BC2DCF0">
            <w:pPr>
              <w:numPr>
                <w:ilvl w:val="0"/>
                <w:numId w:val="0"/>
              </w:numPr>
              <w:snapToGrid w:val="0"/>
              <w:spacing w:line="420" w:lineRule="exact"/>
              <w:ind w:firstLine="420" w:firstLineChars="200"/>
              <w:rPr>
                <w:snapToGrid w:val="0"/>
                <w:kern w:val="0"/>
                <w:highlight w:val="none"/>
              </w:rPr>
            </w:pPr>
            <w:r>
              <w:rPr>
                <w:rFonts w:hint="eastAsia"/>
                <w:kern w:val="0"/>
                <w:lang w:val="en-US" w:eastAsia="zh-CN"/>
              </w:rPr>
              <w:t>2、</w:t>
            </w:r>
            <w:r>
              <w:rPr>
                <w:kern w:val="0"/>
              </w:rPr>
              <w:t>建设内容：</w:t>
            </w:r>
            <w:r>
              <w:rPr>
                <w:rFonts w:hint="eastAsia"/>
                <w:kern w:val="0"/>
                <w:lang w:eastAsia="zh-CN"/>
              </w:rPr>
              <w:t>本项目购买已建成生产车间，购置生产设备用于新厂区项目生产</w:t>
            </w:r>
            <w:r>
              <w:rPr>
                <w:highlight w:val="none"/>
              </w:rPr>
              <w:t>。</w:t>
            </w:r>
            <w:r>
              <w:rPr>
                <w:snapToGrid w:val="0"/>
                <w:kern w:val="0"/>
                <w:highlight w:val="none"/>
              </w:rPr>
              <w:t>具体内容见表2-</w:t>
            </w:r>
            <w:r>
              <w:rPr>
                <w:rFonts w:hint="eastAsia"/>
                <w:snapToGrid w:val="0"/>
                <w:kern w:val="0"/>
                <w:highlight w:val="none"/>
                <w:lang w:val="en-US" w:eastAsia="zh-CN"/>
              </w:rPr>
              <w:t>2</w:t>
            </w:r>
            <w:r>
              <w:rPr>
                <w:snapToGrid w:val="0"/>
                <w:kern w:val="0"/>
                <w:highlight w:val="none"/>
              </w:rPr>
              <w:t>。</w:t>
            </w:r>
          </w:p>
          <w:p w14:paraId="6DE5E03A">
            <w:pPr>
              <w:spacing w:line="420" w:lineRule="exact"/>
              <w:jc w:val="center"/>
              <w:rPr>
                <w:b/>
                <w:highlight w:val="none"/>
              </w:rPr>
            </w:pPr>
            <w:r>
              <w:rPr>
                <w:b/>
                <w:highlight w:val="none"/>
              </w:rPr>
              <w:t>表2-</w:t>
            </w:r>
            <w:r>
              <w:rPr>
                <w:rFonts w:hint="eastAsia"/>
                <w:b/>
                <w:highlight w:val="none"/>
                <w:lang w:val="en-US" w:eastAsia="zh-CN"/>
              </w:rPr>
              <w:t>2</w:t>
            </w:r>
            <w:r>
              <w:rPr>
                <w:b/>
                <w:highlight w:val="none"/>
              </w:rPr>
              <w:t>项目主要工程内容</w:t>
            </w:r>
          </w:p>
          <w:tbl>
            <w:tblPr>
              <w:tblStyle w:val="81"/>
              <w:tblW w:w="8417" w:type="dxa"/>
              <w:tblInd w:w="-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7"/>
              <w:gridCol w:w="1209"/>
              <w:gridCol w:w="5003"/>
              <w:gridCol w:w="1508"/>
            </w:tblGrid>
            <w:tr w14:paraId="2AA00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414" w:type="pct"/>
                  <w:noWrap w:val="0"/>
                  <w:tcMar>
                    <w:left w:w="57" w:type="dxa"/>
                    <w:right w:w="57" w:type="dxa"/>
                  </w:tcMar>
                  <w:vAlign w:val="center"/>
                </w:tcPr>
                <w:p w14:paraId="24FC759A">
                  <w:pPr>
                    <w:jc w:val="center"/>
                    <w:rPr>
                      <w:bCs/>
                      <w:sz w:val="18"/>
                      <w:szCs w:val="18"/>
                    </w:rPr>
                  </w:pPr>
                  <w:r>
                    <w:rPr>
                      <w:bCs/>
                      <w:sz w:val="18"/>
                      <w:szCs w:val="18"/>
                    </w:rPr>
                    <w:t>类别</w:t>
                  </w:r>
                </w:p>
              </w:tc>
              <w:tc>
                <w:tcPr>
                  <w:tcW w:w="718" w:type="pct"/>
                  <w:noWrap w:val="0"/>
                  <w:tcMar>
                    <w:left w:w="57" w:type="dxa"/>
                    <w:right w:w="57" w:type="dxa"/>
                  </w:tcMar>
                  <w:vAlign w:val="center"/>
                </w:tcPr>
                <w:p w14:paraId="0B38667F">
                  <w:pPr>
                    <w:jc w:val="center"/>
                    <w:rPr>
                      <w:bCs/>
                      <w:sz w:val="18"/>
                      <w:szCs w:val="18"/>
                    </w:rPr>
                  </w:pPr>
                  <w:r>
                    <w:rPr>
                      <w:bCs/>
                      <w:sz w:val="18"/>
                      <w:szCs w:val="18"/>
                    </w:rPr>
                    <w:t>项目名称</w:t>
                  </w:r>
                </w:p>
              </w:tc>
              <w:tc>
                <w:tcPr>
                  <w:tcW w:w="2971" w:type="pct"/>
                  <w:noWrap w:val="0"/>
                  <w:tcMar>
                    <w:left w:w="57" w:type="dxa"/>
                    <w:right w:w="57" w:type="dxa"/>
                  </w:tcMar>
                  <w:vAlign w:val="center"/>
                </w:tcPr>
                <w:p w14:paraId="689F20CA">
                  <w:pPr>
                    <w:jc w:val="center"/>
                    <w:rPr>
                      <w:bCs/>
                      <w:sz w:val="18"/>
                      <w:szCs w:val="18"/>
                    </w:rPr>
                  </w:pPr>
                  <w:r>
                    <w:rPr>
                      <w:rFonts w:hint="eastAsia"/>
                      <w:bCs/>
                      <w:sz w:val="18"/>
                      <w:szCs w:val="18"/>
                      <w:lang w:eastAsia="zh-CN"/>
                    </w:rPr>
                    <w:t>项目</w:t>
                  </w:r>
                  <w:r>
                    <w:rPr>
                      <w:bCs/>
                      <w:sz w:val="18"/>
                      <w:szCs w:val="18"/>
                    </w:rPr>
                    <w:t>建设内容</w:t>
                  </w:r>
                </w:p>
              </w:tc>
              <w:tc>
                <w:tcPr>
                  <w:tcW w:w="895" w:type="pct"/>
                  <w:noWrap w:val="0"/>
                  <w:tcMar>
                    <w:left w:w="57" w:type="dxa"/>
                    <w:right w:w="57" w:type="dxa"/>
                  </w:tcMar>
                  <w:vAlign w:val="center"/>
                </w:tcPr>
                <w:p w14:paraId="20A6C9CE">
                  <w:pPr>
                    <w:jc w:val="center"/>
                    <w:rPr>
                      <w:rFonts w:hint="eastAsia"/>
                      <w:bCs/>
                      <w:sz w:val="18"/>
                      <w:szCs w:val="18"/>
                      <w:lang w:eastAsia="zh-CN"/>
                    </w:rPr>
                  </w:pPr>
                  <w:r>
                    <w:rPr>
                      <w:rFonts w:hint="eastAsia"/>
                      <w:bCs/>
                      <w:sz w:val="18"/>
                      <w:szCs w:val="18"/>
                      <w:lang w:eastAsia="zh-CN"/>
                    </w:rPr>
                    <w:t>备注</w:t>
                  </w:r>
                </w:p>
              </w:tc>
            </w:tr>
            <w:tr w14:paraId="321BF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414" w:type="pct"/>
                  <w:vMerge w:val="restart"/>
                  <w:noWrap w:val="0"/>
                  <w:tcMar>
                    <w:left w:w="57" w:type="dxa"/>
                    <w:right w:w="57" w:type="dxa"/>
                  </w:tcMar>
                  <w:vAlign w:val="center"/>
                </w:tcPr>
                <w:p w14:paraId="6F2C47EE">
                  <w:pPr>
                    <w:jc w:val="center"/>
                    <w:rPr>
                      <w:bCs/>
                      <w:sz w:val="18"/>
                      <w:szCs w:val="18"/>
                    </w:rPr>
                  </w:pPr>
                  <w:r>
                    <w:rPr>
                      <w:bCs/>
                      <w:sz w:val="18"/>
                      <w:szCs w:val="18"/>
                    </w:rPr>
                    <w:t>主体</w:t>
                  </w:r>
                </w:p>
                <w:p w14:paraId="48F541A1">
                  <w:pPr>
                    <w:jc w:val="center"/>
                    <w:rPr>
                      <w:bCs/>
                      <w:sz w:val="18"/>
                      <w:szCs w:val="18"/>
                    </w:rPr>
                  </w:pPr>
                  <w:r>
                    <w:rPr>
                      <w:bCs/>
                      <w:sz w:val="18"/>
                      <w:szCs w:val="18"/>
                    </w:rPr>
                    <w:t>工程</w:t>
                  </w:r>
                </w:p>
              </w:tc>
              <w:tc>
                <w:tcPr>
                  <w:tcW w:w="718" w:type="pct"/>
                  <w:noWrap w:val="0"/>
                  <w:tcMar>
                    <w:left w:w="57" w:type="dxa"/>
                    <w:right w:w="57" w:type="dxa"/>
                  </w:tcMar>
                  <w:vAlign w:val="center"/>
                </w:tcPr>
                <w:p w14:paraId="0C7B4DF5">
                  <w:pPr>
                    <w:autoSpaceDE w:val="0"/>
                    <w:jc w:val="center"/>
                    <w:rPr>
                      <w:bCs/>
                      <w:sz w:val="18"/>
                      <w:szCs w:val="18"/>
                    </w:rPr>
                  </w:pPr>
                  <w:r>
                    <w:rPr>
                      <w:rFonts w:hint="eastAsia"/>
                      <w:sz w:val="18"/>
                      <w:szCs w:val="18"/>
                      <w:highlight w:val="none"/>
                      <w:lang w:eastAsia="zh-CN"/>
                    </w:rPr>
                    <w:t>东侧</w:t>
                  </w:r>
                  <w:r>
                    <w:rPr>
                      <w:rFonts w:hint="eastAsia" w:ascii="Times New Roman" w:hAnsi="Times New Roman"/>
                      <w:sz w:val="18"/>
                      <w:szCs w:val="18"/>
                      <w:highlight w:val="none"/>
                    </w:rPr>
                    <w:t>生产车间</w:t>
                  </w:r>
                </w:p>
              </w:tc>
              <w:tc>
                <w:tcPr>
                  <w:tcW w:w="2971" w:type="pct"/>
                  <w:noWrap w:val="0"/>
                  <w:tcMar>
                    <w:left w:w="57" w:type="dxa"/>
                    <w:right w:w="57" w:type="dxa"/>
                  </w:tcMar>
                  <w:vAlign w:val="center"/>
                </w:tcPr>
                <w:p w14:paraId="32908C39">
                  <w:pPr>
                    <w:autoSpaceDE w:val="0"/>
                    <w:jc w:val="center"/>
                    <w:rPr>
                      <w:rFonts w:hint="eastAsia" w:eastAsia="宋体"/>
                      <w:bCs/>
                      <w:sz w:val="18"/>
                      <w:szCs w:val="18"/>
                      <w:highlight w:val="none"/>
                      <w:lang w:eastAsia="zh-CN"/>
                    </w:rPr>
                  </w:pPr>
                  <w:r>
                    <w:rPr>
                      <w:rFonts w:hint="eastAsia"/>
                      <w:sz w:val="18"/>
                      <w:szCs w:val="18"/>
                      <w:highlight w:val="none"/>
                      <w:lang w:val="en-US" w:eastAsia="zh-CN"/>
                    </w:rPr>
                    <w:t>1层</w:t>
                  </w:r>
                  <w:r>
                    <w:rPr>
                      <w:sz w:val="18"/>
                      <w:szCs w:val="18"/>
                      <w:highlight w:val="none"/>
                    </w:rPr>
                    <w:t>，</w:t>
                  </w:r>
                  <w:r>
                    <w:rPr>
                      <w:rFonts w:hint="eastAsia" w:ascii="Times New Roman" w:hAnsi="Times New Roman"/>
                      <w:sz w:val="18"/>
                      <w:szCs w:val="18"/>
                      <w:highlight w:val="none"/>
                    </w:rPr>
                    <w:t>混合</w:t>
                  </w:r>
                  <w:r>
                    <w:rPr>
                      <w:rFonts w:ascii="Times New Roman" w:hAnsi="Times New Roman"/>
                      <w:sz w:val="18"/>
                      <w:szCs w:val="18"/>
                      <w:highlight w:val="none"/>
                    </w:rPr>
                    <w:t>结构，建筑面积</w:t>
                  </w:r>
                  <w:r>
                    <w:rPr>
                      <w:rFonts w:hint="eastAsia"/>
                      <w:sz w:val="18"/>
                      <w:szCs w:val="18"/>
                      <w:highlight w:val="none"/>
                      <w:lang w:val="en-US" w:eastAsia="zh-CN"/>
                    </w:rPr>
                    <w:t>8428.23</w:t>
                  </w:r>
                  <w:r>
                    <w:rPr>
                      <w:rFonts w:ascii="Times New Roman" w:hAnsi="Times New Roman"/>
                      <w:sz w:val="18"/>
                      <w:szCs w:val="18"/>
                      <w:highlight w:val="none"/>
                    </w:rPr>
                    <w:t>m</w:t>
                  </w:r>
                  <w:r>
                    <w:rPr>
                      <w:rFonts w:ascii="Times New Roman" w:hAnsi="Times New Roman"/>
                      <w:sz w:val="18"/>
                      <w:szCs w:val="18"/>
                      <w:highlight w:val="none"/>
                      <w:vertAlign w:val="superscript"/>
                    </w:rPr>
                    <w:t>2</w:t>
                  </w:r>
                  <w:r>
                    <w:rPr>
                      <w:rFonts w:ascii="Times New Roman" w:hAnsi="Times New Roman"/>
                      <w:sz w:val="18"/>
                      <w:szCs w:val="18"/>
                      <w:highlight w:val="none"/>
                    </w:rPr>
                    <w:t>，</w:t>
                  </w:r>
                  <w:r>
                    <w:rPr>
                      <w:rFonts w:hint="eastAsia"/>
                      <w:sz w:val="18"/>
                      <w:szCs w:val="18"/>
                      <w:highlight w:val="none"/>
                      <w:lang w:eastAsia="zh-CN"/>
                    </w:rPr>
                    <w:t>为本项目主要生产车间，设置喷漆房、水泵、水箱制作区、其他设备制作区等，车间南侧东部为成品仓库，成品仓库内东侧为工具间、更衣室</w:t>
                  </w:r>
                </w:p>
              </w:tc>
              <w:tc>
                <w:tcPr>
                  <w:tcW w:w="895" w:type="pct"/>
                  <w:noWrap w:val="0"/>
                  <w:tcMar>
                    <w:left w:w="57" w:type="dxa"/>
                    <w:right w:w="57" w:type="dxa"/>
                  </w:tcMar>
                  <w:vAlign w:val="center"/>
                </w:tcPr>
                <w:p w14:paraId="09F0DD4C">
                  <w:pPr>
                    <w:autoSpaceDE w:val="0"/>
                    <w:jc w:val="center"/>
                    <w:rPr>
                      <w:rFonts w:hint="eastAsia"/>
                      <w:sz w:val="18"/>
                      <w:szCs w:val="18"/>
                      <w:highlight w:val="none"/>
                      <w:lang w:val="en-US" w:eastAsia="zh-CN"/>
                    </w:rPr>
                  </w:pPr>
                  <w:r>
                    <w:rPr>
                      <w:rFonts w:hint="eastAsia"/>
                      <w:sz w:val="18"/>
                      <w:szCs w:val="18"/>
                      <w:highlight w:val="none"/>
                      <w:lang w:val="en-US" w:eastAsia="zh-CN"/>
                    </w:rPr>
                    <w:t>利用已建成车间</w:t>
                  </w:r>
                </w:p>
              </w:tc>
            </w:tr>
            <w:tr w14:paraId="47E10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414" w:type="pct"/>
                  <w:vMerge w:val="continue"/>
                  <w:noWrap w:val="0"/>
                  <w:tcMar>
                    <w:left w:w="57" w:type="dxa"/>
                    <w:right w:w="57" w:type="dxa"/>
                  </w:tcMar>
                  <w:vAlign w:val="center"/>
                </w:tcPr>
                <w:p w14:paraId="181BC91B">
                  <w:pPr>
                    <w:jc w:val="center"/>
                    <w:rPr>
                      <w:bCs/>
                      <w:sz w:val="18"/>
                      <w:szCs w:val="18"/>
                    </w:rPr>
                  </w:pPr>
                </w:p>
              </w:tc>
              <w:tc>
                <w:tcPr>
                  <w:tcW w:w="718" w:type="pct"/>
                  <w:noWrap w:val="0"/>
                  <w:tcMar>
                    <w:left w:w="57" w:type="dxa"/>
                    <w:right w:w="57" w:type="dxa"/>
                  </w:tcMar>
                  <w:vAlign w:val="center"/>
                </w:tcPr>
                <w:p w14:paraId="4B00918F">
                  <w:pPr>
                    <w:autoSpaceDE w:val="0"/>
                    <w:jc w:val="center"/>
                    <w:rPr>
                      <w:rFonts w:hint="default" w:eastAsia="宋体"/>
                      <w:bCs/>
                      <w:sz w:val="18"/>
                      <w:szCs w:val="18"/>
                      <w:lang w:val="en-US" w:eastAsia="zh-CN"/>
                    </w:rPr>
                  </w:pPr>
                  <w:r>
                    <w:rPr>
                      <w:rFonts w:hint="eastAsia"/>
                      <w:sz w:val="18"/>
                      <w:szCs w:val="18"/>
                      <w:highlight w:val="none"/>
                      <w:lang w:eastAsia="zh-CN"/>
                    </w:rPr>
                    <w:t>西侧生产</w:t>
                  </w:r>
                  <w:r>
                    <w:rPr>
                      <w:rFonts w:hint="eastAsia" w:ascii="Times New Roman" w:hAnsi="Times New Roman"/>
                      <w:sz w:val="18"/>
                      <w:szCs w:val="18"/>
                      <w:highlight w:val="none"/>
                    </w:rPr>
                    <w:t>车间</w:t>
                  </w:r>
                </w:p>
              </w:tc>
              <w:tc>
                <w:tcPr>
                  <w:tcW w:w="2971" w:type="pct"/>
                  <w:noWrap w:val="0"/>
                  <w:tcMar>
                    <w:left w:w="57" w:type="dxa"/>
                    <w:right w:w="57" w:type="dxa"/>
                  </w:tcMar>
                  <w:vAlign w:val="center"/>
                </w:tcPr>
                <w:p w14:paraId="0465B0E7">
                  <w:pPr>
                    <w:autoSpaceDE w:val="0"/>
                    <w:jc w:val="center"/>
                    <w:rPr>
                      <w:rFonts w:hint="eastAsia" w:eastAsia="宋体"/>
                      <w:bCs/>
                      <w:sz w:val="18"/>
                      <w:szCs w:val="18"/>
                      <w:highlight w:val="none"/>
                      <w:vertAlign w:val="baseline"/>
                      <w:lang w:eastAsia="zh-CN"/>
                    </w:rPr>
                  </w:pPr>
                  <w:r>
                    <w:rPr>
                      <w:rFonts w:hint="eastAsia"/>
                      <w:sz w:val="18"/>
                      <w:szCs w:val="18"/>
                      <w:highlight w:val="none"/>
                      <w:lang w:val="en-US" w:eastAsia="zh-CN"/>
                    </w:rPr>
                    <w:t>共2层</w:t>
                  </w:r>
                  <w:r>
                    <w:rPr>
                      <w:sz w:val="18"/>
                      <w:szCs w:val="18"/>
                      <w:highlight w:val="none"/>
                    </w:rPr>
                    <w:t>，</w:t>
                  </w:r>
                  <w:r>
                    <w:rPr>
                      <w:rFonts w:hint="eastAsia" w:ascii="Times New Roman" w:hAnsi="Times New Roman"/>
                      <w:sz w:val="18"/>
                      <w:szCs w:val="18"/>
                      <w:highlight w:val="none"/>
                    </w:rPr>
                    <w:t>混合</w:t>
                  </w:r>
                  <w:r>
                    <w:rPr>
                      <w:rFonts w:ascii="Times New Roman" w:hAnsi="Times New Roman"/>
                      <w:sz w:val="18"/>
                      <w:szCs w:val="18"/>
                      <w:highlight w:val="none"/>
                    </w:rPr>
                    <w:t>结构，建筑面积</w:t>
                  </w:r>
                  <w:r>
                    <w:rPr>
                      <w:rFonts w:hint="eastAsia"/>
                      <w:sz w:val="18"/>
                      <w:szCs w:val="18"/>
                      <w:highlight w:val="none"/>
                      <w:lang w:val="en-US" w:eastAsia="zh-CN"/>
                    </w:rPr>
                    <w:t>2937.01</w:t>
                  </w:r>
                  <w:r>
                    <w:rPr>
                      <w:rFonts w:ascii="Times New Roman" w:hAnsi="Times New Roman"/>
                      <w:sz w:val="18"/>
                      <w:szCs w:val="18"/>
                      <w:highlight w:val="none"/>
                    </w:rPr>
                    <w:t>m</w:t>
                  </w:r>
                  <w:r>
                    <w:rPr>
                      <w:rFonts w:ascii="Times New Roman" w:hAnsi="Times New Roman"/>
                      <w:sz w:val="18"/>
                      <w:szCs w:val="18"/>
                      <w:highlight w:val="none"/>
                      <w:vertAlign w:val="superscript"/>
                    </w:rPr>
                    <w:t>2</w:t>
                  </w:r>
                  <w:r>
                    <w:rPr>
                      <w:rFonts w:ascii="Times New Roman" w:hAnsi="Times New Roman"/>
                      <w:sz w:val="18"/>
                      <w:szCs w:val="18"/>
                      <w:highlight w:val="none"/>
                    </w:rPr>
                    <w:t>，</w:t>
                  </w:r>
                  <w:r>
                    <w:rPr>
                      <w:rFonts w:hint="eastAsia" w:ascii="Times New Roman" w:hAnsi="Times New Roman"/>
                      <w:sz w:val="18"/>
                      <w:szCs w:val="18"/>
                      <w:highlight w:val="none"/>
                    </w:rPr>
                    <w:t>1</w:t>
                  </w:r>
                  <w:r>
                    <w:rPr>
                      <w:rFonts w:hint="eastAsia"/>
                      <w:sz w:val="18"/>
                      <w:szCs w:val="18"/>
                      <w:highlight w:val="none"/>
                    </w:rPr>
                    <w:t>层</w:t>
                  </w:r>
                  <w:r>
                    <w:rPr>
                      <w:rFonts w:hint="eastAsia"/>
                      <w:sz w:val="18"/>
                      <w:szCs w:val="18"/>
                      <w:highlight w:val="none"/>
                      <w:lang w:eastAsia="zh-CN"/>
                    </w:rPr>
                    <w:t>北侧</w:t>
                  </w:r>
                  <w:r>
                    <w:rPr>
                      <w:rFonts w:hint="eastAsia" w:ascii="Times New Roman" w:hAnsi="Times New Roman"/>
                      <w:sz w:val="18"/>
                      <w:szCs w:val="18"/>
                      <w:highlight w:val="none"/>
                    </w:rPr>
                    <w:t>为</w:t>
                  </w:r>
                  <w:r>
                    <w:rPr>
                      <w:rFonts w:hint="eastAsia"/>
                      <w:sz w:val="18"/>
                      <w:szCs w:val="18"/>
                      <w:highlight w:val="none"/>
                      <w:lang w:eastAsia="zh-CN"/>
                    </w:rPr>
                    <w:t>原料储存区</w:t>
                  </w:r>
                  <w:r>
                    <w:rPr>
                      <w:rFonts w:ascii="Times New Roman" w:hAnsi="Times New Roman"/>
                      <w:sz w:val="18"/>
                      <w:szCs w:val="18"/>
                      <w:highlight w:val="none"/>
                    </w:rPr>
                    <w:t>，</w:t>
                  </w:r>
                  <w:r>
                    <w:rPr>
                      <w:rFonts w:hint="eastAsia"/>
                      <w:sz w:val="18"/>
                      <w:szCs w:val="18"/>
                      <w:highlight w:val="none"/>
                      <w:lang w:val="en-US" w:eastAsia="zh-CN"/>
                    </w:rPr>
                    <w:t>1层南侧及</w:t>
                  </w:r>
                  <w:r>
                    <w:rPr>
                      <w:rFonts w:hint="eastAsia" w:ascii="Times New Roman" w:hAnsi="Times New Roman"/>
                      <w:sz w:val="18"/>
                      <w:szCs w:val="18"/>
                      <w:highlight w:val="none"/>
                    </w:rPr>
                    <w:t>2层</w:t>
                  </w:r>
                  <w:r>
                    <w:rPr>
                      <w:rFonts w:ascii="Times New Roman" w:hAnsi="Times New Roman"/>
                      <w:sz w:val="18"/>
                      <w:szCs w:val="18"/>
                      <w:highlight w:val="none"/>
                    </w:rPr>
                    <w:t>为</w:t>
                  </w:r>
                  <w:r>
                    <w:rPr>
                      <w:rFonts w:hint="eastAsia"/>
                      <w:sz w:val="18"/>
                      <w:szCs w:val="18"/>
                      <w:highlight w:val="none"/>
                      <w:lang w:eastAsia="zh-CN"/>
                    </w:rPr>
                    <w:t>电控柜组装区域</w:t>
                  </w:r>
                </w:p>
              </w:tc>
              <w:tc>
                <w:tcPr>
                  <w:tcW w:w="895" w:type="pct"/>
                  <w:noWrap w:val="0"/>
                  <w:tcMar>
                    <w:left w:w="57" w:type="dxa"/>
                    <w:right w:w="57" w:type="dxa"/>
                  </w:tcMar>
                  <w:vAlign w:val="center"/>
                </w:tcPr>
                <w:p w14:paraId="39FF4929">
                  <w:pPr>
                    <w:autoSpaceDE w:val="0"/>
                    <w:jc w:val="center"/>
                    <w:rPr>
                      <w:rFonts w:hint="eastAsia"/>
                      <w:sz w:val="18"/>
                      <w:szCs w:val="18"/>
                      <w:highlight w:val="none"/>
                      <w:lang w:val="en-US" w:eastAsia="zh-CN"/>
                    </w:rPr>
                  </w:pPr>
                  <w:r>
                    <w:rPr>
                      <w:rFonts w:hint="eastAsia"/>
                      <w:sz w:val="18"/>
                      <w:szCs w:val="18"/>
                      <w:highlight w:val="none"/>
                      <w:lang w:val="en-US" w:eastAsia="zh-CN"/>
                    </w:rPr>
                    <w:t>利用已建成车间</w:t>
                  </w:r>
                </w:p>
              </w:tc>
            </w:tr>
            <w:tr w14:paraId="38C74E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trPr>
              <w:tc>
                <w:tcPr>
                  <w:tcW w:w="414" w:type="pct"/>
                  <w:noWrap w:val="0"/>
                  <w:tcMar>
                    <w:left w:w="57" w:type="dxa"/>
                    <w:right w:w="57" w:type="dxa"/>
                  </w:tcMar>
                  <w:vAlign w:val="center"/>
                </w:tcPr>
                <w:p w14:paraId="1845C7CD">
                  <w:pPr>
                    <w:jc w:val="center"/>
                    <w:rPr>
                      <w:bCs/>
                      <w:sz w:val="18"/>
                      <w:szCs w:val="18"/>
                    </w:rPr>
                  </w:pPr>
                  <w:r>
                    <w:rPr>
                      <w:rFonts w:hint="eastAsia"/>
                      <w:bCs/>
                      <w:sz w:val="18"/>
                      <w:szCs w:val="18"/>
                    </w:rPr>
                    <w:t>辅助</w:t>
                  </w:r>
                </w:p>
                <w:p w14:paraId="0738C947">
                  <w:pPr>
                    <w:jc w:val="center"/>
                    <w:rPr>
                      <w:rFonts w:hint="eastAsia"/>
                      <w:bCs/>
                      <w:sz w:val="18"/>
                      <w:szCs w:val="18"/>
                    </w:rPr>
                  </w:pPr>
                  <w:r>
                    <w:rPr>
                      <w:rFonts w:hint="eastAsia"/>
                      <w:bCs/>
                      <w:sz w:val="18"/>
                      <w:szCs w:val="18"/>
                    </w:rPr>
                    <w:t>工程</w:t>
                  </w:r>
                </w:p>
              </w:tc>
              <w:tc>
                <w:tcPr>
                  <w:tcW w:w="1209" w:type="dxa"/>
                  <w:noWrap w:val="0"/>
                  <w:tcMar>
                    <w:left w:w="57" w:type="dxa"/>
                    <w:right w:w="57" w:type="dxa"/>
                  </w:tcMar>
                  <w:vAlign w:val="center"/>
                </w:tcPr>
                <w:p w14:paraId="10D35A01">
                  <w:pPr>
                    <w:jc w:val="center"/>
                    <w:rPr>
                      <w:rFonts w:hint="eastAsia" w:eastAsia="宋体"/>
                      <w:bCs/>
                      <w:sz w:val="18"/>
                      <w:szCs w:val="18"/>
                      <w:lang w:eastAsia="zh-CN"/>
                    </w:rPr>
                  </w:pPr>
                  <w:r>
                    <w:rPr>
                      <w:rFonts w:hint="eastAsia"/>
                      <w:sz w:val="18"/>
                      <w:szCs w:val="18"/>
                      <w:highlight w:val="none"/>
                      <w:lang w:val="en-US" w:eastAsia="zh-CN"/>
                    </w:rPr>
                    <w:t>生产研发中心</w:t>
                  </w:r>
                </w:p>
              </w:tc>
              <w:tc>
                <w:tcPr>
                  <w:tcW w:w="5003" w:type="dxa"/>
                  <w:noWrap w:val="0"/>
                  <w:tcMar>
                    <w:left w:w="57" w:type="dxa"/>
                    <w:right w:w="57" w:type="dxa"/>
                  </w:tcMar>
                  <w:vAlign w:val="center"/>
                </w:tcPr>
                <w:p w14:paraId="5CF05D80">
                  <w:pPr>
                    <w:ind w:left="-107" w:leftChars="-51" w:right="-107" w:rightChars="-51" w:firstLine="91" w:firstLineChars="51"/>
                    <w:jc w:val="center"/>
                    <w:rPr>
                      <w:rFonts w:hint="eastAsia" w:eastAsia="宋体"/>
                      <w:bCs/>
                      <w:sz w:val="18"/>
                      <w:szCs w:val="18"/>
                      <w:highlight w:val="none"/>
                      <w:vertAlign w:val="baseline"/>
                      <w:lang w:eastAsia="zh-CN"/>
                    </w:rPr>
                  </w:pPr>
                  <w:r>
                    <w:rPr>
                      <w:rFonts w:hint="eastAsia"/>
                      <w:sz w:val="18"/>
                      <w:szCs w:val="18"/>
                      <w:highlight w:val="none"/>
                      <w:lang w:val="en-US" w:eastAsia="zh-CN"/>
                    </w:rPr>
                    <w:t>共5层，</w:t>
                  </w:r>
                  <w:r>
                    <w:rPr>
                      <w:rFonts w:hint="eastAsia" w:ascii="Times New Roman" w:hAnsi="Times New Roman"/>
                      <w:sz w:val="18"/>
                      <w:szCs w:val="18"/>
                      <w:highlight w:val="none"/>
                    </w:rPr>
                    <w:t>混合</w:t>
                  </w:r>
                  <w:r>
                    <w:rPr>
                      <w:rFonts w:ascii="Times New Roman" w:hAnsi="Times New Roman"/>
                      <w:sz w:val="18"/>
                      <w:szCs w:val="18"/>
                      <w:highlight w:val="none"/>
                    </w:rPr>
                    <w:t>结构，</w:t>
                  </w:r>
                  <w:r>
                    <w:rPr>
                      <w:rFonts w:hint="eastAsia"/>
                      <w:sz w:val="18"/>
                      <w:szCs w:val="18"/>
                      <w:highlight w:val="none"/>
                      <w:lang w:val="en-US" w:eastAsia="zh-CN"/>
                    </w:rPr>
                    <w:t>F2/F3为</w:t>
                  </w:r>
                  <w:r>
                    <w:rPr>
                      <w:rFonts w:hint="eastAsia" w:ascii="Times New Roman" w:hAnsi="Times New Roman"/>
                      <w:sz w:val="18"/>
                      <w:szCs w:val="18"/>
                      <w:highlight w:val="none"/>
                      <w:lang w:eastAsia="zh-CN"/>
                    </w:rPr>
                    <w:t>办公室</w:t>
                  </w:r>
                  <w:r>
                    <w:rPr>
                      <w:rFonts w:hint="eastAsia"/>
                      <w:sz w:val="18"/>
                      <w:szCs w:val="18"/>
                      <w:highlight w:val="none"/>
                      <w:lang w:eastAsia="zh-CN"/>
                    </w:rPr>
                    <w:t>，</w:t>
                  </w:r>
                  <w:r>
                    <w:rPr>
                      <w:rFonts w:hint="eastAsia"/>
                      <w:sz w:val="18"/>
                      <w:szCs w:val="18"/>
                      <w:highlight w:val="none"/>
                      <w:lang w:val="en-US" w:eastAsia="zh-CN"/>
                    </w:rPr>
                    <w:t>其余为研发使用</w:t>
                  </w:r>
                  <w:r>
                    <w:rPr>
                      <w:rFonts w:hint="eastAsia" w:ascii="Times New Roman" w:hAnsi="Times New Roman"/>
                      <w:sz w:val="18"/>
                      <w:szCs w:val="18"/>
                      <w:highlight w:val="none"/>
                      <w:lang w:val="en-US" w:eastAsia="zh-CN"/>
                    </w:rPr>
                    <w:t>，建筑面积</w:t>
                  </w:r>
                  <w:r>
                    <w:rPr>
                      <w:rFonts w:hint="eastAsia"/>
                      <w:sz w:val="18"/>
                      <w:szCs w:val="18"/>
                      <w:highlight w:val="none"/>
                      <w:lang w:val="en-US" w:eastAsia="zh-CN"/>
                    </w:rPr>
                    <w:t>2932.51</w:t>
                  </w:r>
                  <w:r>
                    <w:rPr>
                      <w:rFonts w:ascii="Times New Roman" w:hAnsi="Times New Roman"/>
                      <w:sz w:val="18"/>
                      <w:szCs w:val="18"/>
                      <w:highlight w:val="none"/>
                    </w:rPr>
                    <w:t>m</w:t>
                  </w:r>
                  <w:r>
                    <w:rPr>
                      <w:rFonts w:hint="eastAsia" w:ascii="Times New Roman" w:hAnsi="Times New Roman"/>
                      <w:sz w:val="18"/>
                      <w:szCs w:val="18"/>
                      <w:highlight w:val="none"/>
                      <w:vertAlign w:val="superscript"/>
                    </w:rPr>
                    <w:t>2</w:t>
                  </w:r>
                  <w:r>
                    <w:rPr>
                      <w:rFonts w:hint="eastAsia"/>
                      <w:sz w:val="18"/>
                      <w:szCs w:val="18"/>
                      <w:highlight w:val="none"/>
                      <w:vertAlign w:val="baseline"/>
                      <w:lang w:eastAsia="zh-CN"/>
                    </w:rPr>
                    <w:t>，用于配套项目办公使用</w:t>
                  </w:r>
                </w:p>
              </w:tc>
              <w:tc>
                <w:tcPr>
                  <w:tcW w:w="895" w:type="pct"/>
                  <w:noWrap w:val="0"/>
                  <w:tcMar>
                    <w:left w:w="57" w:type="dxa"/>
                    <w:right w:w="57" w:type="dxa"/>
                  </w:tcMar>
                  <w:vAlign w:val="center"/>
                </w:tcPr>
                <w:p w14:paraId="06A037CC">
                  <w:pPr>
                    <w:ind w:left="-107" w:leftChars="-51" w:right="-107" w:rightChars="-51" w:firstLine="91" w:firstLineChars="51"/>
                    <w:jc w:val="center"/>
                    <w:rPr>
                      <w:rFonts w:hint="eastAsia" w:ascii="Times New Roman" w:hAnsi="Times New Roman"/>
                      <w:sz w:val="18"/>
                      <w:szCs w:val="18"/>
                      <w:highlight w:val="none"/>
                      <w:lang w:eastAsia="zh-CN"/>
                    </w:rPr>
                  </w:pPr>
                  <w:r>
                    <w:rPr>
                      <w:rFonts w:hint="eastAsia"/>
                      <w:sz w:val="18"/>
                      <w:szCs w:val="18"/>
                      <w:highlight w:val="none"/>
                      <w:lang w:val="en-US" w:eastAsia="zh-CN"/>
                    </w:rPr>
                    <w:t>利用已建成</w:t>
                  </w:r>
                </w:p>
              </w:tc>
            </w:tr>
            <w:tr w14:paraId="5CF98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4" w:type="pct"/>
                  <w:vMerge w:val="restart"/>
                  <w:noWrap w:val="0"/>
                  <w:tcMar>
                    <w:left w:w="57" w:type="dxa"/>
                    <w:right w:w="57" w:type="dxa"/>
                  </w:tcMar>
                  <w:vAlign w:val="center"/>
                </w:tcPr>
                <w:p w14:paraId="104C47F1">
                  <w:pPr>
                    <w:jc w:val="center"/>
                    <w:rPr>
                      <w:bCs/>
                      <w:sz w:val="18"/>
                      <w:szCs w:val="18"/>
                    </w:rPr>
                  </w:pPr>
                  <w:r>
                    <w:rPr>
                      <w:bCs/>
                      <w:sz w:val="18"/>
                      <w:szCs w:val="18"/>
                    </w:rPr>
                    <w:t>公用</w:t>
                  </w:r>
                </w:p>
                <w:p w14:paraId="40548D1D">
                  <w:pPr>
                    <w:jc w:val="center"/>
                    <w:rPr>
                      <w:bCs/>
                      <w:sz w:val="18"/>
                      <w:szCs w:val="18"/>
                    </w:rPr>
                  </w:pPr>
                  <w:r>
                    <w:rPr>
                      <w:bCs/>
                      <w:sz w:val="18"/>
                      <w:szCs w:val="18"/>
                    </w:rPr>
                    <w:t>工程</w:t>
                  </w:r>
                </w:p>
              </w:tc>
              <w:tc>
                <w:tcPr>
                  <w:tcW w:w="718" w:type="pct"/>
                  <w:noWrap w:val="0"/>
                  <w:tcMar>
                    <w:left w:w="57" w:type="dxa"/>
                    <w:right w:w="57" w:type="dxa"/>
                  </w:tcMar>
                  <w:vAlign w:val="center"/>
                </w:tcPr>
                <w:p w14:paraId="5E2DFFB9">
                  <w:pPr>
                    <w:autoSpaceDE w:val="0"/>
                    <w:jc w:val="center"/>
                    <w:rPr>
                      <w:bCs/>
                      <w:sz w:val="18"/>
                      <w:szCs w:val="18"/>
                    </w:rPr>
                  </w:pPr>
                  <w:r>
                    <w:rPr>
                      <w:rFonts w:ascii="Times New Roman" w:hAnsi="Times New Roman"/>
                      <w:sz w:val="18"/>
                      <w:szCs w:val="18"/>
                      <w:highlight w:val="none"/>
                    </w:rPr>
                    <w:t>供水系统</w:t>
                  </w:r>
                </w:p>
              </w:tc>
              <w:tc>
                <w:tcPr>
                  <w:tcW w:w="2971" w:type="pct"/>
                  <w:noWrap w:val="0"/>
                  <w:tcMar>
                    <w:left w:w="57" w:type="dxa"/>
                    <w:right w:w="57" w:type="dxa"/>
                  </w:tcMar>
                  <w:vAlign w:val="center"/>
                </w:tcPr>
                <w:p w14:paraId="79BC61E3">
                  <w:pPr>
                    <w:autoSpaceDE w:val="0"/>
                    <w:jc w:val="center"/>
                    <w:rPr>
                      <w:rFonts w:hint="eastAsia" w:eastAsia="宋体"/>
                      <w:bCs/>
                      <w:sz w:val="18"/>
                      <w:szCs w:val="18"/>
                      <w:lang w:eastAsia="zh-CN"/>
                    </w:rPr>
                  </w:pPr>
                  <w:r>
                    <w:rPr>
                      <w:rFonts w:hint="eastAsia"/>
                      <w:color w:val="000000"/>
                      <w:sz w:val="18"/>
                      <w:szCs w:val="18"/>
                      <w:highlight w:val="none"/>
                    </w:rPr>
                    <w:t>由</w:t>
                  </w:r>
                  <w:r>
                    <w:rPr>
                      <w:rFonts w:hint="eastAsia"/>
                      <w:sz w:val="18"/>
                      <w:szCs w:val="18"/>
                      <w:highlight w:val="none"/>
                      <w:lang w:eastAsia="zh-CN"/>
                    </w:rPr>
                    <w:t>淄川开发区自来水</w:t>
                  </w:r>
                  <w:r>
                    <w:rPr>
                      <w:rFonts w:ascii="Times New Roman" w:hAnsi="Times New Roman"/>
                      <w:sz w:val="18"/>
                      <w:szCs w:val="18"/>
                      <w:highlight w:val="none"/>
                    </w:rPr>
                    <w:t>管网</w:t>
                  </w:r>
                  <w:r>
                    <w:rPr>
                      <w:rFonts w:hint="eastAsia" w:ascii="Times New Roman" w:hAnsi="Times New Roman"/>
                      <w:sz w:val="18"/>
                      <w:szCs w:val="18"/>
                      <w:highlight w:val="none"/>
                    </w:rPr>
                    <w:t>提供</w:t>
                  </w:r>
                  <w:r>
                    <w:rPr>
                      <w:rFonts w:hint="eastAsia"/>
                      <w:sz w:val="18"/>
                      <w:szCs w:val="18"/>
                      <w:highlight w:val="none"/>
                      <w:lang w:eastAsia="zh-CN"/>
                    </w:rPr>
                    <w:t>，年用水量</w:t>
                  </w:r>
                  <w:r>
                    <w:rPr>
                      <w:rFonts w:hint="eastAsia" w:eastAsiaTheme="minorEastAsia"/>
                      <w:bCs/>
                      <w:sz w:val="18"/>
                      <w:szCs w:val="18"/>
                      <w:highlight w:val="none"/>
                      <w:lang w:val="en-US" w:eastAsia="zh-CN"/>
                    </w:rPr>
                    <w:t>710</w:t>
                  </w:r>
                  <w:r>
                    <w:rPr>
                      <w:rFonts w:hint="eastAsia"/>
                      <w:bCs/>
                      <w:sz w:val="18"/>
                      <w:szCs w:val="18"/>
                      <w:lang w:val="en-US" w:eastAsia="zh-CN"/>
                    </w:rPr>
                    <w:t>m</w:t>
                  </w:r>
                  <w:r>
                    <w:rPr>
                      <w:rFonts w:hint="eastAsia"/>
                      <w:bCs/>
                      <w:sz w:val="18"/>
                      <w:szCs w:val="18"/>
                      <w:vertAlign w:val="superscript"/>
                      <w:lang w:val="en-US" w:eastAsia="zh-CN"/>
                    </w:rPr>
                    <w:t>3</w:t>
                  </w:r>
                  <w:r>
                    <w:rPr>
                      <w:rFonts w:hint="eastAsia"/>
                      <w:bCs/>
                      <w:sz w:val="18"/>
                      <w:szCs w:val="18"/>
                      <w:vertAlign w:val="baseline"/>
                      <w:lang w:val="en-US" w:eastAsia="zh-CN"/>
                    </w:rPr>
                    <w:t>/a</w:t>
                  </w:r>
                </w:p>
              </w:tc>
              <w:tc>
                <w:tcPr>
                  <w:tcW w:w="895" w:type="pct"/>
                  <w:noWrap w:val="0"/>
                  <w:tcMar>
                    <w:left w:w="57" w:type="dxa"/>
                    <w:right w:w="57" w:type="dxa"/>
                  </w:tcMar>
                  <w:vAlign w:val="center"/>
                </w:tcPr>
                <w:p w14:paraId="7637D723">
                  <w:pPr>
                    <w:autoSpaceDE w:val="0"/>
                    <w:jc w:val="center"/>
                    <w:rPr>
                      <w:rFonts w:hint="eastAsia" w:eastAsia="宋体"/>
                      <w:color w:val="000000"/>
                      <w:sz w:val="18"/>
                      <w:szCs w:val="18"/>
                      <w:highlight w:val="none"/>
                      <w:lang w:val="en-US" w:eastAsia="zh-CN"/>
                    </w:rPr>
                  </w:pPr>
                  <w:r>
                    <w:rPr>
                      <w:rFonts w:hint="eastAsia"/>
                      <w:color w:val="000000"/>
                      <w:sz w:val="18"/>
                      <w:szCs w:val="18"/>
                      <w:highlight w:val="none"/>
                      <w:lang w:val="en-US" w:eastAsia="zh-CN"/>
                    </w:rPr>
                    <w:t>-</w:t>
                  </w:r>
                </w:p>
              </w:tc>
            </w:tr>
            <w:tr w14:paraId="370EA8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4" w:type="pct"/>
                  <w:vMerge w:val="continue"/>
                  <w:noWrap w:val="0"/>
                  <w:tcMar>
                    <w:left w:w="57" w:type="dxa"/>
                    <w:right w:w="57" w:type="dxa"/>
                  </w:tcMar>
                  <w:vAlign w:val="center"/>
                </w:tcPr>
                <w:p w14:paraId="59B31A78">
                  <w:pPr>
                    <w:jc w:val="center"/>
                    <w:rPr>
                      <w:bCs/>
                      <w:sz w:val="18"/>
                      <w:szCs w:val="18"/>
                    </w:rPr>
                  </w:pPr>
                </w:p>
              </w:tc>
              <w:tc>
                <w:tcPr>
                  <w:tcW w:w="718" w:type="pct"/>
                  <w:noWrap w:val="0"/>
                  <w:tcMar>
                    <w:left w:w="57" w:type="dxa"/>
                    <w:right w:w="57" w:type="dxa"/>
                  </w:tcMar>
                  <w:vAlign w:val="center"/>
                </w:tcPr>
                <w:p w14:paraId="4E51525B">
                  <w:pPr>
                    <w:autoSpaceDE w:val="0"/>
                    <w:jc w:val="center"/>
                    <w:rPr>
                      <w:bCs/>
                      <w:sz w:val="18"/>
                      <w:szCs w:val="18"/>
                    </w:rPr>
                  </w:pPr>
                  <w:r>
                    <w:rPr>
                      <w:rFonts w:ascii="Times New Roman" w:hAnsi="Times New Roman"/>
                      <w:sz w:val="18"/>
                      <w:szCs w:val="18"/>
                      <w:highlight w:val="none"/>
                    </w:rPr>
                    <w:t>供电系统</w:t>
                  </w:r>
                </w:p>
              </w:tc>
              <w:tc>
                <w:tcPr>
                  <w:tcW w:w="2971" w:type="pct"/>
                  <w:noWrap w:val="0"/>
                  <w:tcMar>
                    <w:left w:w="57" w:type="dxa"/>
                    <w:right w:w="57" w:type="dxa"/>
                  </w:tcMar>
                  <w:vAlign w:val="center"/>
                </w:tcPr>
                <w:p w14:paraId="74998E24">
                  <w:pPr>
                    <w:pStyle w:val="29"/>
                    <w:jc w:val="center"/>
                    <w:rPr>
                      <w:bCs/>
                      <w:sz w:val="18"/>
                      <w:szCs w:val="18"/>
                    </w:rPr>
                  </w:pPr>
                  <w:r>
                    <w:rPr>
                      <w:rFonts w:hint="eastAsia" w:ascii="Times New Roman" w:hAnsi="Times New Roman"/>
                      <w:sz w:val="18"/>
                      <w:szCs w:val="18"/>
                      <w:highlight w:val="none"/>
                    </w:rPr>
                    <w:t>项目</w:t>
                  </w:r>
                  <w:r>
                    <w:rPr>
                      <w:rFonts w:ascii="Times New Roman" w:hAnsi="Times New Roman"/>
                      <w:sz w:val="18"/>
                      <w:szCs w:val="18"/>
                      <w:highlight w:val="none"/>
                    </w:rPr>
                    <w:t>总用电量</w:t>
                  </w:r>
                  <w:r>
                    <w:rPr>
                      <w:rFonts w:hint="eastAsia" w:ascii="Times New Roman" w:hAnsi="Times New Roman"/>
                      <w:sz w:val="18"/>
                      <w:szCs w:val="18"/>
                      <w:highlight w:val="none"/>
                    </w:rPr>
                    <w:t>为</w:t>
                  </w:r>
                  <w:r>
                    <w:rPr>
                      <w:rFonts w:hint="eastAsia"/>
                      <w:sz w:val="18"/>
                      <w:szCs w:val="18"/>
                      <w:highlight w:val="none"/>
                      <w:lang w:val="en-US" w:eastAsia="zh-CN"/>
                    </w:rPr>
                    <w:t>24</w:t>
                  </w:r>
                  <w:r>
                    <w:rPr>
                      <w:rFonts w:hint="eastAsia"/>
                      <w:sz w:val="18"/>
                      <w:szCs w:val="18"/>
                      <w:highlight w:val="none"/>
                    </w:rPr>
                    <w:t>万</w:t>
                  </w:r>
                  <w:r>
                    <w:rPr>
                      <w:rFonts w:ascii="Times New Roman" w:hAnsi="Times New Roman"/>
                      <w:sz w:val="18"/>
                      <w:szCs w:val="18"/>
                      <w:highlight w:val="none"/>
                    </w:rPr>
                    <w:t>kWh/a</w:t>
                  </w:r>
                  <w:r>
                    <w:rPr>
                      <w:rFonts w:hint="eastAsia" w:ascii="Times New Roman" w:hAnsi="Times New Roman"/>
                      <w:sz w:val="18"/>
                      <w:szCs w:val="18"/>
                      <w:highlight w:val="none"/>
                    </w:rPr>
                    <w:t>，由</w:t>
                  </w:r>
                  <w:r>
                    <w:rPr>
                      <w:rFonts w:hint="eastAsia"/>
                      <w:sz w:val="18"/>
                      <w:szCs w:val="18"/>
                      <w:highlight w:val="none"/>
                      <w:lang w:eastAsia="zh-CN"/>
                    </w:rPr>
                    <w:t>淄川开发区</w:t>
                  </w:r>
                  <w:r>
                    <w:rPr>
                      <w:rFonts w:ascii="Times New Roman" w:hAnsi="Times New Roman"/>
                      <w:sz w:val="18"/>
                      <w:szCs w:val="18"/>
                      <w:highlight w:val="none"/>
                    </w:rPr>
                    <w:t>供电系统</w:t>
                  </w:r>
                  <w:r>
                    <w:rPr>
                      <w:rFonts w:hint="eastAsia" w:ascii="Times New Roman" w:hAnsi="Times New Roman"/>
                      <w:sz w:val="18"/>
                      <w:szCs w:val="18"/>
                      <w:highlight w:val="none"/>
                    </w:rPr>
                    <w:t>提供</w:t>
                  </w:r>
                </w:p>
              </w:tc>
              <w:tc>
                <w:tcPr>
                  <w:tcW w:w="895" w:type="pct"/>
                  <w:noWrap w:val="0"/>
                  <w:tcMar>
                    <w:left w:w="57" w:type="dxa"/>
                    <w:right w:w="57" w:type="dxa"/>
                  </w:tcMar>
                  <w:vAlign w:val="center"/>
                </w:tcPr>
                <w:p w14:paraId="6B7791EC">
                  <w:pPr>
                    <w:pStyle w:val="29"/>
                    <w:jc w:val="center"/>
                    <w:rPr>
                      <w:rFonts w:hint="eastAsia" w:ascii="Times New Roman" w:hAnsi="Times New Roman" w:eastAsia="宋体"/>
                      <w:sz w:val="18"/>
                      <w:szCs w:val="18"/>
                      <w:highlight w:val="none"/>
                      <w:lang w:val="en-US" w:eastAsia="zh-CN"/>
                    </w:rPr>
                  </w:pPr>
                  <w:r>
                    <w:rPr>
                      <w:rFonts w:hint="eastAsia"/>
                      <w:sz w:val="18"/>
                      <w:szCs w:val="18"/>
                      <w:highlight w:val="none"/>
                      <w:lang w:val="en-US" w:eastAsia="zh-CN"/>
                    </w:rPr>
                    <w:t>-</w:t>
                  </w:r>
                </w:p>
              </w:tc>
            </w:tr>
            <w:tr w14:paraId="31443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4" w:type="pct"/>
                  <w:vMerge w:val="continue"/>
                  <w:noWrap w:val="0"/>
                  <w:tcMar>
                    <w:left w:w="57" w:type="dxa"/>
                    <w:right w:w="57" w:type="dxa"/>
                  </w:tcMar>
                  <w:vAlign w:val="center"/>
                </w:tcPr>
                <w:p w14:paraId="3480F08A">
                  <w:pPr>
                    <w:jc w:val="center"/>
                    <w:rPr>
                      <w:bCs/>
                      <w:sz w:val="18"/>
                      <w:szCs w:val="18"/>
                    </w:rPr>
                  </w:pPr>
                </w:p>
              </w:tc>
              <w:tc>
                <w:tcPr>
                  <w:tcW w:w="718" w:type="pct"/>
                  <w:noWrap w:val="0"/>
                  <w:tcMar>
                    <w:left w:w="57" w:type="dxa"/>
                    <w:right w:w="57" w:type="dxa"/>
                  </w:tcMar>
                  <w:vAlign w:val="center"/>
                </w:tcPr>
                <w:p w14:paraId="46C664E9">
                  <w:pPr>
                    <w:autoSpaceDE w:val="0"/>
                    <w:jc w:val="center"/>
                    <w:rPr>
                      <w:bCs/>
                      <w:sz w:val="18"/>
                      <w:szCs w:val="18"/>
                    </w:rPr>
                  </w:pPr>
                  <w:r>
                    <w:rPr>
                      <w:rFonts w:ascii="Times New Roman" w:hAnsi="Times New Roman"/>
                      <w:sz w:val="18"/>
                      <w:szCs w:val="18"/>
                      <w:highlight w:val="none"/>
                    </w:rPr>
                    <w:t>供热系统</w:t>
                  </w:r>
                </w:p>
              </w:tc>
              <w:tc>
                <w:tcPr>
                  <w:tcW w:w="2971" w:type="pct"/>
                  <w:noWrap w:val="0"/>
                  <w:tcMar>
                    <w:left w:w="57" w:type="dxa"/>
                    <w:right w:w="57" w:type="dxa"/>
                  </w:tcMar>
                  <w:vAlign w:val="center"/>
                </w:tcPr>
                <w:p w14:paraId="6AACE256">
                  <w:pPr>
                    <w:widowControl w:val="0"/>
                    <w:autoSpaceDE w:val="0"/>
                    <w:jc w:val="center"/>
                    <w:rPr>
                      <w:bCs/>
                      <w:sz w:val="18"/>
                      <w:szCs w:val="18"/>
                    </w:rPr>
                  </w:pPr>
                  <w:r>
                    <w:rPr>
                      <w:rFonts w:ascii="Times New Roman" w:hAnsi="Times New Roman"/>
                      <w:bCs/>
                      <w:sz w:val="18"/>
                      <w:szCs w:val="18"/>
                      <w:highlight w:val="none"/>
                    </w:rPr>
                    <w:t>项目办公室冬季供暖采用空调</w:t>
                  </w:r>
                </w:p>
              </w:tc>
              <w:tc>
                <w:tcPr>
                  <w:tcW w:w="895" w:type="pct"/>
                  <w:noWrap w:val="0"/>
                  <w:tcMar>
                    <w:left w:w="57" w:type="dxa"/>
                    <w:right w:w="57" w:type="dxa"/>
                  </w:tcMar>
                  <w:vAlign w:val="center"/>
                </w:tcPr>
                <w:p w14:paraId="29D16C01">
                  <w:pPr>
                    <w:widowControl w:val="0"/>
                    <w:autoSpaceDE w:val="0"/>
                    <w:jc w:val="center"/>
                    <w:rPr>
                      <w:rFonts w:hint="eastAsia" w:ascii="Times New Roman" w:hAnsi="Times New Roman" w:eastAsia="宋体"/>
                      <w:bCs/>
                      <w:sz w:val="18"/>
                      <w:szCs w:val="18"/>
                      <w:highlight w:val="none"/>
                      <w:lang w:val="en-US" w:eastAsia="zh-CN"/>
                    </w:rPr>
                  </w:pPr>
                  <w:r>
                    <w:rPr>
                      <w:rFonts w:hint="eastAsia"/>
                      <w:bCs/>
                      <w:sz w:val="18"/>
                      <w:szCs w:val="18"/>
                      <w:highlight w:val="none"/>
                      <w:lang w:val="en-US" w:eastAsia="zh-CN"/>
                    </w:rPr>
                    <w:t>-</w:t>
                  </w:r>
                </w:p>
              </w:tc>
            </w:tr>
            <w:tr w14:paraId="1A8E2A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4" w:type="pct"/>
                  <w:vMerge w:val="restart"/>
                  <w:noWrap w:val="0"/>
                  <w:tcMar>
                    <w:left w:w="57" w:type="dxa"/>
                    <w:right w:w="57" w:type="dxa"/>
                  </w:tcMar>
                  <w:vAlign w:val="center"/>
                </w:tcPr>
                <w:p w14:paraId="00DC698B">
                  <w:pPr>
                    <w:jc w:val="center"/>
                    <w:rPr>
                      <w:bCs/>
                      <w:sz w:val="18"/>
                      <w:szCs w:val="18"/>
                    </w:rPr>
                  </w:pPr>
                  <w:r>
                    <w:rPr>
                      <w:bCs/>
                      <w:sz w:val="18"/>
                      <w:szCs w:val="18"/>
                    </w:rPr>
                    <w:t>环保</w:t>
                  </w:r>
                </w:p>
                <w:p w14:paraId="0108CB0D">
                  <w:pPr>
                    <w:jc w:val="center"/>
                    <w:rPr>
                      <w:bCs/>
                      <w:sz w:val="18"/>
                      <w:szCs w:val="18"/>
                    </w:rPr>
                  </w:pPr>
                  <w:r>
                    <w:rPr>
                      <w:bCs/>
                      <w:sz w:val="18"/>
                      <w:szCs w:val="18"/>
                    </w:rPr>
                    <w:t>工程</w:t>
                  </w:r>
                </w:p>
              </w:tc>
              <w:tc>
                <w:tcPr>
                  <w:tcW w:w="718" w:type="pct"/>
                  <w:noWrap w:val="0"/>
                  <w:tcMar>
                    <w:left w:w="57" w:type="dxa"/>
                    <w:right w:w="57" w:type="dxa"/>
                  </w:tcMar>
                  <w:vAlign w:val="center"/>
                </w:tcPr>
                <w:p w14:paraId="1EBA0DCE">
                  <w:pPr>
                    <w:jc w:val="center"/>
                    <w:rPr>
                      <w:bCs/>
                      <w:sz w:val="18"/>
                      <w:szCs w:val="18"/>
                    </w:rPr>
                  </w:pPr>
                  <w:r>
                    <w:rPr>
                      <w:rFonts w:hint="eastAsia"/>
                      <w:bCs/>
                      <w:sz w:val="18"/>
                      <w:szCs w:val="18"/>
                    </w:rPr>
                    <w:t>废气处理</w:t>
                  </w:r>
                </w:p>
              </w:tc>
              <w:tc>
                <w:tcPr>
                  <w:tcW w:w="2971" w:type="pct"/>
                  <w:noWrap w:val="0"/>
                  <w:tcMar>
                    <w:left w:w="57" w:type="dxa"/>
                    <w:right w:w="57" w:type="dxa"/>
                  </w:tcMar>
                  <w:vAlign w:val="center"/>
                </w:tcPr>
                <w:p w14:paraId="21CE4D51">
                  <w:pPr>
                    <w:pStyle w:val="45"/>
                    <w:rPr>
                      <w:rFonts w:ascii="Times New Roman" w:hAnsi="Times New Roman" w:cs="Times New Roman"/>
                      <w:sz w:val="18"/>
                      <w:szCs w:val="18"/>
                    </w:rPr>
                  </w:pPr>
                  <w:r>
                    <w:rPr>
                      <w:rFonts w:hint="default" w:ascii="Times New Roman" w:hAnsi="Times New Roman" w:cs="Times New Roman"/>
                      <w:sz w:val="18"/>
                      <w:szCs w:val="18"/>
                      <w:lang w:eastAsia="zh-CN"/>
                    </w:rPr>
                    <w:t>喷漆房</w:t>
                  </w:r>
                  <w:r>
                    <w:rPr>
                      <w:rFonts w:hint="eastAsia" w:ascii="Times New Roman" w:hAnsi="Times New Roman" w:cs="Times New Roman"/>
                      <w:sz w:val="18"/>
                      <w:szCs w:val="18"/>
                      <w:lang w:val="en-US" w:eastAsia="zh-CN"/>
                    </w:rPr>
                    <w:t>调漆、喷漆、晾干</w:t>
                  </w:r>
                  <w:r>
                    <w:rPr>
                      <w:rFonts w:hint="default" w:ascii="Times New Roman" w:hAnsi="Times New Roman" w:cs="Times New Roman"/>
                      <w:sz w:val="18"/>
                      <w:szCs w:val="18"/>
                    </w:rPr>
                    <w:t>过程</w:t>
                  </w:r>
                  <w:r>
                    <w:rPr>
                      <w:rFonts w:hint="default" w:ascii="Times New Roman" w:hAnsi="Times New Roman" w:cs="Times New Roman"/>
                      <w:sz w:val="18"/>
                      <w:szCs w:val="18"/>
                      <w:lang w:eastAsia="zh-CN"/>
                    </w:rPr>
                    <w:t>产生的漆雾颗粒、</w:t>
                  </w:r>
                  <w:r>
                    <w:rPr>
                      <w:rFonts w:hint="default" w:ascii="Times New Roman" w:hAnsi="Times New Roman" w:cs="Times New Roman"/>
                      <w:sz w:val="18"/>
                      <w:szCs w:val="18"/>
                      <w:lang w:val="en-US" w:eastAsia="zh-CN"/>
                    </w:rPr>
                    <w:t>VOCs</w:t>
                  </w:r>
                  <w:r>
                    <w:rPr>
                      <w:rFonts w:hint="default" w:ascii="Times New Roman" w:hAnsi="Times New Roman" w:cs="Times New Roman"/>
                      <w:sz w:val="18"/>
                      <w:szCs w:val="18"/>
                      <w:lang w:eastAsia="zh-CN"/>
                    </w:rPr>
                    <w:t>经</w:t>
                  </w:r>
                  <w:r>
                    <w:rPr>
                      <w:rFonts w:hint="eastAsia" w:ascii="Times New Roman" w:hAnsi="Times New Roman" w:cs="Times New Roman"/>
                      <w:sz w:val="18"/>
                      <w:szCs w:val="18"/>
                      <w:lang w:eastAsia="zh-CN"/>
                    </w:rPr>
                    <w:t>迷宫式过滤箱</w:t>
                  </w:r>
                  <w:r>
                    <w:rPr>
                      <w:rFonts w:hint="default" w:ascii="Times New Roman" w:hAnsi="Times New Roman" w:cs="Times New Roman"/>
                      <w:sz w:val="18"/>
                      <w:szCs w:val="18"/>
                      <w:lang w:eastAsia="zh-CN"/>
                    </w:rPr>
                    <w:t>处理漆雾颗粒</w:t>
                  </w:r>
                  <w:r>
                    <w:rPr>
                      <w:rFonts w:hint="eastAsia" w:ascii="Times New Roman" w:hAnsi="Times New Roman" w:cs="Times New Roman"/>
                      <w:sz w:val="18"/>
                      <w:szCs w:val="18"/>
                      <w:lang w:eastAsia="zh-CN"/>
                    </w:rPr>
                    <w:t>后</w:t>
                  </w:r>
                  <w:r>
                    <w:rPr>
                      <w:rFonts w:hint="eastAsia" w:ascii="Times New Roman" w:hAnsi="Times New Roman" w:cs="Times New Roman"/>
                      <w:sz w:val="18"/>
                      <w:szCs w:val="18"/>
                      <w:lang w:val="en-US" w:eastAsia="zh-CN"/>
                    </w:rPr>
                    <w:t>，静电喷塑后固化产生的VOCs，与电机浸漆、烘干工序负压收集的VOCs、苯乙烯、臭气浓度，及</w:t>
                  </w:r>
                  <w:r>
                    <w:rPr>
                      <w:rFonts w:hint="default" w:ascii="Times New Roman" w:hAnsi="Times New Roman" w:cs="Times New Roman"/>
                      <w:bCs/>
                      <w:color w:val="auto"/>
                      <w:sz w:val="18"/>
                      <w:szCs w:val="18"/>
                      <w:lang w:eastAsia="zh-CN"/>
                    </w:rPr>
                    <w:t>玻璃钢缠绕罐原料投料、缠绕成型、</w:t>
                  </w:r>
                  <w:r>
                    <w:rPr>
                      <w:rFonts w:hint="default" w:ascii="Times New Roman" w:hAnsi="Times New Roman" w:cs="Times New Roman"/>
                      <w:b w:val="0"/>
                      <w:bCs w:val="0"/>
                      <w:kern w:val="2"/>
                      <w:sz w:val="18"/>
                      <w:szCs w:val="18"/>
                      <w:lang w:val="en-US" w:eastAsia="zh-CN" w:bidi="ar-SA"/>
                    </w:rPr>
                    <w:t>常温固化、原料装模、组装、粘接工序集气罩收集的VOCs、苯乙烯</w:t>
                  </w:r>
                  <w:r>
                    <w:rPr>
                      <w:rFonts w:hint="eastAsia" w:ascii="Times New Roman" w:hAnsi="Times New Roman" w:cs="Times New Roman"/>
                      <w:b w:val="0"/>
                      <w:bCs w:val="0"/>
                      <w:kern w:val="2"/>
                      <w:sz w:val="18"/>
                      <w:szCs w:val="18"/>
                      <w:lang w:val="en-US" w:eastAsia="zh-CN" w:bidi="ar-SA"/>
                    </w:rPr>
                    <w:t>、臭气浓度，</w:t>
                  </w:r>
                  <w:r>
                    <w:rPr>
                      <w:rFonts w:hint="default" w:ascii="Times New Roman" w:hAnsi="Times New Roman" w:cs="Times New Roman"/>
                      <w:b w:val="0"/>
                      <w:bCs w:val="0"/>
                      <w:kern w:val="2"/>
                      <w:sz w:val="18"/>
                      <w:szCs w:val="18"/>
                      <w:lang w:val="en-US" w:eastAsia="zh-CN" w:bidi="ar-SA"/>
                    </w:rPr>
                    <w:t>PPH缠绕罐加热熔融、缠绕成型、常温固化、人工装模、组装、粘接工序集气罩收集的VOCs，一同汇入</w:t>
                  </w:r>
                  <w:r>
                    <w:rPr>
                      <w:rFonts w:hint="default" w:ascii="Times New Roman" w:hAnsi="Times New Roman" w:cs="Times New Roman"/>
                      <w:sz w:val="18"/>
                      <w:szCs w:val="18"/>
                      <w:lang w:eastAsia="zh-CN"/>
                    </w:rPr>
                    <w:t>两级活性炭吸附装置处理，最后经</w:t>
                  </w:r>
                  <w:r>
                    <w:rPr>
                      <w:rFonts w:hint="default" w:ascii="Times New Roman" w:hAnsi="Times New Roman" w:cs="Times New Roman"/>
                      <w:sz w:val="18"/>
                      <w:szCs w:val="18"/>
                      <w:lang w:val="en-US" w:eastAsia="zh-CN"/>
                    </w:rPr>
                    <w:t>15mDA001排气筒有组织排放</w:t>
                  </w:r>
                  <w:r>
                    <w:rPr>
                      <w:rFonts w:hint="default" w:ascii="Times New Roman" w:hAnsi="Times New Roman" w:cs="Times New Roman"/>
                      <w:bCs/>
                      <w:color w:val="000000"/>
                      <w:sz w:val="18"/>
                      <w:szCs w:val="18"/>
                      <w:lang w:val="en-US" w:eastAsia="zh-CN"/>
                    </w:rPr>
                    <w:t>；</w:t>
                  </w:r>
                  <w:r>
                    <w:rPr>
                      <w:rFonts w:hint="eastAsia" w:cs="Times New Roman"/>
                      <w:sz w:val="18"/>
                      <w:szCs w:val="18"/>
                      <w:highlight w:val="none"/>
                      <w:lang w:val="en-US" w:eastAsia="zh-CN"/>
                    </w:rPr>
                    <w:t>喷塑工</w:t>
                  </w:r>
                  <w:r>
                    <w:rPr>
                      <w:rFonts w:hint="default" w:ascii="Times New Roman" w:hAnsi="Times New Roman" w:cs="Times New Roman"/>
                      <w:sz w:val="18"/>
                      <w:szCs w:val="18"/>
                      <w:highlight w:val="none"/>
                      <w:lang w:val="en-US" w:eastAsia="zh-CN"/>
                    </w:rPr>
                    <w:t>序产生的颗粒物经喷塑房底部集气罩收集后经配套滤筒除尘器处理后经15mDA002排气筒有组织排放。</w:t>
                  </w:r>
                  <w:r>
                    <w:rPr>
                      <w:rFonts w:hint="default" w:ascii="Times New Roman" w:hAnsi="Times New Roman" w:cs="Times New Roman"/>
                      <w:sz w:val="18"/>
                      <w:szCs w:val="18"/>
                      <w:lang w:val="en-US" w:eastAsia="zh-CN"/>
                    </w:rPr>
                    <w:t>火焰、等离子切割下料、开孔及焊接工序</w:t>
                  </w:r>
                  <w:r>
                    <w:rPr>
                      <w:rFonts w:hint="default" w:ascii="Times New Roman" w:hAnsi="Times New Roman" w:cs="Times New Roman"/>
                      <w:sz w:val="18"/>
                      <w:szCs w:val="18"/>
                      <w:lang w:val="en-US"/>
                    </w:rPr>
                    <w:t>产生的</w:t>
                  </w:r>
                  <w:r>
                    <w:rPr>
                      <w:rFonts w:hint="default" w:ascii="Times New Roman" w:hAnsi="Times New Roman" w:cs="Times New Roman"/>
                      <w:sz w:val="18"/>
                      <w:szCs w:val="18"/>
                      <w:lang w:val="en-US" w:eastAsia="zh-CN"/>
                    </w:rPr>
                    <w:t>颗粒物经移动式焊烟净化器处理后无组织排放，</w:t>
                  </w:r>
                  <w:r>
                    <w:rPr>
                      <w:rFonts w:hint="default" w:ascii="Times New Roman" w:hAnsi="Times New Roman" w:cs="Times New Roman"/>
                      <w:bCs/>
                      <w:color w:val="auto"/>
                      <w:sz w:val="18"/>
                      <w:szCs w:val="18"/>
                      <w:lang w:eastAsia="zh-CN"/>
                    </w:rPr>
                    <w:t>玻璃钢缠绕罐、</w:t>
                  </w:r>
                  <w:r>
                    <w:rPr>
                      <w:rFonts w:hint="default" w:ascii="Times New Roman" w:hAnsi="Times New Roman" w:cs="Times New Roman"/>
                      <w:b w:val="0"/>
                      <w:bCs w:val="0"/>
                      <w:kern w:val="2"/>
                      <w:sz w:val="18"/>
                      <w:szCs w:val="18"/>
                      <w:lang w:val="en-US" w:eastAsia="zh-CN" w:bidi="ar-SA"/>
                    </w:rPr>
                    <w:t>PPH缠绕罐开孔过程产生的颗粒物</w:t>
                  </w:r>
                  <w:r>
                    <w:rPr>
                      <w:rFonts w:hint="default" w:ascii="Times New Roman" w:hAnsi="Times New Roman" w:cs="Times New Roman"/>
                      <w:sz w:val="18"/>
                      <w:szCs w:val="18"/>
                      <w:lang w:val="en-US" w:eastAsia="zh-CN"/>
                    </w:rPr>
                    <w:t>经移动式焊烟净化器处理后无组织排放；集气罩未收集的</w:t>
                  </w:r>
                  <w:r>
                    <w:rPr>
                      <w:rFonts w:hint="eastAsia" w:ascii="Times New Roman" w:hAnsi="Times New Roman" w:cs="Times New Roman"/>
                      <w:sz w:val="18"/>
                      <w:szCs w:val="18"/>
                      <w:lang w:val="en-US" w:eastAsia="zh-CN"/>
                    </w:rPr>
                    <w:t>颗粒物、</w:t>
                  </w:r>
                  <w:r>
                    <w:rPr>
                      <w:rFonts w:hint="default" w:ascii="Times New Roman" w:hAnsi="Times New Roman" w:cs="Times New Roman"/>
                      <w:sz w:val="18"/>
                      <w:szCs w:val="18"/>
                      <w:lang w:val="en-US" w:eastAsia="zh-CN"/>
                    </w:rPr>
                    <w:t>VOCs、苯乙烯</w:t>
                  </w:r>
                  <w:r>
                    <w:rPr>
                      <w:rFonts w:hint="eastAsia" w:ascii="Times New Roman" w:hAnsi="Times New Roman" w:cs="Times New Roman"/>
                      <w:sz w:val="18"/>
                      <w:szCs w:val="18"/>
                      <w:lang w:val="en-US" w:eastAsia="zh-CN"/>
                    </w:rPr>
                    <w:t>、臭气浓度</w:t>
                  </w:r>
                  <w:r>
                    <w:rPr>
                      <w:rFonts w:hint="default" w:ascii="Times New Roman" w:hAnsi="Times New Roman" w:cs="Times New Roman"/>
                      <w:sz w:val="18"/>
                      <w:szCs w:val="18"/>
                      <w:lang w:val="en-US" w:eastAsia="zh-CN"/>
                    </w:rPr>
                    <w:t>等无组织排放。</w:t>
                  </w:r>
                </w:p>
              </w:tc>
              <w:tc>
                <w:tcPr>
                  <w:tcW w:w="895" w:type="pct"/>
                  <w:noWrap w:val="0"/>
                  <w:tcMar>
                    <w:left w:w="57" w:type="dxa"/>
                    <w:right w:w="57" w:type="dxa"/>
                  </w:tcMar>
                  <w:vAlign w:val="center"/>
                </w:tcPr>
                <w:p w14:paraId="318AEFC3">
                  <w:pPr>
                    <w:pStyle w:val="45"/>
                    <w:jc w:val="center"/>
                    <w:rPr>
                      <w:rFonts w:hint="default" w:ascii="Times New Roman" w:hAnsi="Times New Roman" w:cs="Times New Roman"/>
                      <w:sz w:val="18"/>
                      <w:szCs w:val="18"/>
                      <w:lang w:eastAsia="zh-CN"/>
                    </w:rPr>
                  </w:pPr>
                  <w:r>
                    <w:rPr>
                      <w:rFonts w:hint="eastAsia" w:ascii="Times New Roman" w:hAnsi="Times New Roman" w:cs="Times New Roman"/>
                      <w:sz w:val="18"/>
                      <w:szCs w:val="18"/>
                      <w:lang w:eastAsia="zh-CN"/>
                    </w:rPr>
                    <w:t>新建</w:t>
                  </w:r>
                </w:p>
              </w:tc>
            </w:tr>
            <w:tr w14:paraId="74F86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4" w:type="pct"/>
                  <w:vMerge w:val="continue"/>
                  <w:noWrap w:val="0"/>
                  <w:tcMar>
                    <w:left w:w="57" w:type="dxa"/>
                    <w:right w:w="57" w:type="dxa"/>
                  </w:tcMar>
                  <w:vAlign w:val="center"/>
                </w:tcPr>
                <w:p w14:paraId="6CEEDCDD">
                  <w:pPr>
                    <w:jc w:val="center"/>
                    <w:rPr>
                      <w:bCs/>
                      <w:sz w:val="18"/>
                      <w:szCs w:val="18"/>
                    </w:rPr>
                  </w:pPr>
                </w:p>
              </w:tc>
              <w:tc>
                <w:tcPr>
                  <w:tcW w:w="718" w:type="pct"/>
                  <w:noWrap w:val="0"/>
                  <w:tcMar>
                    <w:left w:w="57" w:type="dxa"/>
                    <w:right w:w="57" w:type="dxa"/>
                  </w:tcMar>
                  <w:vAlign w:val="center"/>
                </w:tcPr>
                <w:p w14:paraId="58476BD8">
                  <w:pPr>
                    <w:jc w:val="center"/>
                    <w:rPr>
                      <w:rFonts w:hint="eastAsia"/>
                      <w:bCs/>
                      <w:sz w:val="18"/>
                      <w:szCs w:val="18"/>
                    </w:rPr>
                  </w:pPr>
                  <w:r>
                    <w:rPr>
                      <w:rFonts w:hint="eastAsia"/>
                      <w:bCs/>
                      <w:sz w:val="18"/>
                      <w:szCs w:val="18"/>
                    </w:rPr>
                    <w:t>废水处理</w:t>
                  </w:r>
                </w:p>
              </w:tc>
              <w:tc>
                <w:tcPr>
                  <w:tcW w:w="2971" w:type="pct"/>
                  <w:noWrap w:val="0"/>
                  <w:tcMar>
                    <w:left w:w="57" w:type="dxa"/>
                    <w:right w:w="57" w:type="dxa"/>
                  </w:tcMar>
                  <w:vAlign w:val="center"/>
                </w:tcPr>
                <w:p w14:paraId="163FC3E4">
                  <w:pPr>
                    <w:pStyle w:val="45"/>
                    <w:rPr>
                      <w:rFonts w:hint="eastAsia" w:ascii="Times New Roman" w:hAnsi="Times New Roman" w:eastAsia="宋体" w:cs="Times New Roman"/>
                      <w:sz w:val="18"/>
                      <w:szCs w:val="18"/>
                      <w:lang w:eastAsia="zh-CN"/>
                    </w:rPr>
                  </w:pPr>
                  <w:r>
                    <w:rPr>
                      <w:rFonts w:hint="default" w:ascii="Times New Roman" w:hAnsi="Times New Roman" w:eastAsia="宋体" w:cs="Times New Roman"/>
                      <w:sz w:val="18"/>
                      <w:szCs w:val="18"/>
                    </w:rPr>
                    <w:t>本项目生产</w:t>
                  </w:r>
                  <w:r>
                    <w:rPr>
                      <w:rFonts w:hint="default" w:ascii="Times New Roman" w:hAnsi="Times New Roman" w:eastAsia="宋体" w:cs="Times New Roman"/>
                      <w:sz w:val="18"/>
                      <w:szCs w:val="18"/>
                      <w:lang w:eastAsia="zh-CN"/>
                    </w:rPr>
                    <w:t>过程锯床冷却用水</w:t>
                  </w:r>
                  <w:r>
                    <w:rPr>
                      <w:rFonts w:hint="default" w:ascii="Times New Roman" w:hAnsi="Times New Roman" w:eastAsia="宋体" w:cs="Times New Roman"/>
                      <w:sz w:val="18"/>
                      <w:szCs w:val="18"/>
                      <w:lang w:val="en-US" w:eastAsia="zh-CN"/>
                    </w:rPr>
                    <w:t>补水、水压试验用水、喷砂、磨床、PPH缠绕一体化成型机用水补水、车间洒水降尘用水</w:t>
                  </w:r>
                  <w:r>
                    <w:rPr>
                      <w:rFonts w:hint="default" w:ascii="Times New Roman" w:hAnsi="Times New Roman" w:eastAsia="宋体" w:cs="Times New Roman"/>
                      <w:sz w:val="18"/>
                      <w:szCs w:val="18"/>
                      <w:lang w:eastAsia="zh-CN"/>
                    </w:rPr>
                    <w:t>全部蒸发损耗，</w:t>
                  </w:r>
                  <w:r>
                    <w:rPr>
                      <w:rFonts w:hint="default" w:ascii="Times New Roman" w:hAnsi="Times New Roman" w:eastAsia="宋体" w:cs="Times New Roman"/>
                      <w:sz w:val="18"/>
                      <w:szCs w:val="18"/>
                      <w:lang w:val="en-US" w:eastAsia="zh-CN"/>
                    </w:rPr>
                    <w:t>无废水产生。</w:t>
                  </w:r>
                  <w:r>
                    <w:rPr>
                      <w:rFonts w:hint="eastAsia" w:ascii="Times New Roman" w:hAnsi="Times New Roman" w:cs="Times New Roman"/>
                      <w:sz w:val="18"/>
                      <w:szCs w:val="18"/>
                      <w:lang w:eastAsia="zh-CN"/>
                    </w:rPr>
                    <w:t>职工</w:t>
                  </w:r>
                  <w:r>
                    <w:rPr>
                      <w:rFonts w:hint="eastAsia" w:ascii="Times New Roman" w:hAnsi="Times New Roman" w:cs="Times New Roman"/>
                      <w:sz w:val="18"/>
                      <w:szCs w:val="18"/>
                    </w:rPr>
                    <w:t>生活污水经化粪池</w:t>
                  </w:r>
                  <w:r>
                    <w:rPr>
                      <w:rFonts w:hint="eastAsia" w:ascii="Times New Roman" w:hAnsi="Times New Roman" w:cs="Times New Roman"/>
                      <w:sz w:val="18"/>
                      <w:szCs w:val="18"/>
                      <w:lang w:eastAsia="zh-CN"/>
                    </w:rPr>
                    <w:t>处理</w:t>
                  </w:r>
                  <w:r>
                    <w:rPr>
                      <w:rFonts w:hint="eastAsia" w:ascii="Times New Roman" w:hAnsi="Times New Roman" w:cs="Times New Roman"/>
                      <w:sz w:val="18"/>
                      <w:szCs w:val="18"/>
                    </w:rPr>
                    <w:t>后</w:t>
                  </w:r>
                  <w:r>
                    <w:rPr>
                      <w:rFonts w:hint="eastAsia" w:ascii="Times New Roman" w:hAnsi="Times New Roman" w:cs="Times New Roman"/>
                      <w:sz w:val="18"/>
                      <w:szCs w:val="18"/>
                      <w:lang w:eastAsia="zh-CN"/>
                    </w:rPr>
                    <w:t>经市政污水管网排入淄博市利民净化水有限公司深度处理。</w:t>
                  </w:r>
                </w:p>
              </w:tc>
              <w:tc>
                <w:tcPr>
                  <w:tcW w:w="895" w:type="pct"/>
                  <w:noWrap w:val="0"/>
                  <w:tcMar>
                    <w:left w:w="57" w:type="dxa"/>
                    <w:right w:w="57" w:type="dxa"/>
                  </w:tcMar>
                  <w:vAlign w:val="center"/>
                </w:tcPr>
                <w:p w14:paraId="5449893B">
                  <w:pPr>
                    <w:pStyle w:val="45"/>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新建</w:t>
                  </w:r>
                </w:p>
              </w:tc>
            </w:tr>
            <w:tr w14:paraId="3EEBE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4" w:type="pct"/>
                  <w:vMerge w:val="continue"/>
                  <w:noWrap w:val="0"/>
                  <w:tcMar>
                    <w:left w:w="57" w:type="dxa"/>
                    <w:right w:w="57" w:type="dxa"/>
                  </w:tcMar>
                  <w:vAlign w:val="center"/>
                </w:tcPr>
                <w:p w14:paraId="2EC09CE0">
                  <w:pPr>
                    <w:jc w:val="center"/>
                    <w:rPr>
                      <w:bCs/>
                      <w:sz w:val="18"/>
                      <w:szCs w:val="18"/>
                    </w:rPr>
                  </w:pPr>
                </w:p>
              </w:tc>
              <w:tc>
                <w:tcPr>
                  <w:tcW w:w="718" w:type="pct"/>
                  <w:noWrap w:val="0"/>
                  <w:tcMar>
                    <w:left w:w="57" w:type="dxa"/>
                    <w:right w:w="57" w:type="dxa"/>
                  </w:tcMar>
                  <w:vAlign w:val="center"/>
                </w:tcPr>
                <w:p w14:paraId="2292353F">
                  <w:pPr>
                    <w:pStyle w:val="3"/>
                    <w:spacing w:line="300" w:lineRule="exact"/>
                    <w:ind w:left="0" w:leftChars="0"/>
                    <w:jc w:val="center"/>
                    <w:rPr>
                      <w:rFonts w:hint="eastAsia"/>
                      <w:bCs/>
                      <w:sz w:val="18"/>
                      <w:szCs w:val="18"/>
                    </w:rPr>
                  </w:pPr>
                  <w:r>
                    <w:rPr>
                      <w:sz w:val="18"/>
                      <w:szCs w:val="18"/>
                    </w:rPr>
                    <w:t>噪声处理控制</w:t>
                  </w:r>
                </w:p>
              </w:tc>
              <w:tc>
                <w:tcPr>
                  <w:tcW w:w="2971" w:type="pct"/>
                  <w:noWrap w:val="0"/>
                  <w:tcMar>
                    <w:left w:w="57" w:type="dxa"/>
                    <w:right w:w="57" w:type="dxa"/>
                  </w:tcMar>
                  <w:vAlign w:val="center"/>
                </w:tcPr>
                <w:p w14:paraId="370AC449">
                  <w:pPr>
                    <w:pStyle w:val="3"/>
                    <w:spacing w:line="300" w:lineRule="exact"/>
                    <w:ind w:left="0" w:leftChars="0"/>
                    <w:jc w:val="center"/>
                    <w:rPr>
                      <w:rFonts w:hint="eastAsia" w:ascii="Times New Roman" w:hAnsi="Times New Roman" w:cs="Times New Roman"/>
                      <w:sz w:val="18"/>
                      <w:szCs w:val="18"/>
                    </w:rPr>
                  </w:pPr>
                  <w:r>
                    <w:rPr>
                      <w:sz w:val="18"/>
                      <w:szCs w:val="18"/>
                    </w:rPr>
                    <w:t>减振、隔声</w:t>
                  </w:r>
                </w:p>
              </w:tc>
              <w:tc>
                <w:tcPr>
                  <w:tcW w:w="895" w:type="pct"/>
                  <w:noWrap w:val="0"/>
                  <w:tcMar>
                    <w:left w:w="57" w:type="dxa"/>
                    <w:right w:w="57" w:type="dxa"/>
                  </w:tcMar>
                  <w:vAlign w:val="center"/>
                </w:tcPr>
                <w:p w14:paraId="5CDDBDA7">
                  <w:pPr>
                    <w:pStyle w:val="3"/>
                    <w:spacing w:line="300" w:lineRule="exact"/>
                    <w:ind w:left="0" w:leftChars="0"/>
                    <w:jc w:val="center"/>
                    <w:rPr>
                      <w:rFonts w:hint="eastAsia" w:eastAsia="宋体"/>
                      <w:sz w:val="18"/>
                      <w:szCs w:val="18"/>
                      <w:lang w:eastAsia="zh-CN"/>
                    </w:rPr>
                  </w:pPr>
                  <w:r>
                    <w:rPr>
                      <w:rFonts w:hint="eastAsia"/>
                      <w:sz w:val="18"/>
                      <w:szCs w:val="18"/>
                      <w:lang w:eastAsia="zh-CN"/>
                    </w:rPr>
                    <w:t>新建</w:t>
                  </w:r>
                </w:p>
              </w:tc>
            </w:tr>
            <w:tr w14:paraId="0ECA3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14" w:type="pct"/>
                  <w:vMerge w:val="continue"/>
                  <w:noWrap w:val="0"/>
                  <w:tcMar>
                    <w:left w:w="57" w:type="dxa"/>
                    <w:right w:w="57" w:type="dxa"/>
                  </w:tcMar>
                  <w:vAlign w:val="center"/>
                </w:tcPr>
                <w:p w14:paraId="54A07EAB">
                  <w:pPr>
                    <w:jc w:val="center"/>
                    <w:rPr>
                      <w:bCs/>
                      <w:sz w:val="18"/>
                      <w:szCs w:val="18"/>
                    </w:rPr>
                  </w:pPr>
                </w:p>
              </w:tc>
              <w:tc>
                <w:tcPr>
                  <w:tcW w:w="718" w:type="pct"/>
                  <w:noWrap w:val="0"/>
                  <w:tcMar>
                    <w:left w:w="57" w:type="dxa"/>
                    <w:right w:w="57" w:type="dxa"/>
                  </w:tcMar>
                  <w:vAlign w:val="center"/>
                </w:tcPr>
                <w:p w14:paraId="7AB2D1CC">
                  <w:pPr>
                    <w:jc w:val="center"/>
                    <w:rPr>
                      <w:bCs/>
                      <w:sz w:val="18"/>
                      <w:szCs w:val="18"/>
                    </w:rPr>
                  </w:pPr>
                  <w:r>
                    <w:rPr>
                      <w:rFonts w:hint="eastAsia"/>
                      <w:bCs/>
                      <w:sz w:val="18"/>
                      <w:szCs w:val="18"/>
                    </w:rPr>
                    <w:t>固废处理</w:t>
                  </w:r>
                </w:p>
              </w:tc>
              <w:tc>
                <w:tcPr>
                  <w:tcW w:w="2971" w:type="pct"/>
                  <w:noWrap w:val="0"/>
                  <w:tcMar>
                    <w:left w:w="57" w:type="dxa"/>
                    <w:right w:w="57" w:type="dxa"/>
                  </w:tcMar>
                  <w:vAlign w:val="center"/>
                </w:tcPr>
                <w:p w14:paraId="6DB50C6F">
                  <w:pPr>
                    <w:keepNext w:val="0"/>
                    <w:keepLines w:val="0"/>
                    <w:pageBreakBefore w:val="0"/>
                    <w:widowControl w:val="0"/>
                    <w:kinsoku/>
                    <w:wordWrap/>
                    <w:overflowPunct/>
                    <w:topLinePunct w:val="0"/>
                    <w:autoSpaceDE/>
                    <w:autoSpaceDN/>
                    <w:bidi w:val="0"/>
                    <w:adjustRightInd/>
                    <w:snapToGrid/>
                    <w:spacing w:line="240" w:lineRule="auto"/>
                    <w:jc w:val="both"/>
                    <w:textAlignment w:val="auto"/>
                    <w:rPr>
                      <w:rFonts w:hint="default" w:eastAsia="宋体"/>
                      <w:bCs/>
                      <w:sz w:val="18"/>
                      <w:szCs w:val="18"/>
                      <w:lang w:val="en-US" w:eastAsia="zh-CN"/>
                    </w:rPr>
                  </w:pPr>
                  <w:r>
                    <w:rPr>
                      <w:rFonts w:hint="eastAsia"/>
                      <w:sz w:val="18"/>
                      <w:szCs w:val="18"/>
                      <w:highlight w:val="none"/>
                      <w:lang w:eastAsia="zh-CN"/>
                    </w:rPr>
                    <w:t>建设</w:t>
                  </w:r>
                  <w:r>
                    <w:rPr>
                      <w:rFonts w:hint="eastAsia"/>
                      <w:sz w:val="18"/>
                      <w:szCs w:val="18"/>
                      <w:highlight w:val="none"/>
                      <w:lang w:val="en-US" w:eastAsia="zh-CN"/>
                    </w:rPr>
                    <w:t>1座30m</w:t>
                  </w:r>
                  <w:r>
                    <w:rPr>
                      <w:rFonts w:hint="eastAsia"/>
                      <w:sz w:val="18"/>
                      <w:szCs w:val="18"/>
                      <w:highlight w:val="none"/>
                      <w:vertAlign w:val="superscript"/>
                      <w:lang w:val="en-US" w:eastAsia="zh-CN"/>
                    </w:rPr>
                    <w:t>2</w:t>
                  </w:r>
                  <w:r>
                    <w:rPr>
                      <w:rFonts w:hint="eastAsia"/>
                      <w:sz w:val="18"/>
                      <w:szCs w:val="18"/>
                      <w:highlight w:val="none"/>
                      <w:lang w:eastAsia="zh-CN"/>
                    </w:rPr>
                    <w:t>一般固废仓库</w:t>
                  </w:r>
                  <w:r>
                    <w:rPr>
                      <w:rFonts w:hint="eastAsia"/>
                      <w:sz w:val="18"/>
                      <w:szCs w:val="18"/>
                      <w:highlight w:val="none"/>
                      <w:lang w:val="en-US" w:eastAsia="zh-CN"/>
                    </w:rPr>
                    <w:t>用来储存一般工业固体废物</w:t>
                  </w:r>
                  <w:r>
                    <w:rPr>
                      <w:rFonts w:hint="eastAsia"/>
                      <w:sz w:val="18"/>
                      <w:szCs w:val="18"/>
                      <w:highlight w:val="none"/>
                      <w:lang w:eastAsia="zh-CN"/>
                    </w:rPr>
                    <w:t>；建设</w:t>
                  </w:r>
                  <w:r>
                    <w:rPr>
                      <w:rFonts w:hint="eastAsia"/>
                      <w:sz w:val="18"/>
                      <w:szCs w:val="18"/>
                      <w:highlight w:val="none"/>
                      <w:lang w:val="en-US" w:eastAsia="zh-CN"/>
                    </w:rPr>
                    <w:t>1座10m</w:t>
                  </w:r>
                  <w:r>
                    <w:rPr>
                      <w:rFonts w:hint="eastAsia"/>
                      <w:sz w:val="18"/>
                      <w:szCs w:val="18"/>
                      <w:highlight w:val="none"/>
                      <w:vertAlign w:val="superscript"/>
                      <w:lang w:val="en-US" w:eastAsia="zh-CN"/>
                    </w:rPr>
                    <w:t>2</w:t>
                  </w:r>
                  <w:r>
                    <w:rPr>
                      <w:rFonts w:hint="eastAsia"/>
                      <w:sz w:val="18"/>
                      <w:szCs w:val="18"/>
                      <w:highlight w:val="none"/>
                      <w:lang w:eastAsia="zh-CN"/>
                    </w:rPr>
                    <w:t>危废间</w:t>
                  </w:r>
                  <w:r>
                    <w:rPr>
                      <w:rFonts w:hint="eastAsia"/>
                      <w:sz w:val="18"/>
                      <w:szCs w:val="18"/>
                      <w:highlight w:val="none"/>
                      <w:lang w:val="en-US" w:eastAsia="zh-CN"/>
                    </w:rPr>
                    <w:t>，用来储存项目产生的危险废物；一般固废仓库及危废间均满足相关标准建设要求。</w:t>
                  </w:r>
                </w:p>
              </w:tc>
              <w:tc>
                <w:tcPr>
                  <w:tcW w:w="895" w:type="pct"/>
                  <w:noWrap w:val="0"/>
                  <w:tcMar>
                    <w:left w:w="57" w:type="dxa"/>
                    <w:right w:w="57" w:type="dxa"/>
                  </w:tcMar>
                  <w:vAlign w:val="center"/>
                </w:tcPr>
                <w:p w14:paraId="2D846E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sz w:val="18"/>
                      <w:szCs w:val="18"/>
                      <w:highlight w:val="none"/>
                      <w:lang w:eastAsia="zh-CN"/>
                    </w:rPr>
                  </w:pPr>
                  <w:r>
                    <w:rPr>
                      <w:rFonts w:hint="eastAsia"/>
                      <w:sz w:val="18"/>
                      <w:szCs w:val="18"/>
                      <w:highlight w:val="none"/>
                      <w:lang w:eastAsia="zh-CN"/>
                    </w:rPr>
                    <w:t>新建</w:t>
                  </w:r>
                </w:p>
              </w:tc>
            </w:tr>
          </w:tbl>
          <w:p w14:paraId="5550DEFD">
            <w:pPr>
              <w:adjustRightInd w:val="0"/>
              <w:snapToGrid w:val="0"/>
              <w:spacing w:line="360" w:lineRule="auto"/>
              <w:ind w:firstLine="420" w:firstLineChars="200"/>
            </w:pPr>
            <w:r>
              <w:t>3、工程总投资及环保投资：工程总投资</w:t>
            </w:r>
            <w:r>
              <w:rPr>
                <w:rFonts w:hint="eastAsia"/>
                <w:lang w:val="en-US" w:eastAsia="zh-CN"/>
              </w:rPr>
              <w:t>60</w:t>
            </w:r>
            <w:r>
              <w:t>00万元，环保投资</w:t>
            </w:r>
            <w:r>
              <w:rPr>
                <w:rFonts w:hint="eastAsia"/>
                <w:lang w:val="en-US" w:eastAsia="zh-CN"/>
              </w:rPr>
              <w:t>6</w:t>
            </w:r>
            <w:r>
              <w:t>0万元，占投资的1%。</w:t>
            </w:r>
          </w:p>
          <w:p w14:paraId="5FB0DF15">
            <w:pPr>
              <w:adjustRightInd w:val="0"/>
              <w:snapToGrid w:val="0"/>
              <w:spacing w:line="360" w:lineRule="auto"/>
              <w:ind w:firstLine="420" w:firstLineChars="200"/>
            </w:pPr>
            <w:r>
              <w:rPr>
                <w:kern w:val="0"/>
              </w:rPr>
              <w:t>4、</w:t>
            </w:r>
            <w:r>
              <w:t>劳动制度及定员：项目</w:t>
            </w:r>
            <w:r>
              <w:rPr>
                <w:rFonts w:hint="eastAsia"/>
                <w:lang w:eastAsia="zh-CN"/>
              </w:rPr>
              <w:t>新增</w:t>
            </w:r>
            <w:r>
              <w:t>劳动定员</w:t>
            </w:r>
            <w:r>
              <w:rPr>
                <w:rFonts w:hint="eastAsia"/>
                <w:lang w:val="en-US" w:eastAsia="zh-CN"/>
              </w:rPr>
              <w:t>50人</w:t>
            </w:r>
            <w:r>
              <w:rPr>
                <w:rFonts w:hint="eastAsia"/>
                <w:lang w:eastAsia="zh-CN"/>
              </w:rPr>
              <w:t>，</w:t>
            </w:r>
            <w:r>
              <w:t>年运行</w:t>
            </w:r>
            <w:r>
              <w:rPr>
                <w:rFonts w:hint="eastAsia"/>
                <w:lang w:val="en-US" w:eastAsia="zh-CN"/>
              </w:rPr>
              <w:t>30</w:t>
            </w:r>
            <w:r>
              <w:t>0天，</w:t>
            </w:r>
            <w:r>
              <w:rPr>
                <w:rFonts w:hint="eastAsia"/>
                <w:lang w:eastAsia="zh-CN"/>
              </w:rPr>
              <w:t>白班</w:t>
            </w:r>
            <w:r>
              <w:rPr>
                <w:rFonts w:hint="eastAsia"/>
                <w:lang w:val="en-US" w:eastAsia="zh-CN"/>
              </w:rPr>
              <w:t>8h工作制</w:t>
            </w:r>
            <w:r>
              <w:t>。本项目不设置食堂</w:t>
            </w:r>
            <w:r>
              <w:rPr>
                <w:rFonts w:hint="eastAsia"/>
                <w:lang w:eastAsia="zh-CN"/>
              </w:rPr>
              <w:t>，无</w:t>
            </w:r>
            <w:r>
              <w:t>宿舍。</w:t>
            </w:r>
          </w:p>
          <w:p w14:paraId="04211104">
            <w:pPr>
              <w:adjustRightInd w:val="0"/>
              <w:snapToGrid w:val="0"/>
              <w:spacing w:line="360" w:lineRule="auto"/>
              <w:ind w:firstLine="420" w:firstLineChars="200"/>
            </w:pPr>
            <w:r>
              <w:t>5、</w:t>
            </w:r>
            <w:r>
              <w:rPr>
                <w:rFonts w:hint="eastAsia"/>
                <w:lang w:eastAsia="zh-CN"/>
              </w:rPr>
              <w:t>项目</w:t>
            </w:r>
            <w:r>
              <w:t>平面布置</w:t>
            </w:r>
          </w:p>
          <w:p w14:paraId="573DDB4F">
            <w:pPr>
              <w:tabs>
                <w:tab w:val="left" w:pos="1800"/>
              </w:tabs>
              <w:adjustRightInd w:val="0"/>
              <w:snapToGrid w:val="0"/>
              <w:spacing w:line="360" w:lineRule="auto"/>
              <w:ind w:firstLine="420" w:firstLineChars="200"/>
              <w:rPr>
                <w:bCs/>
                <w:lang w:val="de-DE"/>
              </w:rPr>
            </w:pPr>
            <w:r>
              <w:rPr>
                <w:kern w:val="0"/>
                <w:lang w:val="de-DE"/>
              </w:rPr>
              <w:t>①地理位</w:t>
            </w:r>
            <w:r>
              <w:rPr>
                <w:kern w:val="0"/>
                <w:lang w:bidi="ar"/>
              </w:rPr>
              <w:t>置：本项目位于山东省淄博市淄川</w:t>
            </w:r>
            <w:r>
              <w:rPr>
                <w:rFonts w:hint="eastAsia"/>
                <w:kern w:val="0"/>
                <w:lang w:eastAsia="zh-CN" w:bidi="ar"/>
              </w:rPr>
              <w:t>经济开发区中一产业园内</w:t>
            </w:r>
            <w:r>
              <w:rPr>
                <w:kern w:val="0"/>
                <w:lang w:bidi="ar"/>
              </w:rPr>
              <w:t>，地理坐标为</w:t>
            </w:r>
            <w:r>
              <w:rPr>
                <w:bCs/>
              </w:rPr>
              <w:t>东经</w:t>
            </w:r>
            <w:r>
              <w:rPr>
                <w:rFonts w:hint="eastAsia"/>
                <w:bCs/>
                <w:lang w:eastAsia="zh-CN"/>
              </w:rPr>
              <w:t>117°5</w:t>
            </w:r>
            <w:r>
              <w:rPr>
                <w:rFonts w:hint="eastAsia"/>
                <w:bCs/>
                <w:lang w:val="en-US" w:eastAsia="zh-CN"/>
              </w:rPr>
              <w:t>5</w:t>
            </w:r>
            <w:r>
              <w:rPr>
                <w:rFonts w:hint="eastAsia"/>
                <w:bCs/>
                <w:lang w:eastAsia="zh-CN"/>
              </w:rPr>
              <w:t>′</w:t>
            </w:r>
            <w:r>
              <w:rPr>
                <w:rFonts w:hint="eastAsia"/>
                <w:bCs/>
                <w:lang w:val="en-US" w:eastAsia="zh-CN"/>
              </w:rPr>
              <w:t>51.961</w:t>
            </w:r>
            <w:r>
              <w:rPr>
                <w:rFonts w:hint="eastAsia"/>
                <w:bCs/>
                <w:lang w:eastAsia="zh-CN"/>
              </w:rPr>
              <w:t>"</w:t>
            </w:r>
            <w:r>
              <w:rPr>
                <w:bCs/>
              </w:rPr>
              <w:t>、北纬</w:t>
            </w:r>
            <w:r>
              <w:rPr>
                <w:rFonts w:hint="eastAsia"/>
                <w:bCs/>
                <w:lang w:eastAsia="zh-CN"/>
              </w:rPr>
              <w:t>36°</w:t>
            </w:r>
            <w:r>
              <w:rPr>
                <w:rFonts w:hint="eastAsia"/>
                <w:bCs/>
                <w:lang w:val="en-US" w:eastAsia="zh-CN"/>
              </w:rPr>
              <w:t>40</w:t>
            </w:r>
            <w:r>
              <w:rPr>
                <w:rFonts w:hint="eastAsia"/>
                <w:bCs/>
                <w:lang w:eastAsia="zh-CN"/>
              </w:rPr>
              <w:t>′</w:t>
            </w:r>
            <w:r>
              <w:rPr>
                <w:rFonts w:hint="eastAsia"/>
                <w:bCs/>
                <w:lang w:val="en-US" w:eastAsia="zh-CN"/>
              </w:rPr>
              <w:t>52.979</w:t>
            </w:r>
            <w:r>
              <w:rPr>
                <w:rFonts w:hint="eastAsia"/>
                <w:bCs/>
                <w:lang w:eastAsia="zh-CN"/>
              </w:rPr>
              <w:t>"</w:t>
            </w:r>
            <w:r>
              <w:t>，</w:t>
            </w:r>
            <w:r>
              <w:rPr>
                <w:kern w:val="0"/>
                <w:lang w:bidi="ar"/>
              </w:rPr>
              <w:t>详细地理位置见附图1。</w:t>
            </w:r>
          </w:p>
          <w:p w14:paraId="46DA2FFC">
            <w:pPr>
              <w:tabs>
                <w:tab w:val="left" w:pos="1800"/>
              </w:tabs>
              <w:adjustRightInd w:val="0"/>
              <w:snapToGrid w:val="0"/>
              <w:spacing w:line="360" w:lineRule="auto"/>
              <w:ind w:firstLine="420" w:firstLineChars="200"/>
              <w:rPr>
                <w:kern w:val="0"/>
              </w:rPr>
            </w:pPr>
            <w:r>
              <w:t>②周边关</w:t>
            </w:r>
            <w:r>
              <w:rPr>
                <w:spacing w:val="10"/>
              </w:rPr>
              <w:t>系：</w:t>
            </w:r>
            <w:r>
              <w:rPr>
                <w:bCs/>
                <w:sz w:val="21"/>
                <w:szCs w:val="21"/>
              </w:rPr>
              <w:t>项目</w:t>
            </w:r>
            <w:r>
              <w:rPr>
                <w:rFonts w:hint="eastAsia"/>
                <w:bCs/>
                <w:sz w:val="21"/>
                <w:szCs w:val="21"/>
              </w:rPr>
              <w:t>东侧为</w:t>
            </w:r>
            <w:r>
              <w:rPr>
                <w:rFonts w:hint="eastAsia"/>
                <w:bCs/>
                <w:sz w:val="21"/>
                <w:szCs w:val="21"/>
                <w:lang w:eastAsia="zh-CN"/>
              </w:rPr>
              <w:t>庆淄路，南侧、</w:t>
            </w:r>
            <w:r>
              <w:rPr>
                <w:rFonts w:hint="eastAsia"/>
                <w:bCs/>
                <w:sz w:val="21"/>
                <w:szCs w:val="21"/>
              </w:rPr>
              <w:t>西</w:t>
            </w:r>
            <w:r>
              <w:rPr>
                <w:bCs/>
                <w:sz w:val="21"/>
                <w:szCs w:val="21"/>
              </w:rPr>
              <w:t>侧</w:t>
            </w:r>
            <w:r>
              <w:rPr>
                <w:rFonts w:hint="eastAsia"/>
                <w:bCs/>
                <w:sz w:val="21"/>
                <w:szCs w:val="21"/>
                <w:lang w:eastAsia="zh-CN"/>
              </w:rPr>
              <w:t>、北侧</w:t>
            </w:r>
            <w:r>
              <w:rPr>
                <w:bCs/>
                <w:sz w:val="21"/>
                <w:szCs w:val="21"/>
              </w:rPr>
              <w:t>为</w:t>
            </w:r>
            <w:r>
              <w:rPr>
                <w:rFonts w:hint="eastAsia"/>
                <w:bCs/>
                <w:sz w:val="21"/>
                <w:szCs w:val="21"/>
                <w:lang w:eastAsia="zh-CN"/>
              </w:rPr>
              <w:t>园区其他企业厂房</w:t>
            </w:r>
            <w:r>
              <w:rPr>
                <w:bCs/>
                <w:sz w:val="21"/>
                <w:szCs w:val="21"/>
                <w:lang w:val="zh-CN"/>
              </w:rPr>
              <w:t>。</w:t>
            </w:r>
            <w:r>
              <w:rPr>
                <w:spacing w:val="10"/>
              </w:rPr>
              <w:t>本项目</w:t>
            </w:r>
            <w:r>
              <w:rPr>
                <w:rFonts w:hint="eastAsia"/>
                <w:spacing w:val="10"/>
                <w:lang w:eastAsia="zh-CN"/>
              </w:rPr>
              <w:t>东北</w:t>
            </w:r>
            <w:r>
              <w:rPr>
                <w:spacing w:val="10"/>
              </w:rPr>
              <w:t>侧距离</w:t>
            </w:r>
            <w:r>
              <w:rPr>
                <w:rFonts w:hint="eastAsia"/>
                <w:spacing w:val="10"/>
                <w:lang w:eastAsia="zh-CN"/>
              </w:rPr>
              <w:t>井家河</w:t>
            </w:r>
            <w:r>
              <w:rPr>
                <w:spacing w:val="10"/>
              </w:rPr>
              <w:t>村</w:t>
            </w:r>
            <w:r>
              <w:rPr>
                <w:rFonts w:hint="eastAsia"/>
                <w:spacing w:val="10"/>
                <w:lang w:val="en-US" w:eastAsia="zh-CN"/>
              </w:rPr>
              <w:t>98</w:t>
            </w:r>
            <w:r>
              <w:rPr>
                <w:spacing w:val="10"/>
              </w:rPr>
              <w:t>m，</w:t>
            </w:r>
            <w:r>
              <w:rPr>
                <w:rFonts w:hint="eastAsia"/>
                <w:spacing w:val="10"/>
                <w:lang w:eastAsia="zh-CN"/>
              </w:rPr>
              <w:t>东南</w:t>
            </w:r>
            <w:r>
              <w:rPr>
                <w:spacing w:val="10"/>
              </w:rPr>
              <w:t>侧距离</w:t>
            </w:r>
            <w:r>
              <w:rPr>
                <w:rFonts w:hint="eastAsia"/>
                <w:spacing w:val="10"/>
                <w:lang w:eastAsia="zh-CN"/>
              </w:rPr>
              <w:t>高家</w:t>
            </w:r>
            <w:r>
              <w:rPr>
                <w:spacing w:val="10"/>
              </w:rPr>
              <w:t>村</w:t>
            </w:r>
            <w:r>
              <w:rPr>
                <w:rFonts w:hint="eastAsia"/>
                <w:spacing w:val="10"/>
                <w:lang w:val="en-US" w:eastAsia="zh-CN"/>
              </w:rPr>
              <w:t>100</w:t>
            </w:r>
            <w:r>
              <w:rPr>
                <w:spacing w:val="10"/>
              </w:rPr>
              <w:t>m</w:t>
            </w:r>
            <w:r>
              <w:rPr>
                <w:rFonts w:hint="eastAsia"/>
                <w:spacing w:val="10"/>
                <w:lang w:eastAsia="zh-CN"/>
              </w:rPr>
              <w:t>。</w:t>
            </w:r>
            <w:r>
              <w:rPr>
                <w:spacing w:val="10"/>
              </w:rPr>
              <w:t>项目所在地理位置优越，交通便利。周边关系详见附图2。</w:t>
            </w:r>
          </w:p>
          <w:p w14:paraId="1CDB8E3F">
            <w:pPr>
              <w:adjustRightInd w:val="0"/>
              <w:snapToGrid w:val="0"/>
              <w:spacing w:line="360" w:lineRule="auto"/>
              <w:ind w:firstLine="420" w:firstLineChars="200"/>
              <w:rPr>
                <w:kern w:val="0"/>
                <w:highlight w:val="none"/>
              </w:rPr>
            </w:pPr>
            <w:r>
              <w:rPr>
                <w:kern w:val="0"/>
                <w:highlight w:val="none"/>
              </w:rPr>
              <w:t>③平面布置及合理性分析：本项目</w:t>
            </w:r>
            <w:r>
              <w:rPr>
                <w:rFonts w:hint="eastAsia"/>
                <w:kern w:val="0"/>
                <w:highlight w:val="none"/>
                <w:lang w:eastAsia="zh-CN"/>
              </w:rPr>
              <w:t>共有</w:t>
            </w:r>
            <w:r>
              <w:rPr>
                <w:rFonts w:hint="eastAsia"/>
                <w:kern w:val="0"/>
                <w:highlight w:val="none"/>
                <w:lang w:val="en-US" w:eastAsia="zh-CN"/>
              </w:rPr>
              <w:t>3座建筑物，由西向东依次为西侧生产车间、东侧生产车间、生产研发中心</w:t>
            </w:r>
            <w:r>
              <w:rPr>
                <w:kern w:val="0"/>
                <w:highlight w:val="none"/>
              </w:rPr>
              <w:t>。</w:t>
            </w:r>
            <w:r>
              <w:rPr>
                <w:rFonts w:hint="eastAsia"/>
                <w:kern w:val="0"/>
                <w:highlight w:val="none"/>
                <w:lang w:eastAsia="zh-CN"/>
              </w:rPr>
              <w:t>主要生产工序均在东侧生产车间内进行，东侧生产车间北侧为其他设备操作区，中间偏南为水泵、水箱操作区，喷漆房位于南侧中间位置，东侧生产车间南侧东部做为成品仓库，成品仓库东侧为工具间、更衣室；西侧</w:t>
            </w:r>
            <w:r>
              <w:rPr>
                <w:rFonts w:hint="eastAsia"/>
                <w:kern w:val="0"/>
                <w:sz w:val="21"/>
                <w:szCs w:val="21"/>
                <w:highlight w:val="none"/>
                <w:lang w:eastAsia="zh-CN"/>
              </w:rPr>
              <w:t>生产车间</w:t>
            </w:r>
            <w:r>
              <w:rPr>
                <w:rFonts w:hint="eastAsia" w:ascii="Times New Roman" w:hAnsi="Times New Roman"/>
                <w:sz w:val="21"/>
                <w:szCs w:val="21"/>
                <w:highlight w:val="none"/>
              </w:rPr>
              <w:t>1</w:t>
            </w:r>
            <w:r>
              <w:rPr>
                <w:rFonts w:hint="eastAsia"/>
                <w:sz w:val="21"/>
                <w:szCs w:val="21"/>
                <w:highlight w:val="none"/>
              </w:rPr>
              <w:t>层</w:t>
            </w:r>
            <w:r>
              <w:rPr>
                <w:rFonts w:hint="eastAsia"/>
                <w:sz w:val="21"/>
                <w:szCs w:val="21"/>
                <w:highlight w:val="none"/>
                <w:lang w:eastAsia="zh-CN"/>
              </w:rPr>
              <w:t>北侧</w:t>
            </w:r>
            <w:r>
              <w:rPr>
                <w:rFonts w:hint="eastAsia" w:ascii="Times New Roman" w:hAnsi="Times New Roman"/>
                <w:sz w:val="21"/>
                <w:szCs w:val="21"/>
                <w:highlight w:val="none"/>
              </w:rPr>
              <w:t>为</w:t>
            </w:r>
            <w:r>
              <w:rPr>
                <w:rFonts w:hint="eastAsia"/>
                <w:sz w:val="21"/>
                <w:szCs w:val="21"/>
                <w:highlight w:val="none"/>
                <w:lang w:eastAsia="zh-CN"/>
              </w:rPr>
              <w:t>原料储存区</w:t>
            </w:r>
            <w:r>
              <w:rPr>
                <w:rFonts w:ascii="Times New Roman" w:hAnsi="Times New Roman"/>
                <w:sz w:val="21"/>
                <w:szCs w:val="21"/>
                <w:highlight w:val="none"/>
              </w:rPr>
              <w:t>，</w:t>
            </w:r>
            <w:r>
              <w:rPr>
                <w:rFonts w:hint="eastAsia"/>
                <w:sz w:val="21"/>
                <w:szCs w:val="21"/>
                <w:highlight w:val="none"/>
                <w:lang w:val="en-US" w:eastAsia="zh-CN"/>
              </w:rPr>
              <w:t>1层南侧及</w:t>
            </w:r>
            <w:r>
              <w:rPr>
                <w:rFonts w:hint="eastAsia" w:ascii="Times New Roman" w:hAnsi="Times New Roman"/>
                <w:sz w:val="21"/>
                <w:szCs w:val="21"/>
                <w:highlight w:val="none"/>
              </w:rPr>
              <w:t>2层</w:t>
            </w:r>
            <w:r>
              <w:rPr>
                <w:rFonts w:ascii="Times New Roman" w:hAnsi="Times New Roman"/>
                <w:sz w:val="21"/>
                <w:szCs w:val="21"/>
                <w:highlight w:val="none"/>
              </w:rPr>
              <w:t>为</w:t>
            </w:r>
            <w:r>
              <w:rPr>
                <w:rFonts w:hint="eastAsia"/>
                <w:sz w:val="21"/>
                <w:szCs w:val="21"/>
                <w:highlight w:val="none"/>
                <w:lang w:eastAsia="zh-CN"/>
              </w:rPr>
              <w:t>电控柜组装区域</w:t>
            </w:r>
            <w:r>
              <w:rPr>
                <w:rFonts w:hint="eastAsia"/>
                <w:kern w:val="0"/>
                <w:sz w:val="21"/>
                <w:szCs w:val="21"/>
                <w:highlight w:val="none"/>
                <w:lang w:eastAsia="zh-CN"/>
              </w:rPr>
              <w:t>。</w:t>
            </w:r>
            <w:r>
              <w:rPr>
                <w:kern w:val="0"/>
                <w:sz w:val="21"/>
                <w:szCs w:val="21"/>
                <w:highlight w:val="none"/>
              </w:rPr>
              <w:t>项目生</w:t>
            </w:r>
            <w:r>
              <w:rPr>
                <w:kern w:val="0"/>
                <w:highlight w:val="none"/>
              </w:rPr>
              <w:t>产总平面布置较好的满足了工艺流程的顺畅性，体现了物料输送的便捷性，使物料的输送简单化，方便了生产，厂区平面布置基本合理。厂区平面布置图详见附图3。</w:t>
            </w:r>
          </w:p>
          <w:p w14:paraId="607AD30A">
            <w:pPr>
              <w:adjustRightInd w:val="0"/>
              <w:snapToGrid w:val="0"/>
              <w:spacing w:line="360" w:lineRule="auto"/>
              <w:ind w:firstLine="420" w:firstLineChars="200"/>
              <w:jc w:val="left"/>
            </w:pPr>
            <w:r>
              <w:rPr>
                <w:kern w:val="0"/>
              </w:rPr>
              <w:t>6、</w:t>
            </w:r>
            <w:r>
              <w:rPr>
                <w:rFonts w:hint="eastAsia"/>
                <w:kern w:val="0"/>
                <w:lang w:eastAsia="zh-CN"/>
              </w:rPr>
              <w:t>拟</w:t>
            </w:r>
            <w:r>
              <w:rPr>
                <w:kern w:val="0"/>
              </w:rPr>
              <w:t>投产日期：本项目拟于</w:t>
            </w:r>
            <w:r>
              <w:rPr>
                <w:kern w:val="0"/>
                <w:highlight w:val="none"/>
              </w:rPr>
              <w:t>202</w:t>
            </w:r>
            <w:r>
              <w:rPr>
                <w:rFonts w:hint="eastAsia"/>
                <w:kern w:val="0"/>
                <w:highlight w:val="none"/>
                <w:lang w:val="en-US" w:eastAsia="zh-CN"/>
              </w:rPr>
              <w:t>6</w:t>
            </w:r>
            <w:r>
              <w:rPr>
                <w:kern w:val="0"/>
                <w:highlight w:val="none"/>
              </w:rPr>
              <w:t>年</w:t>
            </w:r>
            <w:r>
              <w:rPr>
                <w:rFonts w:hint="eastAsia"/>
                <w:kern w:val="0"/>
                <w:highlight w:val="none"/>
                <w:lang w:val="en-US" w:eastAsia="zh-CN"/>
              </w:rPr>
              <w:t>6</w:t>
            </w:r>
            <w:r>
              <w:rPr>
                <w:kern w:val="0"/>
                <w:highlight w:val="none"/>
              </w:rPr>
              <w:t>月投产</w:t>
            </w:r>
            <w:r>
              <w:rPr>
                <w:kern w:val="0"/>
              </w:rPr>
              <w:t>。</w:t>
            </w:r>
          </w:p>
          <w:p w14:paraId="0E53222B">
            <w:pPr>
              <w:adjustRightInd w:val="0"/>
              <w:snapToGrid w:val="0"/>
              <w:spacing w:line="360" w:lineRule="auto"/>
              <w:ind w:firstLine="420" w:firstLineChars="200"/>
              <w:rPr>
                <w:kern w:val="0"/>
              </w:rPr>
            </w:pPr>
            <w:r>
              <w:rPr>
                <w:kern w:val="0"/>
              </w:rPr>
              <w:t>7、产品方案</w:t>
            </w:r>
          </w:p>
          <w:p w14:paraId="66C4B504">
            <w:pPr>
              <w:adjustRightInd w:val="0"/>
              <w:snapToGrid w:val="0"/>
              <w:spacing w:line="360" w:lineRule="auto"/>
              <w:ind w:firstLine="420" w:firstLineChars="200"/>
            </w:pPr>
            <w:r>
              <w:t>本项目</w:t>
            </w:r>
            <w:r>
              <w:rPr>
                <w:rFonts w:hint="eastAsia"/>
                <w:lang w:eastAsia="zh-CN"/>
              </w:rPr>
              <w:t>产品及</w:t>
            </w:r>
            <w:r>
              <w:t>产能见表2-</w:t>
            </w:r>
            <w:r>
              <w:rPr>
                <w:rFonts w:hint="eastAsia"/>
                <w:lang w:val="en-US" w:eastAsia="zh-CN"/>
              </w:rPr>
              <w:t>3</w:t>
            </w:r>
            <w:r>
              <w:t>。</w:t>
            </w:r>
          </w:p>
          <w:p w14:paraId="5C8B9FF5">
            <w:pPr>
              <w:adjustRightInd w:val="0"/>
              <w:snapToGrid w:val="0"/>
              <w:spacing w:line="360" w:lineRule="auto"/>
              <w:jc w:val="center"/>
              <w:rPr>
                <w:snapToGrid w:val="0"/>
                <w:color w:val="FF0000"/>
                <w:kern w:val="0"/>
              </w:rPr>
            </w:pPr>
            <w:r>
              <w:rPr>
                <w:b/>
                <w:kern w:val="0"/>
              </w:rPr>
              <w:t>表2-</w:t>
            </w:r>
            <w:r>
              <w:rPr>
                <w:rFonts w:hint="eastAsia"/>
                <w:b/>
                <w:kern w:val="0"/>
                <w:lang w:val="en-US" w:eastAsia="zh-CN"/>
              </w:rPr>
              <w:t>3</w:t>
            </w:r>
            <w:r>
              <w:rPr>
                <w:b/>
                <w:kern w:val="0"/>
              </w:rPr>
              <w:t>项目产品方案一览表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9"/>
              <w:gridCol w:w="2111"/>
              <w:gridCol w:w="1845"/>
              <w:gridCol w:w="3356"/>
            </w:tblGrid>
            <w:tr w14:paraId="38CA9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5CB017D8">
                  <w:pPr>
                    <w:spacing w:line="360" w:lineRule="exact"/>
                    <w:jc w:val="center"/>
                    <w:rPr>
                      <w:b/>
                      <w:color w:val="000000"/>
                      <w:sz w:val="18"/>
                      <w:szCs w:val="18"/>
                    </w:rPr>
                  </w:pPr>
                  <w:r>
                    <w:rPr>
                      <w:b/>
                      <w:color w:val="000000"/>
                      <w:sz w:val="18"/>
                      <w:szCs w:val="18"/>
                    </w:rPr>
                    <w:t>序号</w:t>
                  </w:r>
                </w:p>
              </w:tc>
              <w:tc>
                <w:tcPr>
                  <w:tcW w:w="2113" w:type="dxa"/>
                  <w:tcBorders>
                    <w:tl2br w:val="nil"/>
                    <w:tr2bl w:val="nil"/>
                  </w:tcBorders>
                  <w:vAlign w:val="center"/>
                </w:tcPr>
                <w:p w14:paraId="37408322">
                  <w:pPr>
                    <w:spacing w:line="360" w:lineRule="exact"/>
                    <w:jc w:val="center"/>
                    <w:rPr>
                      <w:b/>
                      <w:color w:val="000000"/>
                      <w:sz w:val="18"/>
                      <w:szCs w:val="18"/>
                    </w:rPr>
                  </w:pPr>
                  <w:r>
                    <w:rPr>
                      <w:rFonts w:hint="eastAsia"/>
                      <w:b/>
                      <w:color w:val="000000"/>
                      <w:sz w:val="18"/>
                      <w:szCs w:val="18"/>
                      <w:lang w:eastAsia="zh-CN"/>
                    </w:rPr>
                    <w:t>产品</w:t>
                  </w:r>
                  <w:r>
                    <w:rPr>
                      <w:b/>
                      <w:color w:val="000000"/>
                      <w:sz w:val="18"/>
                      <w:szCs w:val="18"/>
                    </w:rPr>
                    <w:t>名称</w:t>
                  </w:r>
                </w:p>
              </w:tc>
              <w:tc>
                <w:tcPr>
                  <w:tcW w:w="1847" w:type="dxa"/>
                  <w:tcBorders>
                    <w:tl2br w:val="nil"/>
                    <w:tr2bl w:val="nil"/>
                  </w:tcBorders>
                  <w:vAlign w:val="center"/>
                </w:tcPr>
                <w:p w14:paraId="744D8C65">
                  <w:pPr>
                    <w:spacing w:line="360" w:lineRule="exact"/>
                    <w:jc w:val="center"/>
                    <w:rPr>
                      <w:rFonts w:hint="eastAsia" w:eastAsia="宋体"/>
                      <w:b/>
                      <w:sz w:val="18"/>
                      <w:szCs w:val="18"/>
                      <w:lang w:eastAsia="zh-CN"/>
                    </w:rPr>
                  </w:pPr>
                  <w:r>
                    <w:rPr>
                      <w:rFonts w:hint="eastAsia"/>
                      <w:b/>
                      <w:sz w:val="18"/>
                      <w:szCs w:val="18"/>
                      <w:lang w:eastAsia="zh-CN"/>
                    </w:rPr>
                    <w:t>产能</w:t>
                  </w:r>
                </w:p>
              </w:tc>
              <w:tc>
                <w:tcPr>
                  <w:tcW w:w="3359" w:type="dxa"/>
                  <w:tcBorders>
                    <w:tl2br w:val="nil"/>
                    <w:tr2bl w:val="nil"/>
                  </w:tcBorders>
                  <w:vAlign w:val="center"/>
                </w:tcPr>
                <w:p w14:paraId="76E15ED5">
                  <w:pPr>
                    <w:spacing w:line="360" w:lineRule="exact"/>
                    <w:jc w:val="center"/>
                    <w:rPr>
                      <w:rFonts w:hint="eastAsia"/>
                      <w:b/>
                      <w:sz w:val="18"/>
                      <w:szCs w:val="18"/>
                      <w:lang w:eastAsia="zh-CN"/>
                    </w:rPr>
                  </w:pPr>
                  <w:r>
                    <w:rPr>
                      <w:rFonts w:hint="eastAsia"/>
                      <w:b/>
                      <w:sz w:val="18"/>
                      <w:szCs w:val="18"/>
                      <w:lang w:eastAsia="zh-CN"/>
                    </w:rPr>
                    <w:t>备注</w:t>
                  </w:r>
                </w:p>
              </w:tc>
            </w:tr>
            <w:tr w14:paraId="2A69F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305B7589">
                  <w:pPr>
                    <w:pStyle w:val="45"/>
                    <w:jc w:val="center"/>
                    <w:rPr>
                      <w:rFonts w:ascii="Times New Roman" w:hAnsi="Times New Roman" w:cs="Times New Roman"/>
                      <w:sz w:val="18"/>
                      <w:szCs w:val="18"/>
                    </w:rPr>
                  </w:pPr>
                  <w:r>
                    <w:rPr>
                      <w:rFonts w:ascii="Times New Roman" w:hAnsi="Times New Roman" w:cs="Times New Roman"/>
                      <w:sz w:val="18"/>
                      <w:szCs w:val="18"/>
                    </w:rPr>
                    <w:t>1</w:t>
                  </w:r>
                </w:p>
              </w:tc>
              <w:tc>
                <w:tcPr>
                  <w:tcW w:w="2113" w:type="dxa"/>
                  <w:tcBorders>
                    <w:tl2br w:val="nil"/>
                    <w:tr2bl w:val="nil"/>
                  </w:tcBorders>
                  <w:vAlign w:val="center"/>
                </w:tcPr>
                <w:p w14:paraId="35D5E6A8">
                  <w:pPr>
                    <w:pStyle w:val="45"/>
                    <w:jc w:val="center"/>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生活、消防供水设备</w:t>
                  </w:r>
                </w:p>
              </w:tc>
              <w:tc>
                <w:tcPr>
                  <w:tcW w:w="1847" w:type="dxa"/>
                  <w:tcBorders>
                    <w:tl2br w:val="nil"/>
                    <w:tr2bl w:val="nil"/>
                  </w:tcBorders>
                  <w:vAlign w:val="center"/>
                </w:tcPr>
                <w:p w14:paraId="620E4ABD">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3880套/a</w:t>
                  </w:r>
                </w:p>
              </w:tc>
              <w:tc>
                <w:tcPr>
                  <w:tcW w:w="3359" w:type="dxa"/>
                  <w:tcBorders>
                    <w:tl2br w:val="nil"/>
                    <w:tr2bl w:val="nil"/>
                  </w:tcBorders>
                  <w:vAlign w:val="center"/>
                </w:tcPr>
                <w:p w14:paraId="5F7964EF">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r>
            <w:tr w14:paraId="04CC3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35FB2CB8">
                  <w:pPr>
                    <w:pStyle w:val="45"/>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1.1</w:t>
                  </w:r>
                </w:p>
              </w:tc>
              <w:tc>
                <w:tcPr>
                  <w:tcW w:w="2113" w:type="dxa"/>
                  <w:tcBorders>
                    <w:tl2br w:val="nil"/>
                    <w:tr2bl w:val="nil"/>
                  </w:tcBorders>
                  <w:vAlign w:val="center"/>
                </w:tcPr>
                <w:p w14:paraId="045AF597">
                  <w:pPr>
                    <w:pStyle w:val="45"/>
                    <w:jc w:val="center"/>
                    <w:rPr>
                      <w:rFonts w:hint="eastAsia" w:ascii="Times New Roman" w:hAnsi="Times New Roman" w:cs="Times New Roman"/>
                      <w:sz w:val="18"/>
                      <w:szCs w:val="18"/>
                      <w:lang w:eastAsia="zh-CN"/>
                    </w:rPr>
                  </w:pPr>
                  <w:r>
                    <w:rPr>
                      <w:rFonts w:hint="eastAsia" w:ascii="Times New Roman" w:hAnsi="Times New Roman" w:cs="Times New Roman"/>
                      <w:sz w:val="18"/>
                      <w:szCs w:val="18"/>
                      <w:lang w:eastAsia="zh-CN"/>
                    </w:rPr>
                    <w:t>水泵</w:t>
                  </w:r>
                </w:p>
              </w:tc>
              <w:tc>
                <w:tcPr>
                  <w:tcW w:w="1847" w:type="dxa"/>
                  <w:tcBorders>
                    <w:tl2br w:val="nil"/>
                    <w:tr2bl w:val="nil"/>
                  </w:tcBorders>
                  <w:vAlign w:val="center"/>
                </w:tcPr>
                <w:p w14:paraId="46AF7957">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1000套/a</w:t>
                  </w:r>
                </w:p>
              </w:tc>
              <w:tc>
                <w:tcPr>
                  <w:tcW w:w="3359" w:type="dxa"/>
                  <w:tcBorders>
                    <w:tl2br w:val="nil"/>
                    <w:tr2bl w:val="nil"/>
                  </w:tcBorders>
                  <w:vAlign w:val="center"/>
                </w:tcPr>
                <w:p w14:paraId="67092471">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共生产1800套/a，其中800套/a自用</w:t>
                  </w:r>
                </w:p>
              </w:tc>
            </w:tr>
            <w:tr w14:paraId="07B263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2EADA4B0">
                  <w:pPr>
                    <w:pStyle w:val="45"/>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1.2</w:t>
                  </w:r>
                </w:p>
              </w:tc>
              <w:tc>
                <w:tcPr>
                  <w:tcW w:w="2113" w:type="dxa"/>
                  <w:tcBorders>
                    <w:tl2br w:val="nil"/>
                    <w:tr2bl w:val="nil"/>
                  </w:tcBorders>
                  <w:vAlign w:val="center"/>
                </w:tcPr>
                <w:p w14:paraId="3F82C2B4">
                  <w:pPr>
                    <w:pStyle w:val="45"/>
                    <w:jc w:val="center"/>
                    <w:rPr>
                      <w:rFonts w:hint="eastAsia" w:ascii="Times New Roman" w:hAnsi="Times New Roman" w:cs="Times New Roman"/>
                      <w:sz w:val="18"/>
                      <w:szCs w:val="18"/>
                      <w:lang w:eastAsia="zh-CN"/>
                    </w:rPr>
                  </w:pPr>
                  <w:r>
                    <w:rPr>
                      <w:rFonts w:hint="eastAsia" w:ascii="Times New Roman" w:hAnsi="Times New Roman" w:cs="Times New Roman"/>
                      <w:sz w:val="18"/>
                      <w:szCs w:val="18"/>
                      <w:lang w:eastAsia="zh-CN"/>
                    </w:rPr>
                    <w:t>换热器</w:t>
                  </w:r>
                </w:p>
              </w:tc>
              <w:tc>
                <w:tcPr>
                  <w:tcW w:w="1847" w:type="dxa"/>
                  <w:tcBorders>
                    <w:tl2br w:val="nil"/>
                    <w:tr2bl w:val="nil"/>
                  </w:tcBorders>
                  <w:vAlign w:val="center"/>
                </w:tcPr>
                <w:p w14:paraId="6FA2717B">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90套/a</w:t>
                  </w:r>
                </w:p>
              </w:tc>
              <w:tc>
                <w:tcPr>
                  <w:tcW w:w="3359" w:type="dxa"/>
                  <w:tcBorders>
                    <w:tl2br w:val="nil"/>
                    <w:tr2bl w:val="nil"/>
                  </w:tcBorders>
                  <w:vAlign w:val="center"/>
                </w:tcPr>
                <w:p w14:paraId="01D8368E">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r>
            <w:tr w14:paraId="3E391E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604EE923">
                  <w:pPr>
                    <w:pStyle w:val="45"/>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1.3</w:t>
                  </w:r>
                </w:p>
              </w:tc>
              <w:tc>
                <w:tcPr>
                  <w:tcW w:w="2113" w:type="dxa"/>
                  <w:tcBorders>
                    <w:tl2br w:val="nil"/>
                    <w:tr2bl w:val="nil"/>
                  </w:tcBorders>
                  <w:vAlign w:val="center"/>
                </w:tcPr>
                <w:p w14:paraId="5BFC83C0">
                  <w:pPr>
                    <w:pStyle w:val="45"/>
                    <w:jc w:val="center"/>
                    <w:rPr>
                      <w:rFonts w:hint="eastAsia" w:ascii="Times New Roman" w:hAnsi="Times New Roman" w:cs="Times New Roman"/>
                      <w:sz w:val="18"/>
                      <w:szCs w:val="18"/>
                      <w:lang w:eastAsia="zh-CN"/>
                    </w:rPr>
                  </w:pPr>
                  <w:r>
                    <w:rPr>
                      <w:rFonts w:hint="eastAsia" w:ascii="Times New Roman" w:hAnsi="Times New Roman" w:cs="Times New Roman"/>
                      <w:sz w:val="18"/>
                      <w:szCs w:val="18"/>
                      <w:lang w:eastAsia="zh-CN"/>
                    </w:rPr>
                    <w:t>热水锅炉</w:t>
                  </w:r>
                </w:p>
              </w:tc>
              <w:tc>
                <w:tcPr>
                  <w:tcW w:w="1847" w:type="dxa"/>
                  <w:tcBorders>
                    <w:tl2br w:val="nil"/>
                    <w:tr2bl w:val="nil"/>
                  </w:tcBorders>
                  <w:vAlign w:val="center"/>
                </w:tcPr>
                <w:p w14:paraId="4E88BD06">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10套/a</w:t>
                  </w:r>
                </w:p>
              </w:tc>
              <w:tc>
                <w:tcPr>
                  <w:tcW w:w="3359" w:type="dxa"/>
                  <w:tcBorders>
                    <w:tl2br w:val="nil"/>
                    <w:tr2bl w:val="nil"/>
                  </w:tcBorders>
                  <w:vAlign w:val="center"/>
                </w:tcPr>
                <w:p w14:paraId="303C4952">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r>
            <w:tr w14:paraId="43302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413B5528">
                  <w:pPr>
                    <w:pStyle w:val="45"/>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1.4</w:t>
                  </w:r>
                </w:p>
              </w:tc>
              <w:tc>
                <w:tcPr>
                  <w:tcW w:w="2113" w:type="dxa"/>
                  <w:tcBorders>
                    <w:tl2br w:val="nil"/>
                    <w:tr2bl w:val="nil"/>
                  </w:tcBorders>
                  <w:vAlign w:val="center"/>
                </w:tcPr>
                <w:p w14:paraId="19E82C20">
                  <w:pPr>
                    <w:pStyle w:val="45"/>
                    <w:jc w:val="center"/>
                    <w:rPr>
                      <w:rFonts w:hint="eastAsia" w:ascii="Times New Roman" w:hAnsi="Times New Roman" w:cs="Times New Roman"/>
                      <w:sz w:val="18"/>
                      <w:szCs w:val="18"/>
                      <w:lang w:eastAsia="zh-CN"/>
                    </w:rPr>
                  </w:pPr>
                  <w:r>
                    <w:rPr>
                      <w:rFonts w:hint="eastAsia" w:ascii="Times New Roman" w:hAnsi="Times New Roman" w:cs="Times New Roman"/>
                      <w:sz w:val="18"/>
                      <w:szCs w:val="18"/>
                      <w:lang w:eastAsia="zh-CN"/>
                    </w:rPr>
                    <w:t>玻璃钢缠绕罐</w:t>
                  </w:r>
                </w:p>
              </w:tc>
              <w:tc>
                <w:tcPr>
                  <w:tcW w:w="1847" w:type="dxa"/>
                  <w:tcBorders>
                    <w:tl2br w:val="nil"/>
                    <w:tr2bl w:val="nil"/>
                  </w:tcBorders>
                  <w:vAlign w:val="center"/>
                </w:tcPr>
                <w:p w14:paraId="0D9F40AD">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40套/a</w:t>
                  </w:r>
                </w:p>
              </w:tc>
              <w:tc>
                <w:tcPr>
                  <w:tcW w:w="3359" w:type="dxa"/>
                  <w:tcBorders>
                    <w:tl2br w:val="nil"/>
                    <w:tr2bl w:val="nil"/>
                  </w:tcBorders>
                  <w:vAlign w:val="center"/>
                </w:tcPr>
                <w:p w14:paraId="2083FC6C">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r>
            <w:tr w14:paraId="79687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2720A8F2">
                  <w:pPr>
                    <w:pStyle w:val="45"/>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1.5</w:t>
                  </w:r>
                </w:p>
              </w:tc>
              <w:tc>
                <w:tcPr>
                  <w:tcW w:w="2113" w:type="dxa"/>
                  <w:tcBorders>
                    <w:tl2br w:val="nil"/>
                    <w:tr2bl w:val="nil"/>
                  </w:tcBorders>
                  <w:vAlign w:val="center"/>
                </w:tcPr>
                <w:p w14:paraId="09DD31C1">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PPH缠绕罐</w:t>
                  </w:r>
                </w:p>
              </w:tc>
              <w:tc>
                <w:tcPr>
                  <w:tcW w:w="1847" w:type="dxa"/>
                  <w:tcBorders>
                    <w:tl2br w:val="nil"/>
                    <w:tr2bl w:val="nil"/>
                  </w:tcBorders>
                  <w:vAlign w:val="center"/>
                </w:tcPr>
                <w:p w14:paraId="5DEAB1B1">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40套/a</w:t>
                  </w:r>
                </w:p>
              </w:tc>
              <w:tc>
                <w:tcPr>
                  <w:tcW w:w="3359" w:type="dxa"/>
                  <w:tcBorders>
                    <w:tl2br w:val="nil"/>
                    <w:tr2bl w:val="nil"/>
                  </w:tcBorders>
                  <w:vAlign w:val="center"/>
                </w:tcPr>
                <w:p w14:paraId="25790D80">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r>
            <w:tr w14:paraId="0E891C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756D60B3">
                  <w:pPr>
                    <w:pStyle w:val="45"/>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1.6</w:t>
                  </w:r>
                </w:p>
              </w:tc>
              <w:tc>
                <w:tcPr>
                  <w:tcW w:w="2113" w:type="dxa"/>
                  <w:tcBorders>
                    <w:tl2br w:val="nil"/>
                    <w:tr2bl w:val="nil"/>
                  </w:tcBorders>
                  <w:vAlign w:val="center"/>
                </w:tcPr>
                <w:p w14:paraId="6E03C1E3">
                  <w:pPr>
                    <w:pStyle w:val="45"/>
                    <w:jc w:val="center"/>
                    <w:rPr>
                      <w:rFonts w:hint="eastAsia" w:ascii="Times New Roman" w:hAnsi="Times New Roman" w:cs="Times New Roman"/>
                      <w:sz w:val="18"/>
                      <w:szCs w:val="18"/>
                      <w:lang w:eastAsia="zh-CN"/>
                    </w:rPr>
                  </w:pPr>
                  <w:r>
                    <w:rPr>
                      <w:rFonts w:hint="eastAsia" w:ascii="Times New Roman" w:hAnsi="Times New Roman" w:cs="Times New Roman"/>
                      <w:sz w:val="18"/>
                      <w:szCs w:val="18"/>
                      <w:lang w:eastAsia="zh-CN"/>
                    </w:rPr>
                    <w:t>气压罐</w:t>
                  </w:r>
                </w:p>
              </w:tc>
              <w:tc>
                <w:tcPr>
                  <w:tcW w:w="1847" w:type="dxa"/>
                  <w:tcBorders>
                    <w:tl2br w:val="nil"/>
                    <w:tr2bl w:val="nil"/>
                  </w:tcBorders>
                  <w:vAlign w:val="center"/>
                </w:tcPr>
                <w:p w14:paraId="441F55C2">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500套/a</w:t>
                  </w:r>
                </w:p>
              </w:tc>
              <w:tc>
                <w:tcPr>
                  <w:tcW w:w="3359" w:type="dxa"/>
                  <w:tcBorders>
                    <w:tl2br w:val="nil"/>
                    <w:tr2bl w:val="nil"/>
                  </w:tcBorders>
                  <w:vAlign w:val="center"/>
                </w:tcPr>
                <w:p w14:paraId="7135372C">
                  <w:pPr>
                    <w:pStyle w:val="45"/>
                    <w:jc w:val="center"/>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共生产1300套/a，其中800套/a自用</w:t>
                  </w:r>
                </w:p>
              </w:tc>
            </w:tr>
            <w:tr w14:paraId="4DD24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528ED479">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1.7</w:t>
                  </w:r>
                </w:p>
              </w:tc>
              <w:tc>
                <w:tcPr>
                  <w:tcW w:w="2113" w:type="dxa"/>
                  <w:tcBorders>
                    <w:tl2br w:val="nil"/>
                    <w:tr2bl w:val="nil"/>
                  </w:tcBorders>
                  <w:vAlign w:val="center"/>
                </w:tcPr>
                <w:p w14:paraId="1EC964A6">
                  <w:pPr>
                    <w:pStyle w:val="45"/>
                    <w:jc w:val="center"/>
                    <w:rPr>
                      <w:rFonts w:hint="eastAsia" w:ascii="Times New Roman" w:hAnsi="Times New Roman" w:cs="Times New Roman"/>
                      <w:sz w:val="18"/>
                      <w:szCs w:val="18"/>
                      <w:lang w:eastAsia="zh-CN"/>
                    </w:rPr>
                  </w:pPr>
                  <w:r>
                    <w:rPr>
                      <w:rFonts w:hint="eastAsia" w:ascii="Times New Roman" w:hAnsi="Times New Roman" w:cs="Times New Roman"/>
                      <w:sz w:val="18"/>
                      <w:szCs w:val="18"/>
                      <w:lang w:eastAsia="zh-CN"/>
                    </w:rPr>
                    <w:t>水箱</w:t>
                  </w:r>
                </w:p>
              </w:tc>
              <w:tc>
                <w:tcPr>
                  <w:tcW w:w="1847" w:type="dxa"/>
                  <w:tcBorders>
                    <w:tl2br w:val="nil"/>
                    <w:tr2bl w:val="nil"/>
                  </w:tcBorders>
                  <w:vAlign w:val="center"/>
                </w:tcPr>
                <w:p w14:paraId="07F489AC">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100套/a</w:t>
                  </w:r>
                </w:p>
              </w:tc>
              <w:tc>
                <w:tcPr>
                  <w:tcW w:w="3359" w:type="dxa"/>
                  <w:tcBorders>
                    <w:tl2br w:val="nil"/>
                    <w:tr2bl w:val="nil"/>
                  </w:tcBorders>
                  <w:vAlign w:val="center"/>
                </w:tcPr>
                <w:p w14:paraId="77B74BF5">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r>
            <w:tr w14:paraId="0477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77BAD51C">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1.8</w:t>
                  </w:r>
                </w:p>
              </w:tc>
              <w:tc>
                <w:tcPr>
                  <w:tcW w:w="2113" w:type="dxa"/>
                  <w:tcBorders>
                    <w:tl2br w:val="nil"/>
                    <w:tr2bl w:val="nil"/>
                  </w:tcBorders>
                  <w:vAlign w:val="center"/>
                </w:tcPr>
                <w:p w14:paraId="7548A865">
                  <w:pPr>
                    <w:pStyle w:val="45"/>
                    <w:jc w:val="center"/>
                    <w:rPr>
                      <w:rFonts w:hint="eastAsia" w:ascii="Times New Roman" w:hAnsi="Times New Roman" w:cs="Times New Roman"/>
                      <w:sz w:val="18"/>
                      <w:szCs w:val="18"/>
                      <w:lang w:eastAsia="zh-CN"/>
                    </w:rPr>
                  </w:pPr>
                  <w:r>
                    <w:rPr>
                      <w:rFonts w:hint="eastAsia" w:ascii="Times New Roman" w:hAnsi="Times New Roman" w:cs="Times New Roman"/>
                      <w:sz w:val="18"/>
                      <w:szCs w:val="18"/>
                      <w:lang w:eastAsia="zh-CN"/>
                    </w:rPr>
                    <w:t>给水设备</w:t>
                  </w:r>
                </w:p>
              </w:tc>
              <w:tc>
                <w:tcPr>
                  <w:tcW w:w="1847" w:type="dxa"/>
                  <w:tcBorders>
                    <w:tl2br w:val="nil"/>
                    <w:tr2bl w:val="nil"/>
                  </w:tcBorders>
                  <w:vAlign w:val="center"/>
                </w:tcPr>
                <w:p w14:paraId="5DE8E460">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800套/a</w:t>
                  </w:r>
                </w:p>
              </w:tc>
              <w:tc>
                <w:tcPr>
                  <w:tcW w:w="3359" w:type="dxa"/>
                  <w:tcBorders>
                    <w:tl2br w:val="nil"/>
                    <w:tr2bl w:val="nil"/>
                  </w:tcBorders>
                  <w:vAlign w:val="center"/>
                </w:tcPr>
                <w:p w14:paraId="73D317A9">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r>
            <w:tr w14:paraId="29980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6CA163F5">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1.9</w:t>
                  </w:r>
                </w:p>
              </w:tc>
              <w:tc>
                <w:tcPr>
                  <w:tcW w:w="2113" w:type="dxa"/>
                  <w:tcBorders>
                    <w:tl2br w:val="nil"/>
                    <w:tr2bl w:val="nil"/>
                  </w:tcBorders>
                  <w:vAlign w:val="center"/>
                </w:tcPr>
                <w:p w14:paraId="4B9E6F4A">
                  <w:pPr>
                    <w:pStyle w:val="45"/>
                    <w:jc w:val="center"/>
                    <w:rPr>
                      <w:rFonts w:hint="eastAsia" w:ascii="Times New Roman" w:hAnsi="Times New Roman" w:cs="Times New Roman"/>
                      <w:sz w:val="18"/>
                      <w:szCs w:val="18"/>
                      <w:lang w:eastAsia="zh-CN"/>
                    </w:rPr>
                  </w:pPr>
                  <w:r>
                    <w:rPr>
                      <w:rFonts w:hint="eastAsia" w:ascii="Times New Roman" w:hAnsi="Times New Roman" w:cs="Times New Roman"/>
                      <w:sz w:val="18"/>
                      <w:szCs w:val="18"/>
                      <w:lang w:eastAsia="zh-CN"/>
                    </w:rPr>
                    <w:t>电力控制柜</w:t>
                  </w:r>
                </w:p>
              </w:tc>
              <w:tc>
                <w:tcPr>
                  <w:tcW w:w="1847" w:type="dxa"/>
                  <w:tcBorders>
                    <w:tl2br w:val="nil"/>
                    <w:tr2bl w:val="nil"/>
                  </w:tcBorders>
                  <w:vAlign w:val="center"/>
                </w:tcPr>
                <w:p w14:paraId="1CC1F9F8">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300套/a</w:t>
                  </w:r>
                </w:p>
              </w:tc>
              <w:tc>
                <w:tcPr>
                  <w:tcW w:w="3359" w:type="dxa"/>
                  <w:tcBorders>
                    <w:tl2br w:val="nil"/>
                    <w:tr2bl w:val="nil"/>
                  </w:tcBorders>
                  <w:vAlign w:val="center"/>
                </w:tcPr>
                <w:p w14:paraId="73728B86">
                  <w:pPr>
                    <w:pStyle w:val="45"/>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共生产1100套/a，其中800套/a自用</w:t>
                  </w:r>
                </w:p>
              </w:tc>
            </w:tr>
            <w:tr w14:paraId="70468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100" w:type="dxa"/>
                  <w:tcBorders>
                    <w:tl2br w:val="nil"/>
                    <w:tr2bl w:val="nil"/>
                  </w:tcBorders>
                  <w:vAlign w:val="center"/>
                </w:tcPr>
                <w:p w14:paraId="4CA136CA">
                  <w:pPr>
                    <w:pStyle w:val="45"/>
                    <w:jc w:val="center"/>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1.10</w:t>
                  </w:r>
                </w:p>
              </w:tc>
              <w:tc>
                <w:tcPr>
                  <w:tcW w:w="2113" w:type="dxa"/>
                  <w:tcBorders>
                    <w:tl2br w:val="nil"/>
                    <w:tr2bl w:val="nil"/>
                  </w:tcBorders>
                  <w:vAlign w:val="center"/>
                </w:tcPr>
                <w:p w14:paraId="53701E48">
                  <w:pPr>
                    <w:pStyle w:val="45"/>
                    <w:jc w:val="center"/>
                    <w:rPr>
                      <w:rFonts w:hint="eastAsia" w:ascii="Times New Roman" w:hAnsi="Times New Roman" w:cs="Times New Roman"/>
                      <w:color w:val="auto"/>
                      <w:sz w:val="18"/>
                      <w:szCs w:val="18"/>
                      <w:lang w:eastAsia="zh-CN"/>
                    </w:rPr>
                  </w:pPr>
                  <w:r>
                    <w:rPr>
                      <w:rFonts w:hint="eastAsia" w:ascii="Times New Roman" w:hAnsi="Times New Roman" w:cs="Times New Roman"/>
                      <w:color w:val="auto"/>
                      <w:sz w:val="18"/>
                      <w:szCs w:val="18"/>
                      <w:lang w:val="en-US" w:eastAsia="zh-CN"/>
                    </w:rPr>
                    <w:t>电机</w:t>
                  </w:r>
                </w:p>
              </w:tc>
              <w:tc>
                <w:tcPr>
                  <w:tcW w:w="1847" w:type="dxa"/>
                  <w:tcBorders>
                    <w:tl2br w:val="nil"/>
                    <w:tr2bl w:val="nil"/>
                  </w:tcBorders>
                  <w:vAlign w:val="center"/>
                </w:tcPr>
                <w:p w14:paraId="6B1AEB45">
                  <w:pPr>
                    <w:pStyle w:val="45"/>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1000 套/a</w:t>
                  </w:r>
                </w:p>
              </w:tc>
              <w:tc>
                <w:tcPr>
                  <w:tcW w:w="3359" w:type="dxa"/>
                  <w:tcBorders>
                    <w:tl2br w:val="nil"/>
                    <w:tr2bl w:val="nil"/>
                  </w:tcBorders>
                  <w:vAlign w:val="center"/>
                </w:tcPr>
                <w:p w14:paraId="39CAE383">
                  <w:pPr>
                    <w:pStyle w:val="45"/>
                    <w:jc w:val="center"/>
                    <w:rPr>
                      <w:rFonts w:hint="eastAsia"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共生产1800套/a，其中800套/a自用</w:t>
                  </w:r>
                </w:p>
              </w:tc>
            </w:tr>
          </w:tbl>
          <w:p w14:paraId="6C665381">
            <w:pPr>
              <w:spacing w:line="360" w:lineRule="auto"/>
              <w:ind w:firstLine="420" w:firstLineChars="200"/>
              <w:rPr>
                <w:kern w:val="0"/>
              </w:rPr>
            </w:pPr>
            <w:r>
              <w:rPr>
                <w:snapToGrid w:val="0"/>
                <w:kern w:val="0"/>
              </w:rPr>
              <w:t>8、主要原辅材料及能源消耗</w:t>
            </w:r>
          </w:p>
          <w:p w14:paraId="0024BF0C">
            <w:pPr>
              <w:adjustRightInd w:val="0"/>
              <w:snapToGrid w:val="0"/>
              <w:spacing w:line="360" w:lineRule="auto"/>
              <w:ind w:firstLine="420" w:firstLineChars="200"/>
              <w:rPr>
                <w:snapToGrid w:val="0"/>
                <w:kern w:val="0"/>
                <w:highlight w:val="none"/>
              </w:rPr>
            </w:pPr>
            <w:r>
              <w:rPr>
                <w:snapToGrid w:val="0"/>
                <w:kern w:val="0"/>
                <w:highlight w:val="none"/>
              </w:rPr>
              <w:t>本项目主要原辅材料及能源消耗，具体情况见表2-</w:t>
            </w:r>
            <w:r>
              <w:rPr>
                <w:rFonts w:hint="eastAsia"/>
                <w:snapToGrid w:val="0"/>
                <w:kern w:val="0"/>
                <w:highlight w:val="none"/>
                <w:lang w:val="en-US" w:eastAsia="zh-CN"/>
              </w:rPr>
              <w:t>4</w:t>
            </w:r>
            <w:r>
              <w:rPr>
                <w:snapToGrid w:val="0"/>
                <w:kern w:val="0"/>
                <w:highlight w:val="none"/>
              </w:rPr>
              <w:t>。</w:t>
            </w:r>
          </w:p>
          <w:p w14:paraId="26080505">
            <w:pPr>
              <w:adjustRightInd w:val="0"/>
              <w:snapToGrid w:val="0"/>
              <w:spacing w:line="360" w:lineRule="auto"/>
              <w:jc w:val="center"/>
              <w:rPr>
                <w:b/>
                <w:kern w:val="0"/>
              </w:rPr>
            </w:pPr>
            <w:r>
              <w:rPr>
                <w:b/>
                <w:kern w:val="0"/>
              </w:rPr>
              <w:t>表2-</w:t>
            </w:r>
            <w:r>
              <w:rPr>
                <w:rFonts w:hint="eastAsia"/>
                <w:b/>
                <w:kern w:val="0"/>
                <w:lang w:val="en-US" w:eastAsia="zh-CN"/>
              </w:rPr>
              <w:t>4</w:t>
            </w:r>
            <w:r>
              <w:rPr>
                <w:b/>
                <w:kern w:val="0"/>
              </w:rPr>
              <w:t xml:space="preserve"> 主要原辅料及能源消耗</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5"/>
              <w:gridCol w:w="2396"/>
              <w:gridCol w:w="1624"/>
              <w:gridCol w:w="1477"/>
              <w:gridCol w:w="2312"/>
            </w:tblGrid>
            <w:tr w14:paraId="1F474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jc w:val="center"/>
              </w:trPr>
              <w:tc>
                <w:tcPr>
                  <w:tcW w:w="605" w:type="dxa"/>
                  <w:vAlign w:val="center"/>
                </w:tcPr>
                <w:p w14:paraId="627B4776">
                  <w:pPr>
                    <w:tabs>
                      <w:tab w:val="left" w:pos="1680"/>
                    </w:tabs>
                    <w:spacing w:line="0" w:lineRule="atLeast"/>
                    <w:ind w:right="-108"/>
                    <w:jc w:val="center"/>
                    <w:rPr>
                      <w:rFonts w:eastAsiaTheme="minorEastAsia"/>
                      <w:b/>
                      <w:color w:val="000000" w:themeColor="text1"/>
                      <w:sz w:val="18"/>
                      <w:szCs w:val="18"/>
                      <w14:textFill>
                        <w14:solidFill>
                          <w14:schemeClr w14:val="tx1"/>
                        </w14:solidFill>
                      </w14:textFill>
                    </w:rPr>
                  </w:pPr>
                  <w:bookmarkStart w:id="2" w:name="_Hlk79228775"/>
                  <w:r>
                    <w:rPr>
                      <w:rFonts w:eastAsiaTheme="minorEastAsia"/>
                      <w:b/>
                      <w:color w:val="000000" w:themeColor="text1"/>
                      <w:sz w:val="18"/>
                      <w:szCs w:val="18"/>
                      <w14:textFill>
                        <w14:solidFill>
                          <w14:schemeClr w14:val="tx1"/>
                        </w14:solidFill>
                      </w14:textFill>
                    </w:rPr>
                    <w:t>序号</w:t>
                  </w:r>
                </w:p>
              </w:tc>
              <w:tc>
                <w:tcPr>
                  <w:tcW w:w="2396" w:type="dxa"/>
                  <w:vAlign w:val="center"/>
                </w:tcPr>
                <w:p w14:paraId="12A073DE">
                  <w:pPr>
                    <w:tabs>
                      <w:tab w:val="left" w:pos="1680"/>
                    </w:tabs>
                    <w:spacing w:line="0" w:lineRule="atLeast"/>
                    <w:ind w:right="-108"/>
                    <w:jc w:val="center"/>
                    <w:rPr>
                      <w:rFonts w:eastAsiaTheme="minorEastAsia"/>
                      <w:b/>
                      <w:color w:val="000000" w:themeColor="text1"/>
                      <w:sz w:val="18"/>
                      <w:szCs w:val="18"/>
                      <w14:textFill>
                        <w14:solidFill>
                          <w14:schemeClr w14:val="tx1"/>
                        </w14:solidFill>
                      </w14:textFill>
                    </w:rPr>
                  </w:pPr>
                  <w:r>
                    <w:rPr>
                      <w:rFonts w:eastAsiaTheme="minorEastAsia"/>
                      <w:b/>
                      <w:color w:val="000000" w:themeColor="text1"/>
                      <w:sz w:val="18"/>
                      <w:szCs w:val="18"/>
                      <w14:textFill>
                        <w14:solidFill>
                          <w14:schemeClr w14:val="tx1"/>
                        </w14:solidFill>
                      </w14:textFill>
                    </w:rPr>
                    <w:t>名称</w:t>
                  </w:r>
                </w:p>
              </w:tc>
              <w:tc>
                <w:tcPr>
                  <w:tcW w:w="1624" w:type="dxa"/>
                  <w:vAlign w:val="center"/>
                </w:tcPr>
                <w:p w14:paraId="226D589F">
                  <w:pPr>
                    <w:tabs>
                      <w:tab w:val="left" w:pos="1680"/>
                    </w:tabs>
                    <w:spacing w:line="0" w:lineRule="atLeast"/>
                    <w:ind w:right="-108"/>
                    <w:jc w:val="center"/>
                    <w:rPr>
                      <w:rFonts w:eastAsiaTheme="minorEastAsia"/>
                      <w:b/>
                      <w:color w:val="000000" w:themeColor="text1"/>
                      <w:sz w:val="18"/>
                      <w:szCs w:val="18"/>
                      <w14:textFill>
                        <w14:solidFill>
                          <w14:schemeClr w14:val="tx1"/>
                        </w14:solidFill>
                      </w14:textFill>
                    </w:rPr>
                  </w:pPr>
                  <w:r>
                    <w:rPr>
                      <w:rFonts w:eastAsiaTheme="minorEastAsia"/>
                      <w:b/>
                      <w:color w:val="000000" w:themeColor="text1"/>
                      <w:sz w:val="18"/>
                      <w:szCs w:val="18"/>
                      <w14:textFill>
                        <w14:solidFill>
                          <w14:schemeClr w14:val="tx1"/>
                        </w14:solidFill>
                      </w14:textFill>
                    </w:rPr>
                    <w:t>用量</w:t>
                  </w:r>
                </w:p>
              </w:tc>
              <w:tc>
                <w:tcPr>
                  <w:tcW w:w="1477" w:type="dxa"/>
                  <w:vAlign w:val="center"/>
                </w:tcPr>
                <w:p w14:paraId="07227F01">
                  <w:pPr>
                    <w:tabs>
                      <w:tab w:val="left" w:pos="1680"/>
                    </w:tabs>
                    <w:spacing w:line="0" w:lineRule="atLeast"/>
                    <w:ind w:right="-108"/>
                    <w:jc w:val="center"/>
                    <w:rPr>
                      <w:rFonts w:hint="eastAsia" w:eastAsiaTheme="minorEastAsia"/>
                      <w:b/>
                      <w:color w:val="000000" w:themeColor="text1"/>
                      <w:sz w:val="18"/>
                      <w:szCs w:val="18"/>
                      <w:lang w:eastAsia="zh-CN"/>
                      <w14:textFill>
                        <w14:solidFill>
                          <w14:schemeClr w14:val="tx1"/>
                        </w14:solidFill>
                      </w14:textFill>
                    </w:rPr>
                  </w:pPr>
                  <w:r>
                    <w:rPr>
                      <w:rFonts w:hint="eastAsia" w:eastAsiaTheme="minorEastAsia"/>
                      <w:b/>
                      <w:color w:val="000000" w:themeColor="text1"/>
                      <w:sz w:val="18"/>
                      <w:szCs w:val="18"/>
                      <w:lang w:eastAsia="zh-CN"/>
                      <w14:textFill>
                        <w14:solidFill>
                          <w14:schemeClr w14:val="tx1"/>
                        </w14:solidFill>
                      </w14:textFill>
                    </w:rPr>
                    <w:t>单位</w:t>
                  </w:r>
                </w:p>
              </w:tc>
              <w:tc>
                <w:tcPr>
                  <w:tcW w:w="2312" w:type="dxa"/>
                  <w:vAlign w:val="center"/>
                </w:tcPr>
                <w:p w14:paraId="56D70D4E">
                  <w:pPr>
                    <w:tabs>
                      <w:tab w:val="left" w:pos="1680"/>
                    </w:tabs>
                    <w:spacing w:line="0" w:lineRule="atLeast"/>
                    <w:ind w:right="-108"/>
                    <w:jc w:val="center"/>
                    <w:rPr>
                      <w:rFonts w:eastAsiaTheme="minorEastAsia"/>
                      <w:b/>
                      <w:color w:val="000000" w:themeColor="text1"/>
                      <w:sz w:val="18"/>
                      <w:szCs w:val="18"/>
                      <w14:textFill>
                        <w14:solidFill>
                          <w14:schemeClr w14:val="tx1"/>
                        </w14:solidFill>
                      </w14:textFill>
                    </w:rPr>
                  </w:pPr>
                  <w:r>
                    <w:rPr>
                      <w:rFonts w:eastAsiaTheme="minorEastAsia"/>
                      <w:b/>
                      <w:color w:val="000000" w:themeColor="text1"/>
                      <w:sz w:val="18"/>
                      <w:szCs w:val="18"/>
                      <w14:textFill>
                        <w14:solidFill>
                          <w14:schemeClr w14:val="tx1"/>
                        </w14:solidFill>
                      </w14:textFill>
                    </w:rPr>
                    <w:t>备注</w:t>
                  </w:r>
                </w:p>
              </w:tc>
            </w:tr>
            <w:tr w14:paraId="3D48C4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4AC8E6D5">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64B914BC">
                  <w:pPr>
                    <w:jc w:val="center"/>
                    <w:rPr>
                      <w:rFonts w:hint="eastAsia"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碳钢板</w:t>
                  </w:r>
                </w:p>
              </w:tc>
              <w:tc>
                <w:tcPr>
                  <w:tcW w:w="1624" w:type="dxa"/>
                  <w:vAlign w:val="center"/>
                </w:tcPr>
                <w:p w14:paraId="4A2916EB">
                  <w:pPr>
                    <w:jc w:val="center"/>
                    <w:rPr>
                      <w:rFonts w:hint="default"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sz w:val="18"/>
                      <w:szCs w:val="18"/>
                      <w:highlight w:val="none"/>
                      <w:lang w:val="en-US" w:eastAsia="zh-CN"/>
                    </w:rPr>
                    <w:t>9</w:t>
                  </w:r>
                  <w:r>
                    <w:rPr>
                      <w:rFonts w:ascii="Times New Roman" w:hAnsi="Times New Roman" w:cs="Times New Roman"/>
                      <w:sz w:val="18"/>
                      <w:szCs w:val="18"/>
                      <w:highlight w:val="none"/>
                    </w:rPr>
                    <w:t>00</w:t>
                  </w:r>
                </w:p>
              </w:tc>
              <w:tc>
                <w:tcPr>
                  <w:tcW w:w="1477" w:type="dxa"/>
                  <w:vAlign w:val="center"/>
                </w:tcPr>
                <w:p w14:paraId="641F44AE">
                  <w:pPr>
                    <w:jc w:val="center"/>
                    <w:rPr>
                      <w:rFonts w:hint="eastAsia" w:ascii="Times New Roman" w:hAnsi="Times New Roman" w:cs="Times New Roman" w:eastAsiaTheme="minorEastAsia"/>
                      <w:b w:val="0"/>
                      <w:bCs/>
                      <w:color w:val="000000" w:themeColor="text1"/>
                      <w:kern w:val="2"/>
                      <w:sz w:val="18"/>
                      <w:szCs w:val="18"/>
                      <w:lang w:val="en-US" w:eastAsia="zh-CN" w:bidi="ar-SA"/>
                      <w14:textFill>
                        <w14:solidFill>
                          <w14:schemeClr w14:val="tx1"/>
                        </w14:solidFill>
                      </w14:textFill>
                    </w:rPr>
                  </w:pPr>
                  <w:r>
                    <w:rPr>
                      <w:rFonts w:eastAsiaTheme="minorEastAsia"/>
                      <w:b w:val="0"/>
                      <w:bCs/>
                      <w:color w:val="000000" w:themeColor="text1"/>
                      <w:sz w:val="18"/>
                      <w:szCs w:val="18"/>
                      <w14:textFill>
                        <w14:solidFill>
                          <w14:schemeClr w14:val="tx1"/>
                        </w14:solidFill>
                      </w14:textFill>
                    </w:rPr>
                    <w:t>t/a</w:t>
                  </w:r>
                </w:p>
              </w:tc>
              <w:tc>
                <w:tcPr>
                  <w:tcW w:w="2312" w:type="dxa"/>
                  <w:vAlign w:val="center"/>
                </w:tcPr>
                <w:p w14:paraId="7874FCB8">
                  <w:pPr>
                    <w:jc w:val="center"/>
                    <w:rPr>
                      <w:rFonts w:hint="eastAsia"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bCs/>
                      <w:sz w:val="18"/>
                      <w:szCs w:val="18"/>
                    </w:rPr>
                    <w:t>外购</w:t>
                  </w:r>
                </w:p>
              </w:tc>
            </w:tr>
            <w:tr w14:paraId="50F82E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558A5DA8">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677B7606">
                  <w:pPr>
                    <w:jc w:val="center"/>
                    <w:rPr>
                      <w:rFonts w:hint="default"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金属板材</w:t>
                  </w:r>
                </w:p>
              </w:tc>
              <w:tc>
                <w:tcPr>
                  <w:tcW w:w="1624" w:type="dxa"/>
                  <w:vAlign w:val="center"/>
                </w:tcPr>
                <w:p w14:paraId="74BB2FDE">
                  <w:pPr>
                    <w:jc w:val="center"/>
                    <w:rPr>
                      <w:rFonts w:hint="default"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sz w:val="18"/>
                      <w:szCs w:val="18"/>
                      <w:highlight w:val="none"/>
                      <w:lang w:val="en-US" w:eastAsia="zh-CN"/>
                    </w:rPr>
                    <w:t>3</w:t>
                  </w:r>
                  <w:r>
                    <w:rPr>
                      <w:rFonts w:ascii="Times New Roman" w:hAnsi="Times New Roman" w:cs="Times New Roman"/>
                      <w:sz w:val="18"/>
                      <w:szCs w:val="18"/>
                      <w:highlight w:val="none"/>
                    </w:rPr>
                    <w:t>00</w:t>
                  </w:r>
                </w:p>
              </w:tc>
              <w:tc>
                <w:tcPr>
                  <w:tcW w:w="1477" w:type="dxa"/>
                  <w:vAlign w:val="center"/>
                </w:tcPr>
                <w:p w14:paraId="6937BD6F">
                  <w:pPr>
                    <w:tabs>
                      <w:tab w:val="left" w:pos="1680"/>
                    </w:tabs>
                    <w:jc w:val="center"/>
                    <w:rPr>
                      <w:rFonts w:ascii="Times New Roman" w:hAnsi="Times New Roman" w:cs="Times New Roman" w:eastAsiaTheme="minorEastAsia"/>
                      <w:b w:val="0"/>
                      <w:bCs/>
                      <w:color w:val="000000" w:themeColor="text1"/>
                      <w:kern w:val="2"/>
                      <w:sz w:val="18"/>
                      <w:szCs w:val="18"/>
                      <w:lang w:val="en-US" w:eastAsia="zh-CN" w:bidi="ar-SA"/>
                      <w14:textFill>
                        <w14:solidFill>
                          <w14:schemeClr w14:val="tx1"/>
                        </w14:solidFill>
                      </w14:textFill>
                    </w:rPr>
                  </w:pPr>
                  <w:r>
                    <w:rPr>
                      <w:rFonts w:eastAsiaTheme="minorEastAsia"/>
                      <w:b w:val="0"/>
                      <w:bCs/>
                      <w:color w:val="000000" w:themeColor="text1"/>
                      <w:sz w:val="18"/>
                      <w:szCs w:val="18"/>
                      <w14:textFill>
                        <w14:solidFill>
                          <w14:schemeClr w14:val="tx1"/>
                        </w14:solidFill>
                      </w14:textFill>
                    </w:rPr>
                    <w:t>t/a</w:t>
                  </w:r>
                </w:p>
              </w:tc>
              <w:tc>
                <w:tcPr>
                  <w:tcW w:w="2312" w:type="dxa"/>
                  <w:vAlign w:val="center"/>
                </w:tcPr>
                <w:p w14:paraId="69DF99EE">
                  <w:pPr>
                    <w:jc w:val="center"/>
                    <w:rPr>
                      <w:rFonts w:hint="eastAsia"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bCs/>
                      <w:sz w:val="18"/>
                      <w:szCs w:val="18"/>
                    </w:rPr>
                    <w:t>外购</w:t>
                  </w:r>
                </w:p>
              </w:tc>
            </w:tr>
            <w:tr w14:paraId="38343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37E56753">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40CAD200">
                  <w:pPr>
                    <w:jc w:val="center"/>
                    <w:rPr>
                      <w:rFonts w:hint="default"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定子毛坯</w:t>
                  </w:r>
                </w:p>
              </w:tc>
              <w:tc>
                <w:tcPr>
                  <w:tcW w:w="1624" w:type="dxa"/>
                  <w:vAlign w:val="center"/>
                </w:tcPr>
                <w:p w14:paraId="264DDB22">
                  <w:pPr>
                    <w:jc w:val="center"/>
                    <w:rPr>
                      <w:rFonts w:hint="default" w:cs="Times New Roman"/>
                      <w:sz w:val="18"/>
                      <w:szCs w:val="18"/>
                      <w:highlight w:val="none"/>
                      <w:lang w:val="en-US" w:eastAsia="zh-CN"/>
                    </w:rPr>
                  </w:pPr>
                  <w:r>
                    <w:rPr>
                      <w:rFonts w:hint="eastAsia" w:cs="Times New Roman"/>
                      <w:sz w:val="18"/>
                      <w:szCs w:val="18"/>
                      <w:highlight w:val="none"/>
                      <w:lang w:val="en-US" w:eastAsia="zh-CN"/>
                    </w:rPr>
                    <w:t>1800</w:t>
                  </w:r>
                </w:p>
              </w:tc>
              <w:tc>
                <w:tcPr>
                  <w:tcW w:w="1477" w:type="dxa"/>
                  <w:vAlign w:val="center"/>
                </w:tcPr>
                <w:p w14:paraId="402BE46D">
                  <w:pPr>
                    <w:jc w:val="center"/>
                    <w:rPr>
                      <w:rFonts w:eastAsiaTheme="minorEastAsia"/>
                      <w:b w:val="0"/>
                      <w:bCs/>
                      <w:color w:val="000000" w:themeColor="text1"/>
                      <w:sz w:val="18"/>
                      <w:szCs w:val="18"/>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套/a</w:t>
                  </w:r>
                </w:p>
              </w:tc>
              <w:tc>
                <w:tcPr>
                  <w:tcW w:w="2312" w:type="dxa"/>
                  <w:vAlign w:val="center"/>
                </w:tcPr>
                <w:p w14:paraId="28A858A9">
                  <w:pPr>
                    <w:jc w:val="center"/>
                    <w:rPr>
                      <w:rFonts w:hint="eastAsia"/>
                      <w:bCs/>
                      <w:sz w:val="18"/>
                      <w:szCs w:val="18"/>
                    </w:rPr>
                  </w:pPr>
                  <w:r>
                    <w:rPr>
                      <w:rFonts w:hint="eastAsia"/>
                      <w:bCs/>
                      <w:sz w:val="18"/>
                      <w:szCs w:val="18"/>
                      <w:lang w:val="en-US" w:eastAsia="zh-CN"/>
                    </w:rPr>
                    <w:t>外购</w:t>
                  </w:r>
                </w:p>
              </w:tc>
            </w:tr>
            <w:tr w14:paraId="3E221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0172B011">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63240732">
                  <w:pPr>
                    <w:jc w:val="center"/>
                    <w:rPr>
                      <w:rFonts w:hint="default"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转子毛坯</w:t>
                  </w:r>
                </w:p>
              </w:tc>
              <w:tc>
                <w:tcPr>
                  <w:tcW w:w="1624" w:type="dxa"/>
                  <w:vAlign w:val="center"/>
                </w:tcPr>
                <w:p w14:paraId="17BAFED8">
                  <w:pPr>
                    <w:jc w:val="center"/>
                    <w:rPr>
                      <w:rFonts w:hint="default" w:cs="Times New Roman"/>
                      <w:sz w:val="18"/>
                      <w:szCs w:val="18"/>
                      <w:highlight w:val="none"/>
                      <w:lang w:val="en-US" w:eastAsia="zh-CN"/>
                    </w:rPr>
                  </w:pPr>
                  <w:r>
                    <w:rPr>
                      <w:rFonts w:hint="eastAsia" w:cs="Times New Roman"/>
                      <w:sz w:val="18"/>
                      <w:szCs w:val="18"/>
                      <w:highlight w:val="none"/>
                      <w:lang w:val="en-US" w:eastAsia="zh-CN"/>
                    </w:rPr>
                    <w:t>1800</w:t>
                  </w:r>
                </w:p>
              </w:tc>
              <w:tc>
                <w:tcPr>
                  <w:tcW w:w="1477" w:type="dxa"/>
                  <w:vAlign w:val="center"/>
                </w:tcPr>
                <w:p w14:paraId="737182FB">
                  <w:pPr>
                    <w:jc w:val="center"/>
                    <w:rPr>
                      <w:rFonts w:eastAsiaTheme="minorEastAsia"/>
                      <w:b w:val="0"/>
                      <w:bCs/>
                      <w:color w:val="000000" w:themeColor="text1"/>
                      <w:sz w:val="18"/>
                      <w:szCs w:val="18"/>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套/a</w:t>
                  </w:r>
                </w:p>
              </w:tc>
              <w:tc>
                <w:tcPr>
                  <w:tcW w:w="2312" w:type="dxa"/>
                  <w:vAlign w:val="center"/>
                </w:tcPr>
                <w:p w14:paraId="7DCD9972">
                  <w:pPr>
                    <w:jc w:val="center"/>
                    <w:rPr>
                      <w:rFonts w:hint="eastAsia"/>
                      <w:bCs/>
                      <w:sz w:val="18"/>
                      <w:szCs w:val="18"/>
                    </w:rPr>
                  </w:pPr>
                  <w:r>
                    <w:rPr>
                      <w:rFonts w:hint="eastAsia"/>
                      <w:bCs/>
                      <w:sz w:val="18"/>
                      <w:szCs w:val="18"/>
                      <w:lang w:val="en-US" w:eastAsia="zh-CN"/>
                    </w:rPr>
                    <w:t>外购</w:t>
                  </w:r>
                </w:p>
              </w:tc>
            </w:tr>
            <w:tr w14:paraId="7FAFA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08D91F56">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1269E443">
                  <w:pPr>
                    <w:jc w:val="center"/>
                    <w:rPr>
                      <w:rFonts w:hint="eastAsia"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钢管</w:t>
                  </w:r>
                </w:p>
              </w:tc>
              <w:tc>
                <w:tcPr>
                  <w:tcW w:w="1624" w:type="dxa"/>
                  <w:vAlign w:val="center"/>
                </w:tcPr>
                <w:p w14:paraId="7CFDD18B">
                  <w:pPr>
                    <w:jc w:val="center"/>
                    <w:rPr>
                      <w:rFonts w:hint="default" w:cs="Times New Roman"/>
                      <w:sz w:val="18"/>
                      <w:szCs w:val="18"/>
                      <w:highlight w:val="none"/>
                      <w:lang w:val="en-US" w:eastAsia="zh-CN"/>
                    </w:rPr>
                  </w:pPr>
                  <w:r>
                    <w:rPr>
                      <w:rFonts w:hint="eastAsia" w:cs="Times New Roman"/>
                      <w:sz w:val="18"/>
                      <w:szCs w:val="18"/>
                      <w:highlight w:val="none"/>
                      <w:lang w:val="en-US" w:eastAsia="zh-CN"/>
                    </w:rPr>
                    <w:t>5</w:t>
                  </w:r>
                </w:p>
              </w:tc>
              <w:tc>
                <w:tcPr>
                  <w:tcW w:w="1477" w:type="dxa"/>
                  <w:vAlign w:val="center"/>
                </w:tcPr>
                <w:p w14:paraId="6AD19798">
                  <w:pPr>
                    <w:tabs>
                      <w:tab w:val="left" w:pos="1680"/>
                    </w:tabs>
                    <w:jc w:val="center"/>
                    <w:rPr>
                      <w:rFonts w:hint="eastAsia" w:eastAsiaTheme="minorEastAsia"/>
                      <w:b w:val="0"/>
                      <w:bCs/>
                      <w:color w:val="000000" w:themeColor="text1"/>
                      <w:sz w:val="18"/>
                      <w:szCs w:val="18"/>
                      <w:lang w:val="en-US" w:eastAsia="zh-CN"/>
                      <w14:textFill>
                        <w14:solidFill>
                          <w14:schemeClr w14:val="tx1"/>
                        </w14:solidFill>
                      </w14:textFill>
                    </w:rPr>
                  </w:pPr>
                  <w:r>
                    <w:rPr>
                      <w:rFonts w:eastAsiaTheme="minorEastAsia"/>
                      <w:b w:val="0"/>
                      <w:bCs/>
                      <w:color w:val="000000" w:themeColor="text1"/>
                      <w:sz w:val="18"/>
                      <w:szCs w:val="18"/>
                      <w14:textFill>
                        <w14:solidFill>
                          <w14:schemeClr w14:val="tx1"/>
                        </w14:solidFill>
                      </w14:textFill>
                    </w:rPr>
                    <w:t>t/a</w:t>
                  </w:r>
                </w:p>
              </w:tc>
              <w:tc>
                <w:tcPr>
                  <w:tcW w:w="2312" w:type="dxa"/>
                  <w:vAlign w:val="center"/>
                </w:tcPr>
                <w:p w14:paraId="53725B90">
                  <w:pPr>
                    <w:jc w:val="center"/>
                    <w:rPr>
                      <w:rFonts w:hint="eastAsia"/>
                      <w:bCs/>
                      <w:sz w:val="18"/>
                      <w:szCs w:val="18"/>
                    </w:rPr>
                  </w:pPr>
                  <w:r>
                    <w:rPr>
                      <w:rFonts w:hint="eastAsia"/>
                      <w:bCs/>
                      <w:sz w:val="18"/>
                      <w:szCs w:val="18"/>
                    </w:rPr>
                    <w:t>外购</w:t>
                  </w:r>
                </w:p>
              </w:tc>
            </w:tr>
            <w:tr w14:paraId="279DA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14C260C2">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77583820">
                  <w:pPr>
                    <w:jc w:val="center"/>
                    <w:rPr>
                      <w:rFonts w:hint="default"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塑粉</w:t>
                  </w:r>
                </w:p>
              </w:tc>
              <w:tc>
                <w:tcPr>
                  <w:tcW w:w="1624" w:type="dxa"/>
                  <w:vAlign w:val="center"/>
                </w:tcPr>
                <w:p w14:paraId="6EBF5D57">
                  <w:pPr>
                    <w:jc w:val="center"/>
                    <w:rPr>
                      <w:rFonts w:hint="default" w:cs="Times New Roman"/>
                      <w:sz w:val="18"/>
                      <w:szCs w:val="18"/>
                      <w:highlight w:val="none"/>
                      <w:lang w:val="en-US" w:eastAsia="zh-CN"/>
                    </w:rPr>
                  </w:pPr>
                  <w:r>
                    <w:rPr>
                      <w:rFonts w:hint="eastAsia" w:cs="Times New Roman"/>
                      <w:sz w:val="18"/>
                      <w:szCs w:val="18"/>
                      <w:highlight w:val="none"/>
                      <w:lang w:val="en-US" w:eastAsia="zh-CN"/>
                    </w:rPr>
                    <w:t>4.98</w:t>
                  </w:r>
                </w:p>
              </w:tc>
              <w:tc>
                <w:tcPr>
                  <w:tcW w:w="1477" w:type="dxa"/>
                  <w:vAlign w:val="center"/>
                </w:tcPr>
                <w:p w14:paraId="3D877014">
                  <w:pPr>
                    <w:tabs>
                      <w:tab w:val="left" w:pos="1680"/>
                    </w:tabs>
                    <w:jc w:val="center"/>
                    <w:rPr>
                      <w:rFonts w:hint="default" w:eastAsiaTheme="minorEastAsia"/>
                      <w:b w:val="0"/>
                      <w:bCs/>
                      <w:color w:val="000000" w:themeColor="text1"/>
                      <w:sz w:val="18"/>
                      <w:szCs w:val="18"/>
                      <w:lang w:val="en-US" w:eastAsia="zh-CN"/>
                      <w14:textFill>
                        <w14:solidFill>
                          <w14:schemeClr w14:val="tx1"/>
                        </w14:solidFill>
                      </w14:textFill>
                    </w:rPr>
                  </w:pPr>
                  <w:r>
                    <w:rPr>
                      <w:rFonts w:hint="eastAsia" w:eastAsiaTheme="minorEastAsia"/>
                      <w:b w:val="0"/>
                      <w:bCs/>
                      <w:color w:val="000000" w:themeColor="text1"/>
                      <w:sz w:val="18"/>
                      <w:szCs w:val="18"/>
                      <w:lang w:val="en-US" w:eastAsia="zh-CN"/>
                      <w14:textFill>
                        <w14:solidFill>
                          <w14:schemeClr w14:val="tx1"/>
                        </w14:solidFill>
                      </w14:textFill>
                    </w:rPr>
                    <w:t>t/a</w:t>
                  </w:r>
                </w:p>
              </w:tc>
              <w:tc>
                <w:tcPr>
                  <w:tcW w:w="2312" w:type="dxa"/>
                  <w:vAlign w:val="center"/>
                </w:tcPr>
                <w:p w14:paraId="463B49B8">
                  <w:pPr>
                    <w:jc w:val="center"/>
                    <w:rPr>
                      <w:rFonts w:hint="eastAsia" w:eastAsia="宋体"/>
                      <w:bCs/>
                      <w:sz w:val="18"/>
                      <w:szCs w:val="18"/>
                      <w:lang w:val="en-US" w:eastAsia="zh-CN"/>
                    </w:rPr>
                  </w:pPr>
                  <w:r>
                    <w:rPr>
                      <w:rFonts w:hint="eastAsia"/>
                      <w:bCs/>
                      <w:sz w:val="18"/>
                      <w:szCs w:val="18"/>
                      <w:lang w:val="en-US" w:eastAsia="zh-CN"/>
                    </w:rPr>
                    <w:t>外购</w:t>
                  </w:r>
                </w:p>
              </w:tc>
            </w:tr>
            <w:tr w14:paraId="58E23E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07B445CD">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59E44918">
                  <w:pPr>
                    <w:jc w:val="center"/>
                    <w:rPr>
                      <w:rFonts w:hint="eastAsia"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eastAsiaTheme="minorEastAsia"/>
                      <w:bCs/>
                      <w:color w:val="000000" w:themeColor="text1"/>
                      <w:kern w:val="2"/>
                      <w:sz w:val="18"/>
                      <w:szCs w:val="18"/>
                      <w:lang w:val="en-US" w:eastAsia="zh-CN" w:bidi="ar-SA"/>
                      <w14:textFill>
                        <w14:solidFill>
                          <w14:schemeClr w14:val="tx1"/>
                        </w14:solidFill>
                      </w14:textFill>
                    </w:rPr>
                    <w:t>玻璃纤维</w:t>
                  </w:r>
                </w:p>
              </w:tc>
              <w:tc>
                <w:tcPr>
                  <w:tcW w:w="1624" w:type="dxa"/>
                  <w:vAlign w:val="center"/>
                </w:tcPr>
                <w:p w14:paraId="179AA68B">
                  <w:pPr>
                    <w:jc w:val="center"/>
                    <w:rPr>
                      <w:rFonts w:hint="default" w:ascii="Times New Roman" w:hAnsi="Times New Roman" w:cs="Times New Roman" w:eastAsiaTheme="minorEastAsia"/>
                      <w:bCs/>
                      <w:color w:val="000000" w:themeColor="text1"/>
                      <w:kern w:val="2"/>
                      <w:sz w:val="18"/>
                      <w:szCs w:val="18"/>
                      <w:lang w:val="en-US" w:eastAsia="zh-CN" w:bidi="ar-SA"/>
                      <w14:textFill>
                        <w14:solidFill>
                          <w14:schemeClr w14:val="tx1"/>
                        </w14:solidFill>
                      </w14:textFill>
                    </w:rPr>
                  </w:pPr>
                  <w:r>
                    <w:rPr>
                      <w:rFonts w:hint="eastAsia" w:cs="Times New Roman"/>
                      <w:sz w:val="18"/>
                      <w:szCs w:val="18"/>
                      <w:highlight w:val="none"/>
                      <w:lang w:val="en-US" w:eastAsia="zh-CN"/>
                    </w:rPr>
                    <w:t>8</w:t>
                  </w:r>
                </w:p>
              </w:tc>
              <w:tc>
                <w:tcPr>
                  <w:tcW w:w="1477" w:type="dxa"/>
                  <w:vAlign w:val="center"/>
                </w:tcPr>
                <w:p w14:paraId="23BF5CD7">
                  <w:pPr>
                    <w:jc w:val="center"/>
                    <w:rPr>
                      <w:rFonts w:hint="eastAsia" w:ascii="Times New Roman" w:hAnsi="Times New Roman" w:cs="Times New Roman" w:eastAsiaTheme="minorEastAsia"/>
                      <w:b w:val="0"/>
                      <w:bCs/>
                      <w:color w:val="000000" w:themeColor="text1"/>
                      <w:kern w:val="2"/>
                      <w:sz w:val="18"/>
                      <w:szCs w:val="18"/>
                      <w:lang w:val="en-US" w:eastAsia="zh-CN" w:bidi="ar-SA"/>
                      <w14:textFill>
                        <w14:solidFill>
                          <w14:schemeClr w14:val="tx1"/>
                        </w14:solidFill>
                      </w14:textFill>
                    </w:rPr>
                  </w:pPr>
                  <w:r>
                    <w:rPr>
                      <w:rFonts w:eastAsiaTheme="minorEastAsia"/>
                      <w:b w:val="0"/>
                      <w:bCs/>
                      <w:color w:val="000000" w:themeColor="text1"/>
                      <w:sz w:val="18"/>
                      <w:szCs w:val="18"/>
                      <w14:textFill>
                        <w14:solidFill>
                          <w14:schemeClr w14:val="tx1"/>
                        </w14:solidFill>
                      </w14:textFill>
                    </w:rPr>
                    <w:t>t/a</w:t>
                  </w:r>
                </w:p>
              </w:tc>
              <w:tc>
                <w:tcPr>
                  <w:tcW w:w="2312" w:type="dxa"/>
                  <w:vAlign w:val="center"/>
                </w:tcPr>
                <w:p w14:paraId="5690B3E4">
                  <w:pPr>
                    <w:jc w:val="center"/>
                    <w:rPr>
                      <w:rFonts w:hint="eastAsia" w:ascii="Times New Roman" w:hAnsi="Times New Roman" w:eastAsia="宋体" w:cs="Times New Roman"/>
                      <w:bCs/>
                      <w:color w:val="000000" w:themeColor="text1"/>
                      <w:kern w:val="2"/>
                      <w:sz w:val="18"/>
                      <w:szCs w:val="18"/>
                      <w:lang w:val="en-US" w:eastAsia="zh-CN" w:bidi="ar-SA"/>
                      <w14:textFill>
                        <w14:solidFill>
                          <w14:schemeClr w14:val="tx1"/>
                        </w14:solidFill>
                      </w14:textFill>
                    </w:rPr>
                  </w:pPr>
                  <w:r>
                    <w:rPr>
                      <w:rFonts w:hint="eastAsia"/>
                      <w:bCs/>
                      <w:sz w:val="18"/>
                      <w:szCs w:val="18"/>
                    </w:rPr>
                    <w:t>外购</w:t>
                  </w:r>
                  <w:r>
                    <w:rPr>
                      <w:rFonts w:hint="eastAsia"/>
                      <w:bCs/>
                      <w:sz w:val="18"/>
                      <w:szCs w:val="18"/>
                      <w:lang w:eastAsia="zh-CN"/>
                    </w:rPr>
                    <w:t>，</w:t>
                  </w:r>
                  <w:r>
                    <w:rPr>
                      <w:rFonts w:hint="eastAsia"/>
                      <w:bCs/>
                      <w:sz w:val="18"/>
                      <w:szCs w:val="18"/>
                      <w:lang w:val="en-US" w:eastAsia="zh-CN"/>
                    </w:rPr>
                    <w:t>盘装</w:t>
                  </w:r>
                </w:p>
              </w:tc>
            </w:tr>
            <w:tr w14:paraId="04151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1E38FAC7">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797F2F4D">
                  <w:pPr>
                    <w:jc w:val="center"/>
                    <w:rPr>
                      <w:rFonts w:hint="eastAsia" w:eastAsiaTheme="minorEastAsia"/>
                      <w:bCs/>
                      <w:color w:val="000000" w:themeColor="text1"/>
                      <w:sz w:val="18"/>
                      <w:szCs w:val="18"/>
                      <w:lang w:eastAsia="zh-CN"/>
                      <w14:textFill>
                        <w14:solidFill>
                          <w14:schemeClr w14:val="tx1"/>
                        </w14:solidFill>
                      </w14:textFill>
                    </w:rPr>
                  </w:pPr>
                  <w:r>
                    <w:rPr>
                      <w:rFonts w:hint="eastAsia" w:eastAsiaTheme="minorEastAsia"/>
                      <w:bCs/>
                      <w:color w:val="000000" w:themeColor="text1"/>
                      <w:sz w:val="18"/>
                      <w:szCs w:val="18"/>
                      <w:lang w:eastAsia="zh-CN"/>
                      <w14:textFill>
                        <w14:solidFill>
                          <w14:schemeClr w14:val="tx1"/>
                        </w14:solidFill>
                      </w14:textFill>
                    </w:rPr>
                    <w:t>玻璃丝布</w:t>
                  </w:r>
                </w:p>
              </w:tc>
              <w:tc>
                <w:tcPr>
                  <w:tcW w:w="1624" w:type="dxa"/>
                  <w:vAlign w:val="center"/>
                </w:tcPr>
                <w:p w14:paraId="7EAF3545">
                  <w:pPr>
                    <w:jc w:val="center"/>
                    <w:rPr>
                      <w:rFonts w:hint="default" w:eastAsiaTheme="minorEastAsia"/>
                      <w:color w:val="000000" w:themeColor="text1"/>
                      <w:sz w:val="18"/>
                      <w:szCs w:val="18"/>
                      <w:lang w:val="en-US" w:eastAsia="zh-CN"/>
                      <w14:textFill>
                        <w14:solidFill>
                          <w14:schemeClr w14:val="tx1"/>
                        </w14:solidFill>
                      </w14:textFill>
                    </w:rPr>
                  </w:pPr>
                  <w:r>
                    <w:rPr>
                      <w:rFonts w:hint="eastAsia" w:cs="Times New Roman"/>
                      <w:sz w:val="18"/>
                      <w:szCs w:val="18"/>
                      <w:highlight w:val="none"/>
                      <w:lang w:val="en-US" w:eastAsia="zh-CN"/>
                    </w:rPr>
                    <w:t>2</w:t>
                  </w:r>
                </w:p>
              </w:tc>
              <w:tc>
                <w:tcPr>
                  <w:tcW w:w="1477" w:type="dxa"/>
                  <w:vAlign w:val="center"/>
                </w:tcPr>
                <w:p w14:paraId="33CB655B">
                  <w:pPr>
                    <w:jc w:val="center"/>
                    <w:rPr>
                      <w:rFonts w:hint="default" w:eastAsiaTheme="minorEastAsia"/>
                      <w:b w:val="0"/>
                      <w:bCs/>
                      <w:color w:val="000000" w:themeColor="text1"/>
                      <w:sz w:val="18"/>
                      <w:szCs w:val="18"/>
                      <w:vertAlign w:val="baseline"/>
                      <w:lang w:val="en-US" w:eastAsia="zh-CN"/>
                      <w14:textFill>
                        <w14:solidFill>
                          <w14:schemeClr w14:val="tx1"/>
                        </w14:solidFill>
                      </w14:textFill>
                    </w:rPr>
                  </w:pPr>
                  <w:r>
                    <w:rPr>
                      <w:rFonts w:eastAsiaTheme="minorEastAsia"/>
                      <w:b w:val="0"/>
                      <w:bCs/>
                      <w:color w:val="000000" w:themeColor="text1"/>
                      <w:sz w:val="18"/>
                      <w:szCs w:val="18"/>
                      <w14:textFill>
                        <w14:solidFill>
                          <w14:schemeClr w14:val="tx1"/>
                        </w14:solidFill>
                      </w14:textFill>
                    </w:rPr>
                    <w:t>t/a</w:t>
                  </w:r>
                </w:p>
              </w:tc>
              <w:tc>
                <w:tcPr>
                  <w:tcW w:w="2312" w:type="dxa"/>
                  <w:vAlign w:val="center"/>
                </w:tcPr>
                <w:p w14:paraId="67C1BDA7">
                  <w:pPr>
                    <w:jc w:val="center"/>
                    <w:rPr>
                      <w:rFonts w:hint="eastAsia" w:eastAsia="宋体"/>
                      <w:color w:val="000000" w:themeColor="text1"/>
                      <w:sz w:val="18"/>
                      <w:szCs w:val="18"/>
                      <w:lang w:eastAsia="zh-CN"/>
                      <w14:textFill>
                        <w14:solidFill>
                          <w14:schemeClr w14:val="tx1"/>
                        </w14:solidFill>
                      </w14:textFill>
                    </w:rPr>
                  </w:pPr>
                  <w:r>
                    <w:rPr>
                      <w:rFonts w:hint="eastAsia"/>
                      <w:bCs/>
                      <w:sz w:val="18"/>
                      <w:szCs w:val="18"/>
                    </w:rPr>
                    <w:t>外购</w:t>
                  </w:r>
                  <w:r>
                    <w:rPr>
                      <w:rFonts w:hint="eastAsia"/>
                      <w:bCs/>
                      <w:sz w:val="18"/>
                      <w:szCs w:val="18"/>
                      <w:lang w:eastAsia="zh-CN"/>
                    </w:rPr>
                    <w:t>，袋装</w:t>
                  </w:r>
                </w:p>
              </w:tc>
            </w:tr>
            <w:tr w14:paraId="1A7DA0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4E5AA86D">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0D94DE9A">
                  <w:pPr>
                    <w:pStyle w:val="45"/>
                    <w:jc w:val="center"/>
                    <w:outlineLvl w:val="3"/>
                    <w:rPr>
                      <w:rFonts w:hint="eastAsia" w:eastAsia="宋体"/>
                      <w:bCs/>
                      <w:sz w:val="18"/>
                      <w:szCs w:val="18"/>
                      <w:lang w:eastAsia="zh-CN"/>
                    </w:rPr>
                  </w:pPr>
                  <w:r>
                    <w:rPr>
                      <w:rFonts w:hint="eastAsia"/>
                      <w:bCs/>
                      <w:sz w:val="18"/>
                      <w:szCs w:val="18"/>
                      <w:lang w:eastAsia="zh-CN"/>
                    </w:rPr>
                    <w:t>不饱和</w:t>
                  </w:r>
                  <w:r>
                    <w:rPr>
                      <w:rFonts w:hint="eastAsia"/>
                      <w:bCs/>
                      <w:sz w:val="18"/>
                      <w:szCs w:val="18"/>
                      <w:lang w:val="en-US" w:eastAsia="zh-CN"/>
                    </w:rPr>
                    <w:t>聚酯</w:t>
                  </w:r>
                  <w:r>
                    <w:rPr>
                      <w:rFonts w:hint="eastAsia"/>
                      <w:bCs/>
                      <w:sz w:val="18"/>
                      <w:szCs w:val="18"/>
                      <w:lang w:eastAsia="zh-CN"/>
                    </w:rPr>
                    <w:t>树脂</w:t>
                  </w:r>
                </w:p>
              </w:tc>
              <w:tc>
                <w:tcPr>
                  <w:tcW w:w="1624" w:type="dxa"/>
                  <w:vAlign w:val="center"/>
                </w:tcPr>
                <w:p w14:paraId="6BB233A3">
                  <w:pPr>
                    <w:pStyle w:val="45"/>
                    <w:jc w:val="center"/>
                    <w:outlineLvl w:val="3"/>
                    <w:rPr>
                      <w:rFonts w:hint="default" w:eastAsiaTheme="minorEastAsia"/>
                      <w:color w:val="000000" w:themeColor="text1"/>
                      <w:sz w:val="18"/>
                      <w:szCs w:val="18"/>
                      <w:lang w:val="en-US" w:eastAsia="zh-CN"/>
                      <w14:textFill>
                        <w14:solidFill>
                          <w14:schemeClr w14:val="tx1"/>
                        </w14:solidFill>
                      </w14:textFill>
                    </w:rPr>
                  </w:pPr>
                  <w:r>
                    <w:rPr>
                      <w:rFonts w:hint="eastAsia" w:ascii="Times New Roman" w:hAnsi="Times New Roman" w:cs="Times New Roman" w:eastAsiaTheme="minorEastAsia"/>
                      <w:sz w:val="18"/>
                      <w:szCs w:val="18"/>
                      <w:highlight w:val="none"/>
                      <w:lang w:val="en-US" w:eastAsia="zh-CN"/>
                    </w:rPr>
                    <w:t>30</w:t>
                  </w:r>
                </w:p>
              </w:tc>
              <w:tc>
                <w:tcPr>
                  <w:tcW w:w="1477" w:type="dxa"/>
                  <w:vAlign w:val="center"/>
                </w:tcPr>
                <w:p w14:paraId="30111047">
                  <w:pPr>
                    <w:tabs>
                      <w:tab w:val="left" w:pos="1680"/>
                    </w:tabs>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t</w:t>
                  </w:r>
                  <w:r>
                    <w:rPr>
                      <w:rFonts w:hint="eastAsia" w:eastAsiaTheme="minorEastAsia"/>
                      <w:color w:val="000000" w:themeColor="text1"/>
                      <w:sz w:val="18"/>
                      <w:szCs w:val="18"/>
                      <w:vertAlign w:val="baseline"/>
                      <w:lang w:val="en-US" w:eastAsia="zh-CN"/>
                      <w14:textFill>
                        <w14:solidFill>
                          <w14:schemeClr w14:val="tx1"/>
                        </w14:solidFill>
                      </w14:textFill>
                    </w:rPr>
                    <w:t>/a</w:t>
                  </w:r>
                </w:p>
              </w:tc>
              <w:tc>
                <w:tcPr>
                  <w:tcW w:w="2312" w:type="dxa"/>
                  <w:vAlign w:val="center"/>
                </w:tcPr>
                <w:p w14:paraId="33C5E90D">
                  <w:pPr>
                    <w:tabs>
                      <w:tab w:val="left" w:pos="1680"/>
                    </w:tabs>
                    <w:jc w:val="center"/>
                    <w:rPr>
                      <w:rFonts w:hint="default" w:eastAsia="宋体"/>
                      <w:color w:val="000000" w:themeColor="text1"/>
                      <w:sz w:val="18"/>
                      <w:szCs w:val="18"/>
                      <w:lang w:val="en-US" w:eastAsia="zh-CN"/>
                      <w14:textFill>
                        <w14:solidFill>
                          <w14:schemeClr w14:val="tx1"/>
                        </w14:solidFill>
                      </w14:textFill>
                    </w:rPr>
                  </w:pPr>
                  <w:r>
                    <w:rPr>
                      <w:rFonts w:hint="eastAsia"/>
                      <w:bCs/>
                      <w:sz w:val="18"/>
                      <w:szCs w:val="18"/>
                    </w:rPr>
                    <w:t>外购</w:t>
                  </w:r>
                  <w:r>
                    <w:rPr>
                      <w:rFonts w:hint="eastAsia"/>
                      <w:bCs/>
                      <w:sz w:val="18"/>
                      <w:szCs w:val="18"/>
                      <w:lang w:eastAsia="zh-CN"/>
                    </w:rPr>
                    <w:t>，</w:t>
                  </w:r>
                  <w:r>
                    <w:rPr>
                      <w:rFonts w:hint="eastAsia"/>
                      <w:bCs/>
                      <w:sz w:val="18"/>
                      <w:szCs w:val="18"/>
                      <w:lang w:val="en-US" w:eastAsia="zh-CN"/>
                    </w:rPr>
                    <w:t>25kg/桶，最大储存量3t</w:t>
                  </w:r>
                </w:p>
              </w:tc>
            </w:tr>
            <w:tr w14:paraId="054AF1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6858726B">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35A924D6">
                  <w:pPr>
                    <w:pStyle w:val="45"/>
                    <w:jc w:val="center"/>
                    <w:outlineLvl w:val="3"/>
                    <w:rPr>
                      <w:rFonts w:hint="default" w:ascii="Times New Roman" w:hAnsi="Times New Roman" w:eastAsia="宋体" w:cs="Courier New"/>
                      <w:kern w:val="2"/>
                      <w:sz w:val="18"/>
                      <w:szCs w:val="18"/>
                      <w:highlight w:val="none"/>
                      <w:lang w:val="en-US" w:eastAsia="zh-CN" w:bidi="ar-SA"/>
                    </w:rPr>
                  </w:pPr>
                  <w:r>
                    <w:rPr>
                      <w:rFonts w:hint="eastAsia" w:ascii="Times New Roman" w:hAnsi="Times New Roman" w:cs="Courier New"/>
                      <w:kern w:val="2"/>
                      <w:sz w:val="18"/>
                      <w:szCs w:val="18"/>
                      <w:highlight w:val="none"/>
                      <w:lang w:val="en-US" w:eastAsia="zh-CN" w:bidi="ar-SA"/>
                    </w:rPr>
                    <w:t>PP颗粒</w:t>
                  </w:r>
                </w:p>
              </w:tc>
              <w:tc>
                <w:tcPr>
                  <w:tcW w:w="1624" w:type="dxa"/>
                  <w:vAlign w:val="center"/>
                </w:tcPr>
                <w:p w14:paraId="3A9BB56C">
                  <w:pPr>
                    <w:snapToGrid w:val="0"/>
                    <w:jc w:val="center"/>
                    <w:textAlignment w:val="baseline"/>
                    <w:outlineLvl w:val="3"/>
                    <w:rPr>
                      <w:rFonts w:hint="default"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30</w:t>
                  </w:r>
                </w:p>
              </w:tc>
              <w:tc>
                <w:tcPr>
                  <w:tcW w:w="1477" w:type="dxa"/>
                  <w:vAlign w:val="center"/>
                </w:tcPr>
                <w:p w14:paraId="0BFB6B44">
                  <w:pPr>
                    <w:tabs>
                      <w:tab w:val="left" w:pos="1680"/>
                    </w:tabs>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t</w:t>
                  </w:r>
                  <w:r>
                    <w:rPr>
                      <w:rFonts w:hint="eastAsia" w:eastAsiaTheme="minorEastAsia"/>
                      <w:color w:val="000000" w:themeColor="text1"/>
                      <w:sz w:val="18"/>
                      <w:szCs w:val="18"/>
                      <w:vertAlign w:val="baseline"/>
                      <w:lang w:val="en-US" w:eastAsia="zh-CN"/>
                      <w14:textFill>
                        <w14:solidFill>
                          <w14:schemeClr w14:val="tx1"/>
                        </w14:solidFill>
                      </w14:textFill>
                    </w:rPr>
                    <w:t>/a</w:t>
                  </w:r>
                </w:p>
              </w:tc>
              <w:tc>
                <w:tcPr>
                  <w:tcW w:w="2312" w:type="dxa"/>
                  <w:vAlign w:val="center"/>
                </w:tcPr>
                <w:p w14:paraId="610DCC83">
                  <w:pPr>
                    <w:tabs>
                      <w:tab w:val="left" w:pos="1680"/>
                    </w:tabs>
                    <w:jc w:val="center"/>
                    <w:rPr>
                      <w:rFonts w:hint="default" w:eastAsia="宋体"/>
                      <w:bCs/>
                      <w:sz w:val="18"/>
                      <w:szCs w:val="18"/>
                      <w:lang w:val="en-US" w:eastAsia="zh-CN"/>
                    </w:rPr>
                  </w:pPr>
                  <w:r>
                    <w:rPr>
                      <w:rFonts w:hint="eastAsia"/>
                      <w:bCs/>
                      <w:sz w:val="18"/>
                      <w:szCs w:val="18"/>
                    </w:rPr>
                    <w:t>外购</w:t>
                  </w:r>
                  <w:r>
                    <w:rPr>
                      <w:rFonts w:hint="eastAsia"/>
                      <w:bCs/>
                      <w:sz w:val="18"/>
                      <w:szCs w:val="18"/>
                      <w:lang w:val="en-US" w:eastAsia="zh-CN"/>
                    </w:rPr>
                    <w:t>，20kg/袋</w:t>
                  </w:r>
                </w:p>
              </w:tc>
            </w:tr>
            <w:tr w14:paraId="795F6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2C1B26EA">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6B08CBC4">
                  <w:pPr>
                    <w:jc w:val="center"/>
                    <w:rPr>
                      <w:rFonts w:hint="eastAsia" w:eastAsia="宋体"/>
                      <w:bCs/>
                      <w:sz w:val="18"/>
                      <w:szCs w:val="18"/>
                      <w:lang w:eastAsia="zh-CN"/>
                    </w:rPr>
                  </w:pPr>
                  <w:r>
                    <w:rPr>
                      <w:rFonts w:hint="eastAsia"/>
                      <w:sz w:val="18"/>
                      <w:szCs w:val="18"/>
                      <w:lang w:eastAsia="zh-CN"/>
                    </w:rPr>
                    <w:t>铁红醇酸底</w:t>
                  </w:r>
                  <w:r>
                    <w:rPr>
                      <w:rFonts w:hint="default" w:ascii="Times New Roman" w:hAnsi="Times New Roman" w:cs="Times New Roman"/>
                      <w:sz w:val="18"/>
                      <w:szCs w:val="18"/>
                      <w:highlight w:val="none"/>
                    </w:rPr>
                    <w:t>漆</w:t>
                  </w:r>
                </w:p>
              </w:tc>
              <w:tc>
                <w:tcPr>
                  <w:tcW w:w="1624" w:type="dxa"/>
                  <w:vAlign w:val="center"/>
                </w:tcPr>
                <w:p w14:paraId="0F1E4FBB">
                  <w:pPr>
                    <w:keepNext w:val="0"/>
                    <w:keepLines w:val="0"/>
                    <w:widowControl/>
                    <w:suppressLineNumbers w:val="0"/>
                    <w:jc w:val="center"/>
                    <w:textAlignment w:val="center"/>
                    <w:rPr>
                      <w:rFonts w:hint="default" w:ascii="Times New Roman" w:hAnsi="Times New Roman" w:cs="Times New Roman" w:eastAsiaTheme="minorEastAsia"/>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kern w:val="0"/>
                      <w:sz w:val="18"/>
                      <w:szCs w:val="18"/>
                      <w:u w:val="none"/>
                      <w:lang w:val="en-US" w:eastAsia="zh-CN" w:bidi="ar"/>
                    </w:rPr>
                    <w:t xml:space="preserve">0.96 </w:t>
                  </w:r>
                </w:p>
              </w:tc>
              <w:tc>
                <w:tcPr>
                  <w:tcW w:w="1477" w:type="dxa"/>
                  <w:vAlign w:val="center"/>
                </w:tcPr>
                <w:p w14:paraId="13CC2AF0">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t</w:t>
                  </w:r>
                  <w:r>
                    <w:rPr>
                      <w:rFonts w:hint="eastAsia" w:eastAsiaTheme="minorEastAsia"/>
                      <w:color w:val="000000" w:themeColor="text1"/>
                      <w:sz w:val="18"/>
                      <w:szCs w:val="18"/>
                      <w:vertAlign w:val="baseline"/>
                      <w:lang w:val="en-US" w:eastAsia="zh-CN"/>
                      <w14:textFill>
                        <w14:solidFill>
                          <w14:schemeClr w14:val="tx1"/>
                        </w14:solidFill>
                      </w14:textFill>
                    </w:rPr>
                    <w:t>/a</w:t>
                  </w:r>
                </w:p>
              </w:tc>
              <w:tc>
                <w:tcPr>
                  <w:tcW w:w="2312" w:type="dxa"/>
                  <w:vAlign w:val="center"/>
                </w:tcPr>
                <w:p w14:paraId="5273377C">
                  <w:pPr>
                    <w:tabs>
                      <w:tab w:val="left" w:pos="1680"/>
                    </w:tabs>
                    <w:jc w:val="center"/>
                    <w:rPr>
                      <w:rFonts w:hint="default" w:eastAsiaTheme="minorEastAsia"/>
                      <w:color w:val="000000" w:themeColor="text1"/>
                      <w:sz w:val="18"/>
                      <w:szCs w:val="18"/>
                      <w:lang w:val="en-US" w:eastAsia="zh-CN"/>
                      <w14:textFill>
                        <w14:solidFill>
                          <w14:schemeClr w14:val="tx1"/>
                        </w14:solidFill>
                      </w14:textFill>
                    </w:rPr>
                  </w:pPr>
                  <w:r>
                    <w:rPr>
                      <w:rFonts w:hint="eastAsia"/>
                      <w:bCs/>
                      <w:sz w:val="18"/>
                      <w:szCs w:val="18"/>
                    </w:rPr>
                    <w:t>外购</w:t>
                  </w:r>
                  <w:r>
                    <w:rPr>
                      <w:rFonts w:hint="eastAsia"/>
                      <w:bCs/>
                      <w:sz w:val="18"/>
                      <w:szCs w:val="18"/>
                      <w:lang w:eastAsia="zh-CN"/>
                    </w:rPr>
                    <w:t>，</w:t>
                  </w:r>
                  <w:r>
                    <w:rPr>
                      <w:rFonts w:hint="eastAsia" w:eastAsiaTheme="minorEastAsia"/>
                      <w:color w:val="000000" w:themeColor="text1"/>
                      <w:sz w:val="18"/>
                      <w:szCs w:val="18"/>
                      <w:lang w:eastAsia="zh-CN"/>
                      <w14:textFill>
                        <w14:solidFill>
                          <w14:schemeClr w14:val="tx1"/>
                        </w14:solidFill>
                      </w14:textFill>
                    </w:rPr>
                    <w:t>底漆，</w:t>
                  </w:r>
                  <w:r>
                    <w:rPr>
                      <w:rFonts w:hint="eastAsia"/>
                      <w:bCs/>
                      <w:sz w:val="18"/>
                      <w:szCs w:val="18"/>
                      <w:lang w:val="en-US" w:eastAsia="zh-CN"/>
                    </w:rPr>
                    <w:t>20kg/桶，最大储存量0.2t</w:t>
                  </w:r>
                </w:p>
              </w:tc>
            </w:tr>
            <w:tr w14:paraId="15321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2F31E9C6">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760601E1">
                  <w:pPr>
                    <w:jc w:val="center"/>
                    <w:rPr>
                      <w:rFonts w:hint="eastAsia"/>
                      <w:bCs/>
                      <w:sz w:val="18"/>
                      <w:szCs w:val="18"/>
                    </w:rPr>
                  </w:pPr>
                  <w:r>
                    <w:rPr>
                      <w:rFonts w:hint="eastAsia"/>
                      <w:sz w:val="18"/>
                      <w:szCs w:val="18"/>
                      <w:lang w:eastAsia="zh-CN"/>
                    </w:rPr>
                    <w:t>醇酸调合漆</w:t>
                  </w:r>
                </w:p>
              </w:tc>
              <w:tc>
                <w:tcPr>
                  <w:tcW w:w="1624" w:type="dxa"/>
                  <w:vAlign w:val="center"/>
                </w:tcPr>
                <w:p w14:paraId="51E34BF7">
                  <w:pPr>
                    <w:keepNext w:val="0"/>
                    <w:keepLines w:val="0"/>
                    <w:widowControl/>
                    <w:suppressLineNumbers w:val="0"/>
                    <w:jc w:val="center"/>
                    <w:textAlignment w:val="center"/>
                    <w:rPr>
                      <w:rFonts w:hint="default" w:ascii="Times New Roman" w:hAnsi="Times New Roman" w:cs="Times New Roman" w:eastAsiaTheme="minorEastAsia"/>
                      <w:color w:val="000000" w:themeColor="text1"/>
                      <w:sz w:val="18"/>
                      <w:szCs w:val="18"/>
                      <w:lang w:val="en-US" w:eastAsia="zh-CN"/>
                      <w14:textFill>
                        <w14:solidFill>
                          <w14:schemeClr w14:val="tx1"/>
                        </w14:solidFill>
                      </w14:textFill>
                    </w:rPr>
                  </w:pPr>
                  <w:r>
                    <w:rPr>
                      <w:rFonts w:hint="default" w:ascii="Times New Roman" w:hAnsi="Times New Roman" w:eastAsia="宋体" w:cs="Times New Roman"/>
                      <w:i w:val="0"/>
                      <w:iCs w:val="0"/>
                      <w:color w:val="000000"/>
                      <w:kern w:val="0"/>
                      <w:sz w:val="18"/>
                      <w:szCs w:val="18"/>
                      <w:u w:val="none"/>
                      <w:lang w:val="en-US" w:eastAsia="zh-CN" w:bidi="ar"/>
                    </w:rPr>
                    <w:t xml:space="preserve">0.84 </w:t>
                  </w:r>
                </w:p>
              </w:tc>
              <w:tc>
                <w:tcPr>
                  <w:tcW w:w="1477" w:type="dxa"/>
                  <w:vAlign w:val="center"/>
                </w:tcPr>
                <w:p w14:paraId="1931B945">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t</w:t>
                  </w:r>
                  <w:r>
                    <w:rPr>
                      <w:rFonts w:hint="eastAsia" w:eastAsiaTheme="minorEastAsia"/>
                      <w:color w:val="000000" w:themeColor="text1"/>
                      <w:sz w:val="18"/>
                      <w:szCs w:val="18"/>
                      <w:vertAlign w:val="baseline"/>
                      <w:lang w:val="en-US" w:eastAsia="zh-CN"/>
                      <w14:textFill>
                        <w14:solidFill>
                          <w14:schemeClr w14:val="tx1"/>
                        </w14:solidFill>
                      </w14:textFill>
                    </w:rPr>
                    <w:t>/a</w:t>
                  </w:r>
                </w:p>
              </w:tc>
              <w:tc>
                <w:tcPr>
                  <w:tcW w:w="2312" w:type="dxa"/>
                  <w:vAlign w:val="center"/>
                </w:tcPr>
                <w:p w14:paraId="0463347E">
                  <w:pPr>
                    <w:tabs>
                      <w:tab w:val="left" w:pos="1680"/>
                    </w:tabs>
                    <w:jc w:val="center"/>
                    <w:rPr>
                      <w:rFonts w:hint="eastAsia" w:eastAsiaTheme="minorEastAsia"/>
                      <w:color w:val="000000" w:themeColor="text1"/>
                      <w:sz w:val="18"/>
                      <w:szCs w:val="18"/>
                      <w:lang w:eastAsia="zh-CN"/>
                      <w14:textFill>
                        <w14:solidFill>
                          <w14:schemeClr w14:val="tx1"/>
                        </w14:solidFill>
                      </w14:textFill>
                    </w:rPr>
                  </w:pPr>
                  <w:r>
                    <w:rPr>
                      <w:rFonts w:hint="eastAsia"/>
                      <w:bCs/>
                      <w:sz w:val="18"/>
                      <w:szCs w:val="18"/>
                    </w:rPr>
                    <w:t>外购</w:t>
                  </w:r>
                  <w:r>
                    <w:rPr>
                      <w:rFonts w:hint="eastAsia"/>
                      <w:bCs/>
                      <w:sz w:val="18"/>
                      <w:szCs w:val="18"/>
                      <w:lang w:eastAsia="zh-CN"/>
                    </w:rPr>
                    <w:t>，</w:t>
                  </w:r>
                  <w:r>
                    <w:rPr>
                      <w:rFonts w:hint="eastAsia" w:eastAsiaTheme="minorEastAsia"/>
                      <w:color w:val="000000" w:themeColor="text1"/>
                      <w:sz w:val="18"/>
                      <w:szCs w:val="18"/>
                      <w:lang w:eastAsia="zh-CN"/>
                      <w14:textFill>
                        <w14:solidFill>
                          <w14:schemeClr w14:val="tx1"/>
                        </w14:solidFill>
                      </w14:textFill>
                    </w:rPr>
                    <w:t>面漆，</w:t>
                  </w:r>
                  <w:r>
                    <w:rPr>
                      <w:rFonts w:hint="eastAsia"/>
                      <w:bCs/>
                      <w:sz w:val="18"/>
                      <w:szCs w:val="18"/>
                      <w:lang w:val="en-US" w:eastAsia="zh-CN"/>
                    </w:rPr>
                    <w:t>20kg/桶，最大储存量0.15t</w:t>
                  </w:r>
                </w:p>
              </w:tc>
            </w:tr>
            <w:tr w14:paraId="33C56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54731E46">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18EF65BD">
                  <w:pPr>
                    <w:jc w:val="center"/>
                    <w:rPr>
                      <w:rFonts w:hint="eastAsia" w:eastAsia="宋体"/>
                      <w:bCs/>
                      <w:sz w:val="18"/>
                      <w:szCs w:val="18"/>
                      <w:lang w:eastAsia="zh-CN"/>
                    </w:rPr>
                  </w:pPr>
                  <w:r>
                    <w:rPr>
                      <w:rFonts w:hint="eastAsia"/>
                      <w:bCs/>
                      <w:sz w:val="18"/>
                      <w:szCs w:val="18"/>
                      <w:lang w:eastAsia="zh-CN"/>
                    </w:rPr>
                    <w:t>稀释剂</w:t>
                  </w:r>
                </w:p>
              </w:tc>
              <w:tc>
                <w:tcPr>
                  <w:tcW w:w="1624" w:type="dxa"/>
                  <w:vAlign w:val="center"/>
                </w:tcPr>
                <w:p w14:paraId="37FF7FFB">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0.72</w:t>
                  </w:r>
                </w:p>
              </w:tc>
              <w:tc>
                <w:tcPr>
                  <w:tcW w:w="1477" w:type="dxa"/>
                  <w:vAlign w:val="center"/>
                </w:tcPr>
                <w:p w14:paraId="6E184C01">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t</w:t>
                  </w:r>
                  <w:r>
                    <w:rPr>
                      <w:rFonts w:hint="eastAsia" w:eastAsiaTheme="minorEastAsia"/>
                      <w:color w:val="000000" w:themeColor="text1"/>
                      <w:sz w:val="18"/>
                      <w:szCs w:val="18"/>
                      <w:vertAlign w:val="baseline"/>
                      <w:lang w:val="en-US" w:eastAsia="zh-CN"/>
                      <w14:textFill>
                        <w14:solidFill>
                          <w14:schemeClr w14:val="tx1"/>
                        </w14:solidFill>
                      </w14:textFill>
                    </w:rPr>
                    <w:t>/a</w:t>
                  </w:r>
                </w:p>
              </w:tc>
              <w:tc>
                <w:tcPr>
                  <w:tcW w:w="2312" w:type="dxa"/>
                  <w:vAlign w:val="center"/>
                </w:tcPr>
                <w:p w14:paraId="4E8FA46E">
                  <w:pPr>
                    <w:tabs>
                      <w:tab w:val="left" w:pos="1680"/>
                    </w:tabs>
                    <w:jc w:val="center"/>
                    <w:rPr>
                      <w:rFonts w:hint="eastAsia" w:eastAsiaTheme="minorEastAsia"/>
                      <w:color w:val="000000" w:themeColor="text1"/>
                      <w:sz w:val="18"/>
                      <w:szCs w:val="18"/>
                      <w:lang w:eastAsia="zh-CN"/>
                      <w14:textFill>
                        <w14:solidFill>
                          <w14:schemeClr w14:val="tx1"/>
                        </w14:solidFill>
                      </w14:textFill>
                    </w:rPr>
                  </w:pPr>
                  <w:r>
                    <w:rPr>
                      <w:rFonts w:hint="eastAsia"/>
                      <w:bCs/>
                      <w:sz w:val="18"/>
                      <w:szCs w:val="18"/>
                      <w:lang w:val="en-US" w:eastAsia="zh-CN"/>
                    </w:rPr>
                    <w:t>外购，20kg/桶，最大储存量0.15t</w:t>
                  </w:r>
                </w:p>
              </w:tc>
            </w:tr>
            <w:tr w14:paraId="7BE86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27350828">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20444E5D">
                  <w:pPr>
                    <w:jc w:val="center"/>
                    <w:rPr>
                      <w:rFonts w:hint="eastAsia" w:eastAsia="宋体"/>
                      <w:bCs/>
                      <w:sz w:val="18"/>
                      <w:szCs w:val="18"/>
                      <w:highlight w:val="none"/>
                      <w:lang w:eastAsia="zh-CN"/>
                    </w:rPr>
                  </w:pPr>
                  <w:r>
                    <w:rPr>
                      <w:b w:val="0"/>
                      <w:bCs w:val="0"/>
                      <w:sz w:val="18"/>
                      <w:szCs w:val="18"/>
                      <w:highlight w:val="none"/>
                      <w:shd w:val="clear" w:color="auto" w:fill="FFFFFF"/>
                    </w:rPr>
                    <w:t>无溶剂浸渍树脂</w:t>
                  </w:r>
                </w:p>
              </w:tc>
              <w:tc>
                <w:tcPr>
                  <w:tcW w:w="1624" w:type="dxa"/>
                  <w:vAlign w:val="center"/>
                </w:tcPr>
                <w:p w14:paraId="708AABD3">
                  <w:pPr>
                    <w:jc w:val="center"/>
                    <w:rPr>
                      <w:rFonts w:hint="default"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0.1</w:t>
                  </w:r>
                </w:p>
              </w:tc>
              <w:tc>
                <w:tcPr>
                  <w:tcW w:w="1477" w:type="dxa"/>
                  <w:vAlign w:val="center"/>
                </w:tcPr>
                <w:p w14:paraId="15AA60DE">
                  <w:pPr>
                    <w:jc w:val="center"/>
                    <w:rPr>
                      <w:rFonts w:hint="eastAsia"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t</w:t>
                  </w:r>
                  <w:r>
                    <w:rPr>
                      <w:rFonts w:hint="eastAsia" w:eastAsiaTheme="minorEastAsia"/>
                      <w:color w:val="000000" w:themeColor="text1"/>
                      <w:sz w:val="18"/>
                      <w:szCs w:val="18"/>
                      <w:highlight w:val="none"/>
                      <w:vertAlign w:val="baseline"/>
                      <w:lang w:val="en-US" w:eastAsia="zh-CN"/>
                      <w14:textFill>
                        <w14:solidFill>
                          <w14:schemeClr w14:val="tx1"/>
                        </w14:solidFill>
                      </w14:textFill>
                    </w:rPr>
                    <w:t>/a</w:t>
                  </w:r>
                </w:p>
              </w:tc>
              <w:tc>
                <w:tcPr>
                  <w:tcW w:w="2312" w:type="dxa"/>
                  <w:vAlign w:val="center"/>
                </w:tcPr>
                <w:p w14:paraId="02B8F293">
                  <w:pPr>
                    <w:tabs>
                      <w:tab w:val="left" w:pos="1680"/>
                    </w:tabs>
                    <w:jc w:val="center"/>
                    <w:rPr>
                      <w:rFonts w:hint="default" w:eastAsia="宋体"/>
                      <w:bCs/>
                      <w:sz w:val="18"/>
                      <w:szCs w:val="18"/>
                      <w:highlight w:val="none"/>
                      <w:lang w:val="en-US" w:eastAsia="zh-CN"/>
                    </w:rPr>
                  </w:pPr>
                  <w:r>
                    <w:rPr>
                      <w:rFonts w:hint="eastAsia"/>
                      <w:bCs/>
                      <w:sz w:val="18"/>
                      <w:szCs w:val="18"/>
                      <w:highlight w:val="none"/>
                      <w:lang w:val="en-US" w:eastAsia="zh-CN"/>
                    </w:rPr>
                    <w:t>外购，</w:t>
                  </w:r>
                  <w:r>
                    <w:rPr>
                      <w:rFonts w:hint="eastAsia"/>
                      <w:bCs/>
                      <w:sz w:val="18"/>
                      <w:szCs w:val="18"/>
                      <w:lang w:val="en-US" w:eastAsia="zh-CN"/>
                    </w:rPr>
                    <w:t>20kg/桶，</w:t>
                  </w:r>
                  <w:r>
                    <w:rPr>
                      <w:rFonts w:hint="eastAsia"/>
                      <w:b w:val="0"/>
                      <w:bCs w:val="0"/>
                      <w:sz w:val="18"/>
                      <w:szCs w:val="18"/>
                      <w:highlight w:val="none"/>
                      <w:shd w:val="clear" w:color="auto" w:fill="FFFFFF"/>
                      <w:lang w:val="en-US" w:eastAsia="zh-CN"/>
                    </w:rPr>
                    <w:t>绝缘漆</w:t>
                  </w:r>
                  <w:r>
                    <w:rPr>
                      <w:rFonts w:hint="eastAsia"/>
                      <w:b w:val="0"/>
                      <w:bCs w:val="0"/>
                      <w:sz w:val="18"/>
                      <w:szCs w:val="18"/>
                      <w:highlight w:val="none"/>
                      <w:shd w:val="clear" w:color="auto" w:fill="FFFFFF"/>
                      <w:lang w:eastAsia="zh-CN"/>
                    </w:rPr>
                    <w:t>，</w:t>
                  </w:r>
                  <w:r>
                    <w:rPr>
                      <w:rFonts w:hint="eastAsia"/>
                      <w:b w:val="0"/>
                      <w:bCs w:val="0"/>
                      <w:sz w:val="18"/>
                      <w:szCs w:val="18"/>
                      <w:highlight w:val="none"/>
                      <w:shd w:val="clear" w:color="auto" w:fill="FFFFFF"/>
                      <w:lang w:val="en-US" w:eastAsia="zh-CN"/>
                    </w:rPr>
                    <w:t>最大储存量0.1t</w:t>
                  </w:r>
                </w:p>
              </w:tc>
            </w:tr>
            <w:tr w14:paraId="35AE1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14C99EBF">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47004D10">
                  <w:pPr>
                    <w:jc w:val="center"/>
                    <w:rPr>
                      <w:rFonts w:hint="default"/>
                      <w:bCs/>
                      <w:sz w:val="18"/>
                      <w:szCs w:val="18"/>
                      <w:lang w:val="en-US" w:eastAsia="zh-CN"/>
                    </w:rPr>
                  </w:pPr>
                  <w:r>
                    <w:rPr>
                      <w:rFonts w:hint="eastAsia"/>
                      <w:bCs/>
                      <w:sz w:val="18"/>
                      <w:szCs w:val="18"/>
                      <w:lang w:eastAsia="zh-CN"/>
                    </w:rPr>
                    <w:t>泵体坯体</w:t>
                  </w:r>
                </w:p>
              </w:tc>
              <w:tc>
                <w:tcPr>
                  <w:tcW w:w="1624" w:type="dxa"/>
                  <w:vAlign w:val="center"/>
                </w:tcPr>
                <w:p w14:paraId="73413407">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1800</w:t>
                  </w:r>
                </w:p>
              </w:tc>
              <w:tc>
                <w:tcPr>
                  <w:tcW w:w="1477" w:type="dxa"/>
                  <w:vAlign w:val="center"/>
                </w:tcPr>
                <w:p w14:paraId="03A880ED">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套/a</w:t>
                  </w:r>
                </w:p>
              </w:tc>
              <w:tc>
                <w:tcPr>
                  <w:tcW w:w="2312" w:type="dxa"/>
                  <w:vAlign w:val="center"/>
                </w:tcPr>
                <w:p w14:paraId="3FEC78E4">
                  <w:pPr>
                    <w:jc w:val="center"/>
                    <w:rPr>
                      <w:rFonts w:hint="eastAsia"/>
                      <w:bCs/>
                      <w:sz w:val="18"/>
                      <w:szCs w:val="18"/>
                      <w:lang w:val="en-US" w:eastAsia="zh-CN"/>
                    </w:rPr>
                  </w:pPr>
                  <w:r>
                    <w:rPr>
                      <w:rFonts w:hint="eastAsia"/>
                      <w:bCs/>
                      <w:sz w:val="18"/>
                      <w:szCs w:val="18"/>
                      <w:lang w:val="en-US" w:eastAsia="zh-CN"/>
                    </w:rPr>
                    <w:t>外购</w:t>
                  </w:r>
                </w:p>
              </w:tc>
            </w:tr>
            <w:tr w14:paraId="43644E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2F02C5D3">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075932BD">
                  <w:pPr>
                    <w:jc w:val="center"/>
                    <w:rPr>
                      <w:rFonts w:hint="eastAsia"/>
                      <w:bCs/>
                      <w:sz w:val="18"/>
                      <w:szCs w:val="18"/>
                      <w:lang w:eastAsia="zh-CN"/>
                    </w:rPr>
                  </w:pPr>
                  <w:r>
                    <w:rPr>
                      <w:rFonts w:hint="eastAsia"/>
                      <w:bCs/>
                      <w:sz w:val="18"/>
                      <w:szCs w:val="18"/>
                      <w:lang w:eastAsia="zh-CN"/>
                    </w:rPr>
                    <w:t>叶轮</w:t>
                  </w:r>
                </w:p>
              </w:tc>
              <w:tc>
                <w:tcPr>
                  <w:tcW w:w="1624" w:type="dxa"/>
                  <w:vAlign w:val="center"/>
                </w:tcPr>
                <w:p w14:paraId="12C29954">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1800</w:t>
                  </w:r>
                </w:p>
              </w:tc>
              <w:tc>
                <w:tcPr>
                  <w:tcW w:w="1477" w:type="dxa"/>
                  <w:vAlign w:val="center"/>
                </w:tcPr>
                <w:p w14:paraId="49FF975E">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套/a</w:t>
                  </w:r>
                </w:p>
              </w:tc>
              <w:tc>
                <w:tcPr>
                  <w:tcW w:w="2312" w:type="dxa"/>
                  <w:vAlign w:val="center"/>
                </w:tcPr>
                <w:p w14:paraId="46726B47">
                  <w:pPr>
                    <w:jc w:val="center"/>
                    <w:rPr>
                      <w:rFonts w:hint="eastAsia"/>
                      <w:bCs/>
                      <w:sz w:val="18"/>
                      <w:szCs w:val="18"/>
                      <w:lang w:val="en-US" w:eastAsia="zh-CN"/>
                    </w:rPr>
                  </w:pPr>
                  <w:r>
                    <w:rPr>
                      <w:rFonts w:hint="eastAsia"/>
                      <w:bCs/>
                      <w:sz w:val="18"/>
                      <w:szCs w:val="18"/>
                      <w:lang w:val="en-US" w:eastAsia="zh-CN"/>
                    </w:rPr>
                    <w:t>外购</w:t>
                  </w:r>
                </w:p>
              </w:tc>
            </w:tr>
            <w:tr w14:paraId="411778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4359601D">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5F13E27B">
                  <w:pPr>
                    <w:jc w:val="center"/>
                    <w:rPr>
                      <w:rFonts w:hint="eastAsia"/>
                      <w:bCs/>
                      <w:sz w:val="18"/>
                      <w:szCs w:val="18"/>
                      <w:highlight w:val="none"/>
                      <w:lang w:eastAsia="zh-CN"/>
                    </w:rPr>
                  </w:pPr>
                  <w:r>
                    <w:rPr>
                      <w:rFonts w:hint="eastAsia"/>
                      <w:bCs/>
                      <w:sz w:val="18"/>
                      <w:szCs w:val="18"/>
                      <w:highlight w:val="none"/>
                      <w:lang w:eastAsia="zh-CN"/>
                    </w:rPr>
                    <w:t>电机配件</w:t>
                  </w:r>
                </w:p>
              </w:tc>
              <w:tc>
                <w:tcPr>
                  <w:tcW w:w="1624" w:type="dxa"/>
                  <w:vAlign w:val="center"/>
                </w:tcPr>
                <w:p w14:paraId="0E3D2B26">
                  <w:pPr>
                    <w:jc w:val="center"/>
                    <w:rPr>
                      <w:rFonts w:hint="eastAsia"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1800</w:t>
                  </w:r>
                </w:p>
              </w:tc>
              <w:tc>
                <w:tcPr>
                  <w:tcW w:w="1477" w:type="dxa"/>
                  <w:vAlign w:val="center"/>
                </w:tcPr>
                <w:p w14:paraId="1A21FFB3">
                  <w:pPr>
                    <w:jc w:val="center"/>
                    <w:rPr>
                      <w:rFonts w:hint="eastAsia" w:eastAsiaTheme="minorEastAsia"/>
                      <w:color w:val="000000" w:themeColor="text1"/>
                      <w:sz w:val="18"/>
                      <w:szCs w:val="18"/>
                      <w:highlight w:val="none"/>
                      <w:lang w:val="en-US" w:eastAsia="zh-CN"/>
                      <w14:textFill>
                        <w14:solidFill>
                          <w14:schemeClr w14:val="tx1"/>
                        </w14:solidFill>
                      </w14:textFill>
                    </w:rPr>
                  </w:pPr>
                  <w:r>
                    <w:rPr>
                      <w:rFonts w:hint="eastAsia" w:eastAsiaTheme="minorEastAsia"/>
                      <w:color w:val="000000" w:themeColor="text1"/>
                      <w:sz w:val="18"/>
                      <w:szCs w:val="18"/>
                      <w:highlight w:val="none"/>
                      <w:lang w:val="en-US" w:eastAsia="zh-CN"/>
                      <w14:textFill>
                        <w14:solidFill>
                          <w14:schemeClr w14:val="tx1"/>
                        </w14:solidFill>
                      </w14:textFill>
                    </w:rPr>
                    <w:t>套/a</w:t>
                  </w:r>
                </w:p>
              </w:tc>
              <w:tc>
                <w:tcPr>
                  <w:tcW w:w="2312" w:type="dxa"/>
                  <w:vAlign w:val="center"/>
                </w:tcPr>
                <w:p w14:paraId="2D736232">
                  <w:pPr>
                    <w:jc w:val="center"/>
                    <w:rPr>
                      <w:rFonts w:hint="eastAsia"/>
                      <w:bCs/>
                      <w:sz w:val="18"/>
                      <w:szCs w:val="18"/>
                      <w:highlight w:val="none"/>
                      <w:lang w:val="en-US" w:eastAsia="zh-CN"/>
                    </w:rPr>
                  </w:pPr>
                  <w:r>
                    <w:rPr>
                      <w:rFonts w:hint="eastAsia"/>
                      <w:bCs/>
                      <w:sz w:val="18"/>
                      <w:szCs w:val="18"/>
                      <w:highlight w:val="none"/>
                      <w:lang w:val="en-US" w:eastAsia="zh-CN"/>
                    </w:rPr>
                    <w:t>外购，含机加工件等</w:t>
                  </w:r>
                </w:p>
              </w:tc>
            </w:tr>
            <w:tr w14:paraId="21A30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6F69DA83">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5C414F01">
                  <w:pPr>
                    <w:jc w:val="center"/>
                    <w:rPr>
                      <w:rFonts w:hint="eastAsia"/>
                      <w:bCs/>
                      <w:sz w:val="18"/>
                      <w:szCs w:val="18"/>
                      <w:lang w:eastAsia="zh-CN"/>
                    </w:rPr>
                  </w:pPr>
                  <w:r>
                    <w:rPr>
                      <w:rFonts w:hint="eastAsia"/>
                      <w:bCs/>
                      <w:sz w:val="18"/>
                      <w:szCs w:val="18"/>
                      <w:lang w:eastAsia="zh-CN"/>
                    </w:rPr>
                    <w:t>机封、法兰</w:t>
                  </w:r>
                </w:p>
              </w:tc>
              <w:tc>
                <w:tcPr>
                  <w:tcW w:w="1624" w:type="dxa"/>
                  <w:vAlign w:val="center"/>
                </w:tcPr>
                <w:p w14:paraId="07D8E2AC">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1800</w:t>
                  </w:r>
                </w:p>
              </w:tc>
              <w:tc>
                <w:tcPr>
                  <w:tcW w:w="1477" w:type="dxa"/>
                  <w:vAlign w:val="center"/>
                </w:tcPr>
                <w:p w14:paraId="7138AEFF">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套/a</w:t>
                  </w:r>
                </w:p>
              </w:tc>
              <w:tc>
                <w:tcPr>
                  <w:tcW w:w="2312" w:type="dxa"/>
                  <w:vAlign w:val="center"/>
                </w:tcPr>
                <w:p w14:paraId="4F83B0D3">
                  <w:pPr>
                    <w:jc w:val="center"/>
                    <w:rPr>
                      <w:rFonts w:hint="eastAsia"/>
                      <w:bCs/>
                      <w:sz w:val="18"/>
                      <w:szCs w:val="18"/>
                      <w:lang w:val="en-US" w:eastAsia="zh-CN"/>
                    </w:rPr>
                  </w:pPr>
                  <w:r>
                    <w:rPr>
                      <w:rFonts w:hint="eastAsia"/>
                      <w:bCs/>
                      <w:sz w:val="18"/>
                      <w:szCs w:val="18"/>
                      <w:lang w:val="en-US" w:eastAsia="zh-CN"/>
                    </w:rPr>
                    <w:t>外购</w:t>
                  </w:r>
                </w:p>
              </w:tc>
            </w:tr>
            <w:tr w14:paraId="53A83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427C3DA1">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7530DDF3">
                  <w:pPr>
                    <w:jc w:val="center"/>
                    <w:rPr>
                      <w:rFonts w:hint="eastAsia"/>
                      <w:bCs/>
                      <w:sz w:val="18"/>
                      <w:szCs w:val="18"/>
                      <w:lang w:eastAsia="zh-CN"/>
                    </w:rPr>
                  </w:pPr>
                  <w:r>
                    <w:rPr>
                      <w:rFonts w:hint="eastAsia"/>
                      <w:bCs/>
                      <w:sz w:val="18"/>
                      <w:szCs w:val="18"/>
                      <w:lang w:eastAsia="zh-CN"/>
                    </w:rPr>
                    <w:t>螺栓五金件</w:t>
                  </w:r>
                </w:p>
              </w:tc>
              <w:tc>
                <w:tcPr>
                  <w:tcW w:w="1624" w:type="dxa"/>
                  <w:vAlign w:val="center"/>
                </w:tcPr>
                <w:p w14:paraId="12E33668">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1800</w:t>
                  </w:r>
                </w:p>
              </w:tc>
              <w:tc>
                <w:tcPr>
                  <w:tcW w:w="1477" w:type="dxa"/>
                  <w:vAlign w:val="center"/>
                </w:tcPr>
                <w:p w14:paraId="3C35CB67">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套/a</w:t>
                  </w:r>
                </w:p>
              </w:tc>
              <w:tc>
                <w:tcPr>
                  <w:tcW w:w="2312" w:type="dxa"/>
                  <w:vAlign w:val="center"/>
                </w:tcPr>
                <w:p w14:paraId="530B328D">
                  <w:pPr>
                    <w:jc w:val="center"/>
                    <w:rPr>
                      <w:rFonts w:hint="eastAsia"/>
                      <w:bCs/>
                      <w:sz w:val="18"/>
                      <w:szCs w:val="18"/>
                      <w:lang w:val="en-US" w:eastAsia="zh-CN"/>
                    </w:rPr>
                  </w:pPr>
                  <w:r>
                    <w:rPr>
                      <w:rFonts w:hint="eastAsia"/>
                      <w:bCs/>
                      <w:sz w:val="18"/>
                      <w:szCs w:val="18"/>
                      <w:lang w:val="en-US" w:eastAsia="zh-CN"/>
                    </w:rPr>
                    <w:t>外购</w:t>
                  </w:r>
                </w:p>
              </w:tc>
            </w:tr>
            <w:tr w14:paraId="26064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4B08CF0C">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1260563F">
                  <w:pPr>
                    <w:jc w:val="center"/>
                    <w:rPr>
                      <w:rFonts w:hint="eastAsia"/>
                      <w:bCs/>
                      <w:sz w:val="18"/>
                      <w:szCs w:val="18"/>
                      <w:lang w:eastAsia="zh-CN"/>
                    </w:rPr>
                  </w:pPr>
                  <w:r>
                    <w:rPr>
                      <w:rFonts w:hint="eastAsia"/>
                      <w:bCs/>
                      <w:sz w:val="18"/>
                      <w:szCs w:val="18"/>
                      <w:lang w:eastAsia="zh-CN"/>
                    </w:rPr>
                    <w:t>电器元件</w:t>
                  </w:r>
                </w:p>
              </w:tc>
              <w:tc>
                <w:tcPr>
                  <w:tcW w:w="1624" w:type="dxa"/>
                  <w:vAlign w:val="center"/>
                </w:tcPr>
                <w:p w14:paraId="2D31AE99">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1100</w:t>
                  </w:r>
                </w:p>
              </w:tc>
              <w:tc>
                <w:tcPr>
                  <w:tcW w:w="1477" w:type="dxa"/>
                  <w:vAlign w:val="center"/>
                </w:tcPr>
                <w:p w14:paraId="256AA0D2">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套/a</w:t>
                  </w:r>
                </w:p>
              </w:tc>
              <w:tc>
                <w:tcPr>
                  <w:tcW w:w="2312" w:type="dxa"/>
                  <w:vAlign w:val="center"/>
                </w:tcPr>
                <w:p w14:paraId="1C5B255A">
                  <w:pPr>
                    <w:jc w:val="center"/>
                    <w:rPr>
                      <w:rFonts w:hint="eastAsia"/>
                      <w:bCs/>
                      <w:sz w:val="18"/>
                      <w:szCs w:val="18"/>
                      <w:lang w:val="en-US" w:eastAsia="zh-CN"/>
                    </w:rPr>
                  </w:pPr>
                  <w:r>
                    <w:rPr>
                      <w:rFonts w:hint="eastAsia"/>
                      <w:bCs/>
                      <w:sz w:val="18"/>
                      <w:szCs w:val="18"/>
                      <w:lang w:val="en-US" w:eastAsia="zh-CN"/>
                    </w:rPr>
                    <w:t>外购</w:t>
                  </w:r>
                </w:p>
              </w:tc>
            </w:tr>
            <w:tr w14:paraId="4BB1B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1BAA9ACB">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627826DE">
                  <w:pPr>
                    <w:jc w:val="center"/>
                    <w:rPr>
                      <w:rFonts w:hint="eastAsia"/>
                      <w:bCs/>
                      <w:sz w:val="18"/>
                      <w:szCs w:val="18"/>
                      <w:lang w:eastAsia="zh-CN"/>
                    </w:rPr>
                  </w:pPr>
                  <w:r>
                    <w:rPr>
                      <w:rFonts w:hint="eastAsia"/>
                      <w:bCs/>
                      <w:sz w:val="18"/>
                      <w:szCs w:val="18"/>
                      <w:lang w:eastAsia="zh-CN"/>
                    </w:rPr>
                    <w:t>电源线</w:t>
                  </w:r>
                </w:p>
              </w:tc>
              <w:tc>
                <w:tcPr>
                  <w:tcW w:w="1624" w:type="dxa"/>
                  <w:vAlign w:val="center"/>
                </w:tcPr>
                <w:p w14:paraId="1DF5BB82">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1</w:t>
                  </w:r>
                </w:p>
              </w:tc>
              <w:tc>
                <w:tcPr>
                  <w:tcW w:w="1477" w:type="dxa"/>
                  <w:vAlign w:val="center"/>
                </w:tcPr>
                <w:p w14:paraId="145F7286">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t/a</w:t>
                  </w:r>
                </w:p>
              </w:tc>
              <w:tc>
                <w:tcPr>
                  <w:tcW w:w="2312" w:type="dxa"/>
                  <w:vAlign w:val="center"/>
                </w:tcPr>
                <w:p w14:paraId="009FB14C">
                  <w:pPr>
                    <w:jc w:val="center"/>
                    <w:rPr>
                      <w:rFonts w:hint="eastAsia"/>
                      <w:bCs/>
                      <w:sz w:val="18"/>
                      <w:szCs w:val="18"/>
                      <w:lang w:val="en-US" w:eastAsia="zh-CN"/>
                    </w:rPr>
                  </w:pPr>
                  <w:r>
                    <w:rPr>
                      <w:rFonts w:hint="eastAsia"/>
                      <w:bCs/>
                      <w:sz w:val="18"/>
                      <w:szCs w:val="18"/>
                      <w:lang w:val="en-US" w:eastAsia="zh-CN"/>
                    </w:rPr>
                    <w:t>外购</w:t>
                  </w:r>
                </w:p>
              </w:tc>
            </w:tr>
            <w:tr w14:paraId="4508C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3333D39F">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01F0F7BB">
                  <w:pPr>
                    <w:jc w:val="center"/>
                    <w:rPr>
                      <w:rFonts w:hint="default"/>
                      <w:bCs/>
                      <w:sz w:val="18"/>
                      <w:szCs w:val="18"/>
                      <w:lang w:val="en-US" w:eastAsia="zh-CN"/>
                    </w:rPr>
                  </w:pPr>
                  <w:r>
                    <w:rPr>
                      <w:rFonts w:hint="eastAsia"/>
                      <w:bCs/>
                      <w:sz w:val="18"/>
                      <w:szCs w:val="18"/>
                      <w:lang w:val="en-US" w:eastAsia="zh-CN"/>
                    </w:rPr>
                    <w:t>焊丝</w:t>
                  </w:r>
                </w:p>
              </w:tc>
              <w:tc>
                <w:tcPr>
                  <w:tcW w:w="1624" w:type="dxa"/>
                  <w:vAlign w:val="center"/>
                </w:tcPr>
                <w:p w14:paraId="78FE69FB">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6</w:t>
                  </w:r>
                </w:p>
              </w:tc>
              <w:tc>
                <w:tcPr>
                  <w:tcW w:w="1477" w:type="dxa"/>
                  <w:vAlign w:val="center"/>
                </w:tcPr>
                <w:p w14:paraId="7FF8D433">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t/a</w:t>
                  </w:r>
                </w:p>
              </w:tc>
              <w:tc>
                <w:tcPr>
                  <w:tcW w:w="2312" w:type="dxa"/>
                  <w:vAlign w:val="center"/>
                </w:tcPr>
                <w:p w14:paraId="519E8F04">
                  <w:pPr>
                    <w:jc w:val="center"/>
                    <w:rPr>
                      <w:rFonts w:hint="eastAsia"/>
                      <w:bCs/>
                      <w:sz w:val="18"/>
                      <w:szCs w:val="18"/>
                      <w:lang w:val="en-US" w:eastAsia="zh-CN"/>
                    </w:rPr>
                  </w:pPr>
                  <w:r>
                    <w:rPr>
                      <w:rFonts w:hint="eastAsia"/>
                      <w:bCs/>
                      <w:sz w:val="18"/>
                      <w:szCs w:val="18"/>
                      <w:lang w:val="en-US" w:eastAsia="zh-CN"/>
                    </w:rPr>
                    <w:t>外购</w:t>
                  </w:r>
                </w:p>
              </w:tc>
            </w:tr>
            <w:tr w14:paraId="669E1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3E833FF4">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3D2B694F">
                  <w:pPr>
                    <w:jc w:val="center"/>
                    <w:rPr>
                      <w:rFonts w:hint="default"/>
                      <w:bCs/>
                      <w:sz w:val="18"/>
                      <w:szCs w:val="18"/>
                      <w:lang w:val="en-US" w:eastAsia="zh-CN"/>
                    </w:rPr>
                  </w:pPr>
                  <w:r>
                    <w:rPr>
                      <w:rFonts w:hint="eastAsia"/>
                      <w:bCs/>
                      <w:sz w:val="18"/>
                      <w:szCs w:val="18"/>
                      <w:lang w:val="en-US" w:eastAsia="zh-CN"/>
                    </w:rPr>
                    <w:t>焊条</w:t>
                  </w:r>
                </w:p>
              </w:tc>
              <w:tc>
                <w:tcPr>
                  <w:tcW w:w="1624" w:type="dxa"/>
                  <w:vAlign w:val="center"/>
                </w:tcPr>
                <w:p w14:paraId="07C34933">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5</w:t>
                  </w:r>
                </w:p>
              </w:tc>
              <w:tc>
                <w:tcPr>
                  <w:tcW w:w="1477" w:type="dxa"/>
                  <w:vAlign w:val="center"/>
                </w:tcPr>
                <w:p w14:paraId="77969E9E">
                  <w:pPr>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t/a</w:t>
                  </w:r>
                </w:p>
              </w:tc>
              <w:tc>
                <w:tcPr>
                  <w:tcW w:w="2312" w:type="dxa"/>
                  <w:vAlign w:val="center"/>
                </w:tcPr>
                <w:p w14:paraId="42195675">
                  <w:pPr>
                    <w:jc w:val="center"/>
                    <w:rPr>
                      <w:rFonts w:hint="eastAsia"/>
                      <w:bCs/>
                      <w:sz w:val="18"/>
                      <w:szCs w:val="18"/>
                      <w:lang w:val="en-US" w:eastAsia="zh-CN"/>
                    </w:rPr>
                  </w:pPr>
                  <w:r>
                    <w:rPr>
                      <w:rFonts w:hint="eastAsia"/>
                      <w:bCs/>
                      <w:sz w:val="18"/>
                      <w:szCs w:val="18"/>
                      <w:lang w:val="en-US" w:eastAsia="zh-CN"/>
                    </w:rPr>
                    <w:t>外购</w:t>
                  </w:r>
                </w:p>
              </w:tc>
            </w:tr>
            <w:tr w14:paraId="5314E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3AD79C19">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411FF310">
                  <w:pPr>
                    <w:jc w:val="center"/>
                    <w:rPr>
                      <w:rFonts w:hint="eastAsia"/>
                      <w:bCs/>
                      <w:sz w:val="18"/>
                      <w:szCs w:val="18"/>
                      <w:lang w:eastAsia="zh-CN"/>
                    </w:rPr>
                  </w:pPr>
                  <w:r>
                    <w:rPr>
                      <w:rFonts w:hint="eastAsia"/>
                      <w:bCs/>
                      <w:sz w:val="18"/>
                      <w:szCs w:val="18"/>
                      <w:lang w:eastAsia="zh-CN"/>
                    </w:rPr>
                    <w:t>包装材料</w:t>
                  </w:r>
                </w:p>
              </w:tc>
              <w:tc>
                <w:tcPr>
                  <w:tcW w:w="1624" w:type="dxa"/>
                  <w:vAlign w:val="center"/>
                </w:tcPr>
                <w:p w14:paraId="60F20AFA">
                  <w:pPr>
                    <w:jc w:val="center"/>
                    <w:rPr>
                      <w:rFonts w:hint="default"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5</w:t>
                  </w:r>
                </w:p>
              </w:tc>
              <w:tc>
                <w:tcPr>
                  <w:tcW w:w="1477" w:type="dxa"/>
                  <w:vAlign w:val="center"/>
                </w:tcPr>
                <w:p w14:paraId="2B501E92">
                  <w:pPr>
                    <w:jc w:val="center"/>
                    <w:rPr>
                      <w:rFonts w:hint="default"/>
                      <w:lang w:val="en-US" w:eastAsia="zh-CN"/>
                    </w:rPr>
                  </w:pPr>
                  <w:r>
                    <w:rPr>
                      <w:rFonts w:hint="eastAsia" w:eastAsiaTheme="minorEastAsia"/>
                      <w:color w:val="000000" w:themeColor="text1"/>
                      <w:sz w:val="18"/>
                      <w:szCs w:val="18"/>
                      <w:lang w:val="en-US" w:eastAsia="zh-CN"/>
                      <w14:textFill>
                        <w14:solidFill>
                          <w14:schemeClr w14:val="tx1"/>
                        </w14:solidFill>
                      </w14:textFill>
                    </w:rPr>
                    <w:t>t/a</w:t>
                  </w:r>
                </w:p>
              </w:tc>
              <w:tc>
                <w:tcPr>
                  <w:tcW w:w="2312" w:type="dxa"/>
                  <w:vAlign w:val="center"/>
                </w:tcPr>
                <w:p w14:paraId="549B8FC1">
                  <w:pPr>
                    <w:jc w:val="center"/>
                    <w:rPr>
                      <w:rFonts w:hint="eastAsia"/>
                      <w:bCs/>
                      <w:sz w:val="18"/>
                      <w:szCs w:val="18"/>
                      <w:lang w:val="en-US" w:eastAsia="zh-CN"/>
                    </w:rPr>
                  </w:pPr>
                  <w:r>
                    <w:rPr>
                      <w:rFonts w:hint="eastAsia"/>
                      <w:bCs/>
                      <w:sz w:val="18"/>
                      <w:szCs w:val="18"/>
                      <w:lang w:val="en-US" w:eastAsia="zh-CN"/>
                    </w:rPr>
                    <w:t>外购</w:t>
                  </w:r>
                </w:p>
              </w:tc>
            </w:tr>
            <w:tr w14:paraId="57A9E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240F26C7">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3DD6E8AC">
                  <w:pPr>
                    <w:jc w:val="center"/>
                    <w:rPr>
                      <w:rFonts w:hint="eastAsia"/>
                      <w:bCs/>
                      <w:sz w:val="18"/>
                      <w:szCs w:val="18"/>
                    </w:rPr>
                  </w:pPr>
                  <w:r>
                    <w:rPr>
                      <w:rFonts w:hint="eastAsia"/>
                      <w:sz w:val="18"/>
                      <w:szCs w:val="18"/>
                    </w:rPr>
                    <w:t>水</w:t>
                  </w:r>
                </w:p>
              </w:tc>
              <w:tc>
                <w:tcPr>
                  <w:tcW w:w="1624" w:type="dxa"/>
                  <w:vAlign w:val="center"/>
                </w:tcPr>
                <w:p w14:paraId="54F2B086">
                  <w:pPr>
                    <w:jc w:val="center"/>
                    <w:rPr>
                      <w:rFonts w:hint="default" w:eastAsiaTheme="minorEastAsia"/>
                      <w:color w:val="000000" w:themeColor="text1"/>
                      <w:sz w:val="18"/>
                      <w:szCs w:val="18"/>
                      <w:highlight w:val="none"/>
                      <w:lang w:val="en-US" w:eastAsia="zh-CN"/>
                      <w14:textFill>
                        <w14:solidFill>
                          <w14:schemeClr w14:val="tx1"/>
                        </w14:solidFill>
                      </w14:textFill>
                    </w:rPr>
                  </w:pPr>
                  <w:r>
                    <w:rPr>
                      <w:rFonts w:hint="eastAsia" w:eastAsiaTheme="minorEastAsia"/>
                      <w:bCs/>
                      <w:sz w:val="18"/>
                      <w:szCs w:val="18"/>
                      <w:highlight w:val="none"/>
                      <w:lang w:val="en-US" w:eastAsia="zh-CN"/>
                    </w:rPr>
                    <w:t>710</w:t>
                  </w:r>
                </w:p>
              </w:tc>
              <w:tc>
                <w:tcPr>
                  <w:tcW w:w="1477" w:type="dxa"/>
                  <w:vAlign w:val="center"/>
                </w:tcPr>
                <w:p w14:paraId="0594DFA6">
                  <w:pPr>
                    <w:tabs>
                      <w:tab w:val="left" w:pos="1680"/>
                    </w:tabs>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m</w:t>
                  </w:r>
                  <w:r>
                    <w:rPr>
                      <w:rFonts w:hint="eastAsia" w:eastAsiaTheme="minorEastAsia"/>
                      <w:color w:val="000000" w:themeColor="text1"/>
                      <w:sz w:val="18"/>
                      <w:szCs w:val="18"/>
                      <w:vertAlign w:val="superscript"/>
                      <w:lang w:val="en-US" w:eastAsia="zh-CN"/>
                      <w14:textFill>
                        <w14:solidFill>
                          <w14:schemeClr w14:val="tx1"/>
                        </w14:solidFill>
                      </w14:textFill>
                    </w:rPr>
                    <w:t>3</w:t>
                  </w:r>
                  <w:r>
                    <w:rPr>
                      <w:rFonts w:hint="eastAsia" w:eastAsiaTheme="minorEastAsia"/>
                      <w:color w:val="000000" w:themeColor="text1"/>
                      <w:sz w:val="18"/>
                      <w:szCs w:val="18"/>
                      <w:vertAlign w:val="baseline"/>
                      <w:lang w:val="en-US" w:eastAsia="zh-CN"/>
                      <w14:textFill>
                        <w14:solidFill>
                          <w14:schemeClr w14:val="tx1"/>
                        </w14:solidFill>
                      </w14:textFill>
                    </w:rPr>
                    <w:t>/a</w:t>
                  </w:r>
                </w:p>
              </w:tc>
              <w:tc>
                <w:tcPr>
                  <w:tcW w:w="2312" w:type="dxa"/>
                  <w:vAlign w:val="center"/>
                </w:tcPr>
                <w:p w14:paraId="18307453">
                  <w:pPr>
                    <w:tabs>
                      <w:tab w:val="left" w:pos="1680"/>
                    </w:tabs>
                    <w:jc w:val="center"/>
                    <w:rPr>
                      <w:rFonts w:eastAsiaTheme="minorEastAsia"/>
                      <w:color w:val="000000" w:themeColor="text1"/>
                      <w:sz w:val="18"/>
                      <w:szCs w:val="18"/>
                      <w14:textFill>
                        <w14:solidFill>
                          <w14:schemeClr w14:val="tx1"/>
                        </w14:solidFill>
                      </w14:textFill>
                    </w:rPr>
                  </w:pPr>
                  <w:r>
                    <w:rPr>
                      <w:rFonts w:hint="eastAsia"/>
                      <w:sz w:val="18"/>
                      <w:szCs w:val="18"/>
                      <w:lang w:eastAsia="zh-CN"/>
                    </w:rPr>
                    <w:t>淄川经济开发区自来水管网</w:t>
                  </w:r>
                </w:p>
              </w:tc>
            </w:tr>
            <w:tr w14:paraId="2231A8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05" w:type="dxa"/>
                  <w:vAlign w:val="center"/>
                </w:tcPr>
                <w:p w14:paraId="45F192E5">
                  <w:pPr>
                    <w:pStyle w:val="1041"/>
                    <w:numPr>
                      <w:ilvl w:val="0"/>
                      <w:numId w:val="18"/>
                    </w:numPr>
                    <w:ind w:firstLineChars="0"/>
                    <w:jc w:val="center"/>
                    <w:rPr>
                      <w:rFonts w:eastAsiaTheme="minorEastAsia"/>
                      <w:color w:val="000000" w:themeColor="text1"/>
                      <w:sz w:val="18"/>
                      <w:szCs w:val="18"/>
                      <w14:textFill>
                        <w14:solidFill>
                          <w14:schemeClr w14:val="tx1"/>
                        </w14:solidFill>
                      </w14:textFill>
                    </w:rPr>
                  </w:pPr>
                </w:p>
              </w:tc>
              <w:tc>
                <w:tcPr>
                  <w:tcW w:w="2396" w:type="dxa"/>
                  <w:vAlign w:val="center"/>
                </w:tcPr>
                <w:p w14:paraId="26695AD1">
                  <w:pPr>
                    <w:jc w:val="center"/>
                    <w:rPr>
                      <w:rFonts w:hint="eastAsia"/>
                      <w:bCs/>
                      <w:sz w:val="18"/>
                      <w:szCs w:val="18"/>
                    </w:rPr>
                  </w:pPr>
                  <w:r>
                    <w:rPr>
                      <w:rFonts w:hint="eastAsia"/>
                      <w:sz w:val="18"/>
                      <w:szCs w:val="18"/>
                    </w:rPr>
                    <w:t>电</w:t>
                  </w:r>
                </w:p>
              </w:tc>
              <w:tc>
                <w:tcPr>
                  <w:tcW w:w="1624" w:type="dxa"/>
                  <w:vAlign w:val="center"/>
                </w:tcPr>
                <w:p w14:paraId="464C3737">
                  <w:pPr>
                    <w:jc w:val="center"/>
                    <w:rPr>
                      <w:rFonts w:hint="eastAsia" w:eastAsiaTheme="minorEastAsia"/>
                      <w:color w:val="000000" w:themeColor="text1"/>
                      <w:sz w:val="18"/>
                      <w:szCs w:val="18"/>
                      <w:lang w:val="en-US" w:eastAsia="zh-CN"/>
                      <w14:textFill>
                        <w14:solidFill>
                          <w14:schemeClr w14:val="tx1"/>
                        </w14:solidFill>
                      </w14:textFill>
                    </w:rPr>
                  </w:pPr>
                  <w:r>
                    <w:rPr>
                      <w:rFonts w:hint="eastAsia"/>
                      <w:bCs/>
                      <w:sz w:val="18"/>
                      <w:szCs w:val="18"/>
                      <w:lang w:val="en-US" w:eastAsia="zh-CN"/>
                    </w:rPr>
                    <w:t>24</w:t>
                  </w:r>
                  <w:r>
                    <w:rPr>
                      <w:rFonts w:hint="eastAsia"/>
                      <w:bCs/>
                      <w:sz w:val="18"/>
                      <w:szCs w:val="18"/>
                    </w:rPr>
                    <w:t>万</w:t>
                  </w:r>
                </w:p>
              </w:tc>
              <w:tc>
                <w:tcPr>
                  <w:tcW w:w="1477" w:type="dxa"/>
                  <w:vAlign w:val="center"/>
                </w:tcPr>
                <w:p w14:paraId="60F90FC7">
                  <w:pPr>
                    <w:tabs>
                      <w:tab w:val="left" w:pos="1680"/>
                    </w:tabs>
                    <w:jc w:val="center"/>
                    <w:rPr>
                      <w:rFonts w:hint="eastAsia" w:eastAsiaTheme="minorEastAsia"/>
                      <w:color w:val="000000" w:themeColor="text1"/>
                      <w:sz w:val="18"/>
                      <w:szCs w:val="18"/>
                      <w:lang w:val="en-US" w:eastAsia="zh-CN"/>
                      <w14:textFill>
                        <w14:solidFill>
                          <w14:schemeClr w14:val="tx1"/>
                        </w14:solidFill>
                      </w14:textFill>
                    </w:rPr>
                  </w:pPr>
                  <w:r>
                    <w:rPr>
                      <w:rFonts w:hint="eastAsia" w:eastAsiaTheme="minorEastAsia"/>
                      <w:color w:val="000000" w:themeColor="text1"/>
                      <w:sz w:val="18"/>
                      <w:szCs w:val="18"/>
                      <w:lang w:val="en-US" w:eastAsia="zh-CN"/>
                      <w14:textFill>
                        <w14:solidFill>
                          <w14:schemeClr w14:val="tx1"/>
                        </w14:solidFill>
                      </w14:textFill>
                    </w:rPr>
                    <w:t>kWh/a</w:t>
                  </w:r>
                </w:p>
              </w:tc>
              <w:tc>
                <w:tcPr>
                  <w:tcW w:w="2312" w:type="dxa"/>
                  <w:vAlign w:val="center"/>
                </w:tcPr>
                <w:p w14:paraId="3AD7A933">
                  <w:pPr>
                    <w:tabs>
                      <w:tab w:val="left" w:pos="1680"/>
                    </w:tabs>
                    <w:jc w:val="center"/>
                    <w:rPr>
                      <w:rFonts w:eastAsiaTheme="minorEastAsia"/>
                      <w:color w:val="000000" w:themeColor="text1"/>
                      <w:sz w:val="18"/>
                      <w:szCs w:val="18"/>
                      <w14:textFill>
                        <w14:solidFill>
                          <w14:schemeClr w14:val="tx1"/>
                        </w14:solidFill>
                      </w14:textFill>
                    </w:rPr>
                  </w:pPr>
                  <w:r>
                    <w:rPr>
                      <w:rFonts w:hint="eastAsia"/>
                      <w:sz w:val="18"/>
                      <w:szCs w:val="18"/>
                      <w:lang w:eastAsia="zh-CN"/>
                    </w:rPr>
                    <w:t>淄川经济开发区</w:t>
                  </w:r>
                  <w:r>
                    <w:rPr>
                      <w:sz w:val="18"/>
                      <w:szCs w:val="18"/>
                    </w:rPr>
                    <w:t>供电所</w:t>
                  </w:r>
                </w:p>
              </w:tc>
            </w:tr>
            <w:bookmarkEnd w:id="2"/>
          </w:tbl>
          <w:p w14:paraId="50B56A1F">
            <w:pPr>
              <w:pStyle w:val="2"/>
              <w:ind w:left="0" w:leftChars="0" w:firstLine="31680"/>
              <w:rPr>
                <w:rFonts w:hint="default" w:ascii="Times New Roman" w:hAnsi="Times New Roman" w:cs="Times New Roman"/>
                <w:sz w:val="18"/>
                <w:szCs w:val="18"/>
              </w:rPr>
            </w:pPr>
            <w:r>
              <w:rPr>
                <w:rFonts w:hint="eastAsia" w:cs="Times New Roman"/>
                <w:sz w:val="18"/>
                <w:szCs w:val="18"/>
                <w:lang w:val="en-US" w:eastAsia="zh-CN"/>
              </w:rPr>
              <w:t>（1）底漆、面漆、稀释剂</w:t>
            </w:r>
            <w:r>
              <w:rPr>
                <w:rFonts w:hint="default" w:ascii="Times New Roman" w:hAnsi="Times New Roman" w:cs="Times New Roman"/>
                <w:sz w:val="18"/>
                <w:szCs w:val="18"/>
              </w:rPr>
              <w:t>主要原辅材料成分及理化性质</w:t>
            </w:r>
          </w:p>
          <w:p w14:paraId="7E872359">
            <w:pPr>
              <w:spacing w:line="360" w:lineRule="auto"/>
              <w:ind w:firstLine="360" w:firstLineChars="200"/>
              <w:rPr>
                <w:rFonts w:hint="default" w:ascii="Times New Roman" w:hAnsi="Times New Roman" w:cs="Times New Roman"/>
                <w:sz w:val="18"/>
                <w:szCs w:val="18"/>
              </w:rPr>
            </w:pPr>
            <w:bookmarkStart w:id="3" w:name="_Hlk90379484"/>
            <w:r>
              <w:rPr>
                <w:rFonts w:hint="default" w:ascii="Times New Roman" w:hAnsi="Times New Roman" w:cs="Times New Roman"/>
                <w:sz w:val="18"/>
                <w:szCs w:val="18"/>
              </w:rPr>
              <w:t>1）主要物料成分</w:t>
            </w:r>
          </w:p>
          <w:p w14:paraId="40FE232D">
            <w:pPr>
              <w:spacing w:line="360" w:lineRule="auto"/>
              <w:ind w:firstLine="361" w:firstLineChars="200"/>
              <w:jc w:val="center"/>
              <w:rPr>
                <w:rFonts w:hint="default" w:ascii="Times New Roman" w:hAnsi="Times New Roman" w:eastAsia="黑体" w:cs="Times New Roman"/>
                <w:bCs/>
                <w:kern w:val="0"/>
                <w:sz w:val="18"/>
                <w:szCs w:val="18"/>
              </w:rPr>
            </w:pPr>
            <w:r>
              <w:rPr>
                <w:rFonts w:hint="eastAsia" w:ascii="宋体" w:hAnsi="宋体" w:eastAsia="宋体" w:cs="宋体"/>
                <w:b/>
                <w:bCs w:val="0"/>
                <w:kern w:val="0"/>
                <w:sz w:val="18"/>
                <w:szCs w:val="18"/>
              </w:rPr>
              <w:t>表2-</w:t>
            </w:r>
            <w:r>
              <w:rPr>
                <w:rFonts w:hint="eastAsia" w:ascii="宋体" w:hAnsi="宋体" w:eastAsia="宋体" w:cs="宋体"/>
                <w:b/>
                <w:bCs w:val="0"/>
                <w:kern w:val="0"/>
                <w:sz w:val="18"/>
                <w:szCs w:val="18"/>
                <w:lang w:val="en-US" w:eastAsia="zh-CN"/>
              </w:rPr>
              <w:t>5</w:t>
            </w:r>
            <w:r>
              <w:rPr>
                <w:rFonts w:hint="eastAsia" w:ascii="宋体" w:hAnsi="宋体" w:eastAsia="宋体" w:cs="宋体"/>
                <w:b/>
                <w:bCs w:val="0"/>
                <w:kern w:val="0"/>
                <w:sz w:val="18"/>
                <w:szCs w:val="18"/>
              </w:rPr>
              <w:t xml:space="preserve">  </w:t>
            </w:r>
            <w:r>
              <w:rPr>
                <w:rFonts w:hint="eastAsia" w:ascii="宋体" w:hAnsi="宋体" w:eastAsia="宋体" w:cs="宋体"/>
                <w:b/>
                <w:bCs w:val="0"/>
                <w:kern w:val="0"/>
                <w:sz w:val="18"/>
                <w:szCs w:val="18"/>
                <w:lang w:eastAsia="zh-CN"/>
              </w:rPr>
              <w:t>喷漆房</w:t>
            </w:r>
            <w:r>
              <w:rPr>
                <w:rFonts w:hint="eastAsia" w:ascii="宋体" w:hAnsi="宋体" w:eastAsia="宋体" w:cs="宋体"/>
                <w:b/>
                <w:bCs w:val="0"/>
                <w:kern w:val="0"/>
                <w:sz w:val="18"/>
                <w:szCs w:val="18"/>
              </w:rPr>
              <w:t>涂装所用涂料主要成分一览表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4"/>
              <w:gridCol w:w="1334"/>
              <w:gridCol w:w="2930"/>
              <w:gridCol w:w="1683"/>
              <w:gridCol w:w="1683"/>
            </w:tblGrid>
            <w:tr w14:paraId="6DE663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9" w:type="dxa"/>
                  <w:gridSpan w:val="5"/>
                  <w:noWrap w:val="0"/>
                  <w:vAlign w:val="center"/>
                </w:tcPr>
                <w:p w14:paraId="3889B3C4">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面漆成分表</w:t>
                  </w:r>
                </w:p>
              </w:tc>
            </w:tr>
            <w:tr w14:paraId="4175D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60D9AD49">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序号</w:t>
                  </w:r>
                </w:p>
              </w:tc>
              <w:tc>
                <w:tcPr>
                  <w:tcW w:w="1333" w:type="dxa"/>
                  <w:noWrap w:val="0"/>
                  <w:vAlign w:val="center"/>
                </w:tcPr>
                <w:p w14:paraId="01E40B92">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成分</w:t>
                  </w:r>
                </w:p>
              </w:tc>
              <w:tc>
                <w:tcPr>
                  <w:tcW w:w="2928" w:type="dxa"/>
                  <w:noWrap w:val="0"/>
                  <w:vAlign w:val="center"/>
                </w:tcPr>
                <w:p w14:paraId="386CE448">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化学组成</w:t>
                  </w:r>
                </w:p>
              </w:tc>
              <w:tc>
                <w:tcPr>
                  <w:tcW w:w="1682" w:type="dxa"/>
                  <w:noWrap w:val="0"/>
                  <w:vAlign w:val="center"/>
                </w:tcPr>
                <w:p w14:paraId="072F4FE9">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重量百分比（%）</w:t>
                  </w:r>
                </w:p>
              </w:tc>
              <w:tc>
                <w:tcPr>
                  <w:tcW w:w="1682" w:type="dxa"/>
                  <w:noWrap w:val="0"/>
                  <w:vAlign w:val="center"/>
                </w:tcPr>
                <w:p w14:paraId="1BCA0BEF">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备注</w:t>
                  </w:r>
                </w:p>
              </w:tc>
            </w:tr>
            <w:tr w14:paraId="45E5E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1932F163">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w:t>
                  </w:r>
                </w:p>
              </w:tc>
              <w:tc>
                <w:tcPr>
                  <w:tcW w:w="1333" w:type="dxa"/>
                  <w:noWrap w:val="0"/>
                  <w:vAlign w:val="center"/>
                </w:tcPr>
                <w:p w14:paraId="0ABAABC5">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成膜物</w:t>
                  </w:r>
                </w:p>
              </w:tc>
              <w:tc>
                <w:tcPr>
                  <w:tcW w:w="2928" w:type="dxa"/>
                  <w:noWrap w:val="0"/>
                  <w:vAlign w:val="center"/>
                </w:tcPr>
                <w:p w14:paraId="49B02AAD">
                  <w:pPr>
                    <w:spacing w:line="240" w:lineRule="auto"/>
                    <w:jc w:val="center"/>
                    <w:outlineLvl w:val="0"/>
                    <w:rPr>
                      <w:rFonts w:hint="default" w:ascii="Times New Roman" w:hAnsi="Times New Roman" w:cs="Times New Roman"/>
                      <w:sz w:val="18"/>
                      <w:szCs w:val="18"/>
                      <w:highlight w:val="none"/>
                    </w:rPr>
                  </w:pPr>
                  <w:r>
                    <w:rPr>
                      <w:rFonts w:hint="eastAsia"/>
                      <w:sz w:val="18"/>
                      <w:szCs w:val="18"/>
                      <w:vertAlign w:val="baseline"/>
                      <w:lang w:eastAsia="zh-CN"/>
                    </w:rPr>
                    <w:t>醇酸树脂</w:t>
                  </w:r>
                </w:p>
              </w:tc>
              <w:tc>
                <w:tcPr>
                  <w:tcW w:w="1682" w:type="dxa"/>
                  <w:noWrap w:val="0"/>
                  <w:vAlign w:val="top"/>
                </w:tcPr>
                <w:p w14:paraId="624980D9">
                  <w:pPr>
                    <w:jc w:val="center"/>
                    <w:rPr>
                      <w:rFonts w:hint="eastAsia" w:ascii="Times New Roman" w:hAnsi="Times New Roman" w:eastAsia="宋体" w:cs="Times New Roman"/>
                      <w:sz w:val="18"/>
                      <w:szCs w:val="18"/>
                      <w:highlight w:val="none"/>
                      <w:lang w:eastAsia="zh-CN"/>
                    </w:rPr>
                  </w:pPr>
                  <w:r>
                    <w:rPr>
                      <w:rFonts w:hint="eastAsia"/>
                      <w:sz w:val="18"/>
                      <w:szCs w:val="18"/>
                      <w:vertAlign w:val="baseline"/>
                      <w:lang w:val="en-US" w:eastAsia="zh-CN"/>
                    </w:rPr>
                    <w:t>62</w:t>
                  </w:r>
                </w:p>
              </w:tc>
              <w:tc>
                <w:tcPr>
                  <w:tcW w:w="1682" w:type="dxa"/>
                  <w:vMerge w:val="restart"/>
                  <w:noWrap w:val="0"/>
                  <w:vAlign w:val="center"/>
                </w:tcPr>
                <w:p w14:paraId="34E03755">
                  <w:pPr>
                    <w:spacing w:line="240" w:lineRule="auto"/>
                    <w:jc w:val="center"/>
                    <w:outlineLvl w:val="0"/>
                    <w:rPr>
                      <w:rFonts w:hint="default" w:ascii="Times New Roman" w:hAnsi="Times New Roman" w:cs="Times New Roman"/>
                      <w:sz w:val="18"/>
                      <w:szCs w:val="18"/>
                      <w:highlight w:val="none"/>
                    </w:rPr>
                  </w:pPr>
                  <w:r>
                    <w:rPr>
                      <w:rFonts w:hint="eastAsia"/>
                      <w:sz w:val="18"/>
                      <w:szCs w:val="18"/>
                      <w:lang w:eastAsia="zh-CN"/>
                    </w:rPr>
                    <w:t>醇酸调合漆</w:t>
                  </w:r>
                </w:p>
              </w:tc>
            </w:tr>
            <w:tr w14:paraId="77E2A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54B6A5A5">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2</w:t>
                  </w:r>
                </w:p>
              </w:tc>
              <w:tc>
                <w:tcPr>
                  <w:tcW w:w="1333" w:type="dxa"/>
                  <w:noWrap w:val="0"/>
                  <w:vAlign w:val="center"/>
                </w:tcPr>
                <w:p w14:paraId="1AA10760">
                  <w:pPr>
                    <w:spacing w:line="240" w:lineRule="auto"/>
                    <w:jc w:val="center"/>
                    <w:outlineLvl w:val="0"/>
                    <w:rPr>
                      <w:rFonts w:hint="default" w:ascii="Times New Roman" w:hAnsi="Times New Roman" w:cs="Times New Roman"/>
                      <w:sz w:val="18"/>
                      <w:szCs w:val="18"/>
                      <w:highlight w:val="none"/>
                    </w:rPr>
                  </w:pPr>
                  <w:r>
                    <w:rPr>
                      <w:rFonts w:hint="eastAsia" w:ascii="Times New Roman" w:hAnsi="Times New Roman" w:cs="Times New Roman"/>
                      <w:sz w:val="18"/>
                      <w:szCs w:val="18"/>
                      <w:highlight w:val="none"/>
                      <w:lang w:eastAsia="zh-CN"/>
                    </w:rPr>
                    <w:t>着色</w:t>
                  </w:r>
                  <w:r>
                    <w:rPr>
                      <w:rFonts w:hint="default" w:ascii="Times New Roman" w:hAnsi="Times New Roman" w:cs="Times New Roman"/>
                      <w:sz w:val="18"/>
                      <w:szCs w:val="18"/>
                      <w:highlight w:val="none"/>
                    </w:rPr>
                    <w:t>颜料</w:t>
                  </w:r>
                </w:p>
              </w:tc>
              <w:tc>
                <w:tcPr>
                  <w:tcW w:w="2928" w:type="dxa"/>
                  <w:noWrap w:val="0"/>
                  <w:vAlign w:val="center"/>
                </w:tcPr>
                <w:p w14:paraId="37B41DA8">
                  <w:pPr>
                    <w:spacing w:line="240" w:lineRule="auto"/>
                    <w:jc w:val="center"/>
                    <w:outlineLvl w:val="0"/>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27823EFE">
                  <w:pPr>
                    <w:jc w:val="center"/>
                    <w:rPr>
                      <w:rFonts w:hint="default" w:ascii="Times New Roman" w:hAnsi="Times New Roman" w:cs="Times New Roman"/>
                      <w:sz w:val="18"/>
                      <w:szCs w:val="18"/>
                      <w:highlight w:val="none"/>
                    </w:rPr>
                  </w:pPr>
                  <w:r>
                    <w:rPr>
                      <w:rFonts w:hint="eastAsia"/>
                      <w:sz w:val="18"/>
                      <w:szCs w:val="18"/>
                      <w:vertAlign w:val="baseline"/>
                      <w:lang w:val="en-US" w:eastAsia="zh-CN"/>
                    </w:rPr>
                    <w:t>10</w:t>
                  </w:r>
                </w:p>
              </w:tc>
              <w:tc>
                <w:tcPr>
                  <w:tcW w:w="1682" w:type="dxa"/>
                  <w:vMerge w:val="continue"/>
                  <w:noWrap w:val="0"/>
                  <w:vAlign w:val="center"/>
                </w:tcPr>
                <w:p w14:paraId="0A5EB806">
                  <w:pPr>
                    <w:spacing w:line="240" w:lineRule="auto"/>
                    <w:jc w:val="center"/>
                    <w:outlineLvl w:val="0"/>
                    <w:rPr>
                      <w:rFonts w:hint="default" w:ascii="Times New Roman" w:hAnsi="Times New Roman" w:cs="Times New Roman"/>
                      <w:sz w:val="18"/>
                      <w:szCs w:val="18"/>
                      <w:highlight w:val="none"/>
                    </w:rPr>
                  </w:pPr>
                </w:p>
              </w:tc>
            </w:tr>
            <w:tr w14:paraId="7BAEFD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34B9EA7F">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3</w:t>
                  </w:r>
                </w:p>
              </w:tc>
              <w:tc>
                <w:tcPr>
                  <w:tcW w:w="1333" w:type="dxa"/>
                  <w:noWrap w:val="0"/>
                  <w:vAlign w:val="center"/>
                </w:tcPr>
                <w:p w14:paraId="7DEF331C">
                  <w:pPr>
                    <w:spacing w:line="240" w:lineRule="auto"/>
                    <w:jc w:val="center"/>
                    <w:outlineLvl w:val="0"/>
                    <w:rPr>
                      <w:rFonts w:hint="eastAsia" w:ascii="Times New Roman" w:hAnsi="Times New Roman" w:eastAsia="宋体" w:cs="Times New Roman"/>
                      <w:sz w:val="18"/>
                      <w:szCs w:val="18"/>
                      <w:highlight w:val="none"/>
                      <w:lang w:eastAsia="zh-CN"/>
                    </w:rPr>
                  </w:pPr>
                  <w:r>
                    <w:rPr>
                      <w:rFonts w:hint="eastAsia" w:ascii="Times New Roman" w:hAnsi="Times New Roman" w:cs="Times New Roman"/>
                      <w:sz w:val="18"/>
                      <w:szCs w:val="18"/>
                      <w:highlight w:val="none"/>
                      <w:lang w:eastAsia="zh-CN"/>
                    </w:rPr>
                    <w:t>体质颜料</w:t>
                  </w:r>
                </w:p>
              </w:tc>
              <w:tc>
                <w:tcPr>
                  <w:tcW w:w="2928" w:type="dxa"/>
                  <w:noWrap w:val="0"/>
                  <w:vAlign w:val="center"/>
                </w:tcPr>
                <w:p w14:paraId="3287350F">
                  <w:pPr>
                    <w:spacing w:line="240" w:lineRule="auto"/>
                    <w:jc w:val="center"/>
                    <w:outlineLvl w:val="0"/>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666BC891">
                  <w:pPr>
                    <w:jc w:val="center"/>
                    <w:rPr>
                      <w:rFonts w:hint="default" w:ascii="Times New Roman" w:hAnsi="Times New Roman" w:cs="Times New Roman"/>
                      <w:sz w:val="18"/>
                      <w:szCs w:val="18"/>
                      <w:highlight w:val="none"/>
                    </w:rPr>
                  </w:pPr>
                  <w:r>
                    <w:rPr>
                      <w:rFonts w:hint="eastAsia"/>
                      <w:sz w:val="18"/>
                      <w:szCs w:val="18"/>
                      <w:vertAlign w:val="baseline"/>
                      <w:lang w:val="en-US" w:eastAsia="zh-CN"/>
                    </w:rPr>
                    <w:t>18</w:t>
                  </w:r>
                </w:p>
              </w:tc>
              <w:tc>
                <w:tcPr>
                  <w:tcW w:w="1682" w:type="dxa"/>
                  <w:vMerge w:val="continue"/>
                  <w:noWrap w:val="0"/>
                  <w:vAlign w:val="center"/>
                </w:tcPr>
                <w:p w14:paraId="594C63D6">
                  <w:pPr>
                    <w:spacing w:line="240" w:lineRule="auto"/>
                    <w:jc w:val="center"/>
                    <w:outlineLvl w:val="0"/>
                    <w:rPr>
                      <w:rFonts w:hint="default" w:ascii="Times New Roman" w:hAnsi="Times New Roman" w:cs="Times New Roman"/>
                      <w:sz w:val="18"/>
                      <w:szCs w:val="18"/>
                      <w:highlight w:val="none"/>
                    </w:rPr>
                  </w:pPr>
                </w:p>
              </w:tc>
            </w:tr>
            <w:tr w14:paraId="1D7F6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4" w:type="dxa"/>
                  <w:noWrap w:val="0"/>
                  <w:vAlign w:val="center"/>
                </w:tcPr>
                <w:p w14:paraId="248452FD">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w:t>
                  </w:r>
                </w:p>
              </w:tc>
              <w:tc>
                <w:tcPr>
                  <w:tcW w:w="1333" w:type="dxa"/>
                  <w:noWrap w:val="0"/>
                  <w:vAlign w:val="top"/>
                </w:tcPr>
                <w:p w14:paraId="13A71F9F">
                  <w:pPr>
                    <w:jc w:val="center"/>
                    <w:rPr>
                      <w:rFonts w:hint="default" w:ascii="Times New Roman" w:hAnsi="Times New Roman" w:cs="Times New Roman"/>
                      <w:sz w:val="18"/>
                      <w:szCs w:val="18"/>
                      <w:highlight w:val="none"/>
                    </w:rPr>
                  </w:pPr>
                  <w:r>
                    <w:rPr>
                      <w:rFonts w:hint="eastAsia"/>
                      <w:sz w:val="18"/>
                      <w:szCs w:val="18"/>
                      <w:vertAlign w:val="baseline"/>
                      <w:lang w:eastAsia="zh-CN"/>
                    </w:rPr>
                    <w:t>分散剂</w:t>
                  </w:r>
                </w:p>
              </w:tc>
              <w:tc>
                <w:tcPr>
                  <w:tcW w:w="2928" w:type="dxa"/>
                  <w:noWrap w:val="0"/>
                  <w:vAlign w:val="center"/>
                </w:tcPr>
                <w:p w14:paraId="3364B52E">
                  <w:pPr>
                    <w:spacing w:line="240" w:lineRule="auto"/>
                    <w:jc w:val="center"/>
                    <w:outlineLvl w:val="0"/>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7F97C40D">
                  <w:pPr>
                    <w:jc w:val="center"/>
                    <w:rPr>
                      <w:rFonts w:hint="default" w:ascii="Times New Roman" w:hAnsi="Times New Roman" w:cs="Times New Roman"/>
                      <w:sz w:val="18"/>
                      <w:szCs w:val="18"/>
                      <w:highlight w:val="none"/>
                    </w:rPr>
                  </w:pPr>
                  <w:r>
                    <w:rPr>
                      <w:rFonts w:hint="eastAsia"/>
                      <w:sz w:val="18"/>
                      <w:szCs w:val="18"/>
                      <w:vertAlign w:val="baseline"/>
                      <w:lang w:val="en-US" w:eastAsia="zh-CN"/>
                    </w:rPr>
                    <w:t>1.5</w:t>
                  </w:r>
                </w:p>
              </w:tc>
              <w:tc>
                <w:tcPr>
                  <w:tcW w:w="1682" w:type="dxa"/>
                  <w:vMerge w:val="continue"/>
                  <w:noWrap w:val="0"/>
                  <w:vAlign w:val="center"/>
                </w:tcPr>
                <w:p w14:paraId="36C54225">
                  <w:pPr>
                    <w:spacing w:line="240" w:lineRule="auto"/>
                    <w:jc w:val="center"/>
                    <w:outlineLvl w:val="0"/>
                    <w:rPr>
                      <w:rFonts w:hint="default" w:ascii="Times New Roman" w:hAnsi="Times New Roman" w:cs="Times New Roman"/>
                      <w:sz w:val="18"/>
                      <w:szCs w:val="18"/>
                      <w:highlight w:val="none"/>
                    </w:rPr>
                  </w:pPr>
                </w:p>
              </w:tc>
            </w:tr>
            <w:tr w14:paraId="32CAC0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7973D2AA">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5</w:t>
                  </w:r>
                </w:p>
              </w:tc>
              <w:tc>
                <w:tcPr>
                  <w:tcW w:w="1333" w:type="dxa"/>
                  <w:noWrap w:val="0"/>
                  <w:vAlign w:val="top"/>
                </w:tcPr>
                <w:p w14:paraId="2BD365BA">
                  <w:pPr>
                    <w:jc w:val="center"/>
                    <w:rPr>
                      <w:rFonts w:hint="default" w:ascii="Times New Roman" w:hAnsi="Times New Roman" w:cs="Times New Roman"/>
                      <w:sz w:val="18"/>
                      <w:szCs w:val="18"/>
                      <w:highlight w:val="none"/>
                    </w:rPr>
                  </w:pPr>
                  <w:r>
                    <w:rPr>
                      <w:rFonts w:hint="eastAsia"/>
                      <w:sz w:val="18"/>
                      <w:szCs w:val="18"/>
                      <w:vertAlign w:val="baseline"/>
                      <w:lang w:eastAsia="zh-CN"/>
                    </w:rPr>
                    <w:t>防沉剂</w:t>
                  </w:r>
                </w:p>
              </w:tc>
              <w:tc>
                <w:tcPr>
                  <w:tcW w:w="2928" w:type="dxa"/>
                  <w:noWrap w:val="0"/>
                  <w:vAlign w:val="center"/>
                </w:tcPr>
                <w:p w14:paraId="099B8BAE">
                  <w:pPr>
                    <w:spacing w:line="240" w:lineRule="auto"/>
                    <w:jc w:val="center"/>
                    <w:outlineLvl w:val="0"/>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28A79AF5">
                  <w:pPr>
                    <w:jc w:val="center"/>
                    <w:rPr>
                      <w:rFonts w:hint="default" w:ascii="Times New Roman" w:hAnsi="Times New Roman" w:cs="Times New Roman"/>
                      <w:sz w:val="18"/>
                      <w:szCs w:val="18"/>
                      <w:highlight w:val="none"/>
                    </w:rPr>
                  </w:pPr>
                  <w:r>
                    <w:rPr>
                      <w:rFonts w:hint="eastAsia"/>
                      <w:sz w:val="18"/>
                      <w:szCs w:val="18"/>
                      <w:vertAlign w:val="baseline"/>
                      <w:lang w:val="en-US" w:eastAsia="zh-CN"/>
                    </w:rPr>
                    <w:t>2</w:t>
                  </w:r>
                </w:p>
              </w:tc>
              <w:tc>
                <w:tcPr>
                  <w:tcW w:w="1682" w:type="dxa"/>
                  <w:vMerge w:val="continue"/>
                  <w:noWrap w:val="0"/>
                  <w:vAlign w:val="center"/>
                </w:tcPr>
                <w:p w14:paraId="4E5DDF9D">
                  <w:pPr>
                    <w:spacing w:line="240" w:lineRule="auto"/>
                    <w:jc w:val="center"/>
                    <w:outlineLvl w:val="0"/>
                    <w:rPr>
                      <w:rFonts w:hint="default" w:ascii="Times New Roman" w:hAnsi="Times New Roman" w:cs="Times New Roman"/>
                      <w:sz w:val="18"/>
                      <w:szCs w:val="18"/>
                      <w:highlight w:val="none"/>
                    </w:rPr>
                  </w:pPr>
                </w:p>
              </w:tc>
            </w:tr>
            <w:tr w14:paraId="7C382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48BEC63F">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6</w:t>
                  </w:r>
                </w:p>
              </w:tc>
              <w:tc>
                <w:tcPr>
                  <w:tcW w:w="1333" w:type="dxa"/>
                  <w:noWrap w:val="0"/>
                  <w:vAlign w:val="top"/>
                </w:tcPr>
                <w:p w14:paraId="6406189B">
                  <w:pPr>
                    <w:jc w:val="center"/>
                    <w:rPr>
                      <w:rFonts w:hint="default" w:ascii="Times New Roman" w:hAnsi="Times New Roman" w:cs="Times New Roman"/>
                      <w:sz w:val="18"/>
                      <w:szCs w:val="18"/>
                      <w:highlight w:val="none"/>
                    </w:rPr>
                  </w:pPr>
                  <w:r>
                    <w:rPr>
                      <w:rFonts w:hint="eastAsia"/>
                      <w:sz w:val="18"/>
                      <w:szCs w:val="18"/>
                      <w:vertAlign w:val="baseline"/>
                      <w:lang w:eastAsia="zh-CN"/>
                    </w:rPr>
                    <w:t>催干剂</w:t>
                  </w:r>
                </w:p>
              </w:tc>
              <w:tc>
                <w:tcPr>
                  <w:tcW w:w="2928" w:type="dxa"/>
                  <w:noWrap w:val="0"/>
                  <w:vAlign w:val="center"/>
                </w:tcPr>
                <w:p w14:paraId="3E41950F">
                  <w:pPr>
                    <w:spacing w:line="240" w:lineRule="auto"/>
                    <w:jc w:val="center"/>
                    <w:outlineLvl w:val="0"/>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10D3C3B3">
                  <w:pPr>
                    <w:jc w:val="center"/>
                    <w:rPr>
                      <w:rFonts w:hint="default" w:ascii="Times New Roman" w:hAnsi="Times New Roman" w:cs="Times New Roman"/>
                      <w:sz w:val="18"/>
                      <w:szCs w:val="18"/>
                      <w:highlight w:val="none"/>
                    </w:rPr>
                  </w:pPr>
                  <w:r>
                    <w:rPr>
                      <w:rFonts w:hint="eastAsia"/>
                      <w:sz w:val="18"/>
                      <w:szCs w:val="18"/>
                      <w:vertAlign w:val="baseline"/>
                      <w:lang w:val="en-US" w:eastAsia="zh-CN"/>
                    </w:rPr>
                    <w:t>2</w:t>
                  </w:r>
                </w:p>
              </w:tc>
              <w:tc>
                <w:tcPr>
                  <w:tcW w:w="1682" w:type="dxa"/>
                  <w:vMerge w:val="continue"/>
                  <w:noWrap w:val="0"/>
                  <w:vAlign w:val="center"/>
                </w:tcPr>
                <w:p w14:paraId="0C795EA4">
                  <w:pPr>
                    <w:spacing w:line="240" w:lineRule="auto"/>
                    <w:jc w:val="center"/>
                    <w:outlineLvl w:val="0"/>
                    <w:rPr>
                      <w:rFonts w:hint="default" w:ascii="Times New Roman" w:hAnsi="Times New Roman" w:cs="Times New Roman"/>
                      <w:sz w:val="18"/>
                      <w:szCs w:val="18"/>
                      <w:highlight w:val="none"/>
                    </w:rPr>
                  </w:pPr>
                </w:p>
              </w:tc>
            </w:tr>
            <w:tr w14:paraId="5AFBF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1A6E13FF">
                  <w:pPr>
                    <w:spacing w:line="240" w:lineRule="auto"/>
                    <w:jc w:val="center"/>
                    <w:outlineLvl w:val="0"/>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7</w:t>
                  </w:r>
                </w:p>
              </w:tc>
              <w:tc>
                <w:tcPr>
                  <w:tcW w:w="1333" w:type="dxa"/>
                  <w:noWrap w:val="0"/>
                  <w:vAlign w:val="top"/>
                </w:tcPr>
                <w:p w14:paraId="5F9E4273">
                  <w:pPr>
                    <w:jc w:val="center"/>
                    <w:rPr>
                      <w:rFonts w:hint="eastAsia"/>
                      <w:sz w:val="18"/>
                      <w:szCs w:val="18"/>
                      <w:vertAlign w:val="baseline"/>
                      <w:lang w:eastAsia="zh-CN"/>
                    </w:rPr>
                  </w:pPr>
                  <w:r>
                    <w:rPr>
                      <w:rFonts w:hint="eastAsia"/>
                      <w:sz w:val="18"/>
                      <w:szCs w:val="18"/>
                      <w:vertAlign w:val="baseline"/>
                      <w:lang w:eastAsia="zh-CN"/>
                    </w:rPr>
                    <w:t>溶剂</w:t>
                  </w:r>
                </w:p>
              </w:tc>
              <w:tc>
                <w:tcPr>
                  <w:tcW w:w="2928" w:type="dxa"/>
                  <w:noWrap w:val="0"/>
                  <w:vAlign w:val="center"/>
                </w:tcPr>
                <w:p w14:paraId="01767F63">
                  <w:pPr>
                    <w:spacing w:line="240" w:lineRule="auto"/>
                    <w:jc w:val="center"/>
                    <w:outlineLvl w:val="0"/>
                    <w:rPr>
                      <w:rFonts w:hint="default" w:ascii="Times New Roman" w:hAnsi="Times New Roman" w:cs="Times New Roman"/>
                      <w:sz w:val="18"/>
                      <w:szCs w:val="18"/>
                      <w:highlight w:val="none"/>
                    </w:rPr>
                  </w:pPr>
                  <w:r>
                    <w:rPr>
                      <w:rFonts w:hint="eastAsia"/>
                      <w:sz w:val="18"/>
                      <w:szCs w:val="18"/>
                      <w:vertAlign w:val="baseline"/>
                      <w:lang w:val="en-US" w:eastAsia="zh-CN"/>
                    </w:rPr>
                    <w:t>200#溶剂</w:t>
                  </w:r>
                </w:p>
              </w:tc>
              <w:tc>
                <w:tcPr>
                  <w:tcW w:w="1682" w:type="dxa"/>
                  <w:noWrap w:val="0"/>
                  <w:vAlign w:val="top"/>
                </w:tcPr>
                <w:p w14:paraId="697536B0">
                  <w:pPr>
                    <w:jc w:val="center"/>
                    <w:rPr>
                      <w:rFonts w:hint="default" w:ascii="Times New Roman" w:hAnsi="Times New Roman" w:cs="Times New Roman"/>
                      <w:sz w:val="18"/>
                      <w:szCs w:val="18"/>
                      <w:highlight w:val="none"/>
                    </w:rPr>
                  </w:pPr>
                  <w:r>
                    <w:rPr>
                      <w:rFonts w:hint="eastAsia"/>
                      <w:sz w:val="18"/>
                      <w:szCs w:val="18"/>
                      <w:vertAlign w:val="baseline"/>
                      <w:lang w:val="en-US" w:eastAsia="zh-CN"/>
                    </w:rPr>
                    <w:t>4.5</w:t>
                  </w:r>
                </w:p>
              </w:tc>
              <w:tc>
                <w:tcPr>
                  <w:tcW w:w="1682" w:type="dxa"/>
                  <w:vMerge w:val="continue"/>
                  <w:noWrap w:val="0"/>
                  <w:vAlign w:val="center"/>
                </w:tcPr>
                <w:p w14:paraId="3BFE21A0">
                  <w:pPr>
                    <w:spacing w:line="240" w:lineRule="auto"/>
                    <w:jc w:val="center"/>
                    <w:outlineLvl w:val="0"/>
                    <w:rPr>
                      <w:rFonts w:hint="default" w:ascii="Times New Roman" w:hAnsi="Times New Roman" w:cs="Times New Roman"/>
                      <w:sz w:val="18"/>
                      <w:szCs w:val="18"/>
                      <w:highlight w:val="none"/>
                    </w:rPr>
                  </w:pPr>
                </w:p>
              </w:tc>
            </w:tr>
            <w:tr w14:paraId="1F75B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603E6BAA">
                  <w:pPr>
                    <w:spacing w:line="240" w:lineRule="auto"/>
                    <w:jc w:val="center"/>
                    <w:outlineLvl w:val="0"/>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val="en-US" w:eastAsia="zh-CN"/>
                    </w:rPr>
                    <w:t>8</w:t>
                  </w:r>
                </w:p>
              </w:tc>
              <w:tc>
                <w:tcPr>
                  <w:tcW w:w="1333" w:type="dxa"/>
                  <w:noWrap w:val="0"/>
                  <w:vAlign w:val="center"/>
                </w:tcPr>
                <w:p w14:paraId="602A0478">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密度</w:t>
                  </w:r>
                </w:p>
              </w:tc>
              <w:tc>
                <w:tcPr>
                  <w:tcW w:w="2928" w:type="dxa"/>
                  <w:noWrap w:val="0"/>
                  <w:vAlign w:val="center"/>
                </w:tcPr>
                <w:p w14:paraId="17D7130F">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w:t>
                  </w:r>
                </w:p>
              </w:tc>
              <w:tc>
                <w:tcPr>
                  <w:tcW w:w="1682" w:type="dxa"/>
                  <w:noWrap w:val="0"/>
                  <w:vAlign w:val="center"/>
                </w:tcPr>
                <w:p w14:paraId="1D749AE5">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1.2</w:t>
                  </w:r>
                  <w:r>
                    <w:rPr>
                      <w:rFonts w:hint="eastAsia" w:ascii="Times New Roman" w:hAnsi="Times New Roman" w:cs="Times New Roman"/>
                      <w:sz w:val="18"/>
                      <w:szCs w:val="18"/>
                      <w:highlight w:val="none"/>
                      <w:lang w:val="en-US" w:eastAsia="zh-CN"/>
                    </w:rPr>
                    <w:t>5</w:t>
                  </w:r>
                  <w:r>
                    <w:rPr>
                      <w:rFonts w:hint="default" w:ascii="Times New Roman" w:hAnsi="Times New Roman" w:cs="Times New Roman"/>
                      <w:sz w:val="18"/>
                      <w:szCs w:val="18"/>
                      <w:highlight w:val="none"/>
                    </w:rPr>
                    <w:t>kg/L</w:t>
                  </w:r>
                </w:p>
              </w:tc>
              <w:tc>
                <w:tcPr>
                  <w:tcW w:w="1682" w:type="dxa"/>
                  <w:vMerge w:val="continue"/>
                  <w:noWrap w:val="0"/>
                  <w:vAlign w:val="center"/>
                </w:tcPr>
                <w:p w14:paraId="196DFD27">
                  <w:pPr>
                    <w:spacing w:line="240" w:lineRule="auto"/>
                    <w:jc w:val="center"/>
                    <w:outlineLvl w:val="0"/>
                    <w:rPr>
                      <w:rFonts w:hint="default" w:ascii="Times New Roman" w:hAnsi="Times New Roman" w:cs="Times New Roman"/>
                      <w:sz w:val="18"/>
                      <w:szCs w:val="18"/>
                      <w:highlight w:val="none"/>
                    </w:rPr>
                  </w:pPr>
                </w:p>
              </w:tc>
            </w:tr>
            <w:tr w14:paraId="45C6D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9" w:type="dxa"/>
                  <w:gridSpan w:val="5"/>
                  <w:noWrap w:val="0"/>
                  <w:vAlign w:val="center"/>
                </w:tcPr>
                <w:p w14:paraId="1D6AD25A">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底漆成分表</w:t>
                  </w:r>
                </w:p>
              </w:tc>
            </w:tr>
            <w:tr w14:paraId="6FF33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6FB912D0">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序号</w:t>
                  </w:r>
                </w:p>
              </w:tc>
              <w:tc>
                <w:tcPr>
                  <w:tcW w:w="1333" w:type="dxa"/>
                  <w:noWrap w:val="0"/>
                  <w:vAlign w:val="center"/>
                </w:tcPr>
                <w:p w14:paraId="6DCFD2DE">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成分</w:t>
                  </w:r>
                </w:p>
              </w:tc>
              <w:tc>
                <w:tcPr>
                  <w:tcW w:w="2928" w:type="dxa"/>
                  <w:noWrap w:val="0"/>
                  <w:vAlign w:val="center"/>
                </w:tcPr>
                <w:p w14:paraId="342A34DE">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化学组成</w:t>
                  </w:r>
                </w:p>
              </w:tc>
              <w:tc>
                <w:tcPr>
                  <w:tcW w:w="1682" w:type="dxa"/>
                  <w:noWrap w:val="0"/>
                  <w:vAlign w:val="center"/>
                </w:tcPr>
                <w:p w14:paraId="07787FC2">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重量百分比（%）</w:t>
                  </w:r>
                </w:p>
              </w:tc>
              <w:tc>
                <w:tcPr>
                  <w:tcW w:w="1682" w:type="dxa"/>
                  <w:noWrap w:val="0"/>
                  <w:vAlign w:val="center"/>
                </w:tcPr>
                <w:p w14:paraId="75358A1A">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备注</w:t>
                  </w:r>
                </w:p>
              </w:tc>
            </w:tr>
            <w:tr w14:paraId="0C0AA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2B9B7AD9">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w:t>
                  </w:r>
                </w:p>
              </w:tc>
              <w:tc>
                <w:tcPr>
                  <w:tcW w:w="1333" w:type="dxa"/>
                  <w:noWrap w:val="0"/>
                  <w:vAlign w:val="center"/>
                </w:tcPr>
                <w:p w14:paraId="41CDA65D">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成膜物</w:t>
                  </w:r>
                </w:p>
              </w:tc>
              <w:tc>
                <w:tcPr>
                  <w:tcW w:w="2928" w:type="dxa"/>
                  <w:noWrap w:val="0"/>
                  <w:vAlign w:val="top"/>
                </w:tcPr>
                <w:p w14:paraId="2BE0F27D">
                  <w:pPr>
                    <w:jc w:val="center"/>
                    <w:rPr>
                      <w:rFonts w:hint="default" w:ascii="Times New Roman" w:hAnsi="Times New Roman" w:cs="Times New Roman"/>
                      <w:sz w:val="18"/>
                      <w:szCs w:val="18"/>
                      <w:highlight w:val="none"/>
                    </w:rPr>
                  </w:pPr>
                  <w:r>
                    <w:rPr>
                      <w:rFonts w:hint="eastAsia"/>
                      <w:sz w:val="18"/>
                      <w:szCs w:val="18"/>
                      <w:vertAlign w:val="baseline"/>
                      <w:lang w:eastAsia="zh-CN"/>
                    </w:rPr>
                    <w:t>醇酸树脂</w:t>
                  </w:r>
                </w:p>
              </w:tc>
              <w:tc>
                <w:tcPr>
                  <w:tcW w:w="1682" w:type="dxa"/>
                  <w:noWrap w:val="0"/>
                  <w:vAlign w:val="top"/>
                </w:tcPr>
                <w:p w14:paraId="4A4B8379">
                  <w:pPr>
                    <w:jc w:val="center"/>
                    <w:rPr>
                      <w:rFonts w:hint="default" w:ascii="Times New Roman" w:hAnsi="Times New Roman" w:cs="Times New Roman"/>
                      <w:sz w:val="18"/>
                      <w:szCs w:val="18"/>
                      <w:highlight w:val="none"/>
                    </w:rPr>
                  </w:pPr>
                  <w:r>
                    <w:rPr>
                      <w:rFonts w:hint="eastAsia"/>
                      <w:sz w:val="18"/>
                      <w:szCs w:val="18"/>
                      <w:vertAlign w:val="baseline"/>
                      <w:lang w:val="en-US" w:eastAsia="zh-CN"/>
                    </w:rPr>
                    <w:t>50</w:t>
                  </w:r>
                </w:p>
              </w:tc>
              <w:tc>
                <w:tcPr>
                  <w:tcW w:w="1682" w:type="dxa"/>
                  <w:vMerge w:val="restart"/>
                  <w:noWrap w:val="0"/>
                  <w:vAlign w:val="center"/>
                </w:tcPr>
                <w:p w14:paraId="40A231D4">
                  <w:pPr>
                    <w:spacing w:line="240" w:lineRule="auto"/>
                    <w:jc w:val="center"/>
                    <w:outlineLvl w:val="0"/>
                    <w:rPr>
                      <w:rFonts w:hint="default" w:ascii="Times New Roman" w:hAnsi="Times New Roman" w:cs="Times New Roman"/>
                      <w:sz w:val="18"/>
                      <w:szCs w:val="18"/>
                      <w:highlight w:val="none"/>
                    </w:rPr>
                  </w:pPr>
                  <w:r>
                    <w:rPr>
                      <w:rFonts w:hint="eastAsia"/>
                      <w:sz w:val="18"/>
                      <w:szCs w:val="18"/>
                      <w:lang w:eastAsia="zh-CN"/>
                    </w:rPr>
                    <w:t>醇酸防锈</w:t>
                  </w:r>
                  <w:r>
                    <w:rPr>
                      <w:rFonts w:hint="default" w:ascii="Times New Roman" w:hAnsi="Times New Roman" w:cs="Times New Roman"/>
                      <w:sz w:val="18"/>
                      <w:szCs w:val="18"/>
                      <w:highlight w:val="none"/>
                    </w:rPr>
                    <w:t>漆</w:t>
                  </w:r>
                </w:p>
                <w:p w14:paraId="66F4209D">
                  <w:pPr>
                    <w:spacing w:line="240" w:lineRule="auto"/>
                    <w:jc w:val="center"/>
                    <w:outlineLvl w:val="0"/>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w:t>
                  </w:r>
                  <w:r>
                    <w:rPr>
                      <w:rFonts w:hint="eastAsia" w:cs="Times New Roman"/>
                      <w:sz w:val="18"/>
                      <w:szCs w:val="18"/>
                      <w:highlight w:val="none"/>
                      <w:lang w:val="en-US" w:eastAsia="zh-CN"/>
                    </w:rPr>
                    <w:t>醇酸底漆</w:t>
                  </w:r>
                  <w:r>
                    <w:rPr>
                      <w:rFonts w:hint="eastAsia" w:cs="Times New Roman"/>
                      <w:sz w:val="18"/>
                      <w:szCs w:val="18"/>
                      <w:highlight w:val="none"/>
                      <w:lang w:eastAsia="zh-CN"/>
                    </w:rPr>
                    <w:t>）</w:t>
                  </w:r>
                </w:p>
              </w:tc>
            </w:tr>
            <w:tr w14:paraId="14D0C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156970CB">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2</w:t>
                  </w:r>
                </w:p>
              </w:tc>
              <w:tc>
                <w:tcPr>
                  <w:tcW w:w="1333" w:type="dxa"/>
                  <w:noWrap w:val="0"/>
                  <w:vAlign w:val="top"/>
                </w:tcPr>
                <w:p w14:paraId="51E4FD6F">
                  <w:pPr>
                    <w:jc w:val="center"/>
                    <w:rPr>
                      <w:rFonts w:hint="default" w:ascii="Times New Roman" w:hAnsi="Times New Roman" w:cs="Times New Roman"/>
                      <w:sz w:val="18"/>
                      <w:szCs w:val="18"/>
                      <w:highlight w:val="none"/>
                    </w:rPr>
                  </w:pPr>
                  <w:r>
                    <w:rPr>
                      <w:rFonts w:hint="eastAsia"/>
                      <w:sz w:val="18"/>
                      <w:szCs w:val="18"/>
                      <w:vertAlign w:val="baseline"/>
                      <w:lang w:eastAsia="zh-CN"/>
                    </w:rPr>
                    <w:t>颜料</w:t>
                  </w:r>
                </w:p>
              </w:tc>
              <w:tc>
                <w:tcPr>
                  <w:tcW w:w="2928" w:type="dxa"/>
                  <w:noWrap w:val="0"/>
                  <w:vAlign w:val="top"/>
                </w:tcPr>
                <w:p w14:paraId="70D27156">
                  <w:pPr>
                    <w:jc w:val="center"/>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1EC4033B">
                  <w:pPr>
                    <w:jc w:val="center"/>
                    <w:rPr>
                      <w:rFonts w:hint="default" w:ascii="Times New Roman" w:hAnsi="Times New Roman" w:cs="Times New Roman"/>
                      <w:sz w:val="18"/>
                      <w:szCs w:val="18"/>
                      <w:highlight w:val="none"/>
                    </w:rPr>
                  </w:pPr>
                  <w:r>
                    <w:rPr>
                      <w:rFonts w:hint="eastAsia"/>
                      <w:sz w:val="18"/>
                      <w:szCs w:val="18"/>
                      <w:vertAlign w:val="baseline"/>
                      <w:lang w:val="en-US" w:eastAsia="zh-CN"/>
                    </w:rPr>
                    <w:t>10</w:t>
                  </w:r>
                </w:p>
              </w:tc>
              <w:tc>
                <w:tcPr>
                  <w:tcW w:w="1682" w:type="dxa"/>
                  <w:vMerge w:val="continue"/>
                  <w:noWrap w:val="0"/>
                  <w:vAlign w:val="top"/>
                </w:tcPr>
                <w:p w14:paraId="2BEDAC2A">
                  <w:pPr>
                    <w:spacing w:line="240" w:lineRule="auto"/>
                    <w:outlineLvl w:val="0"/>
                    <w:rPr>
                      <w:rFonts w:hint="default" w:ascii="Times New Roman" w:hAnsi="Times New Roman" w:cs="Times New Roman"/>
                      <w:sz w:val="18"/>
                      <w:szCs w:val="18"/>
                      <w:highlight w:val="none"/>
                    </w:rPr>
                  </w:pPr>
                </w:p>
              </w:tc>
            </w:tr>
            <w:tr w14:paraId="138350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784" w:type="dxa"/>
                  <w:noWrap w:val="0"/>
                  <w:vAlign w:val="center"/>
                </w:tcPr>
                <w:p w14:paraId="2AD3F06D">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3</w:t>
                  </w:r>
                </w:p>
              </w:tc>
              <w:tc>
                <w:tcPr>
                  <w:tcW w:w="1333" w:type="dxa"/>
                  <w:noWrap w:val="0"/>
                  <w:vAlign w:val="top"/>
                </w:tcPr>
                <w:p w14:paraId="16ACD0D9">
                  <w:pPr>
                    <w:jc w:val="center"/>
                    <w:rPr>
                      <w:rFonts w:hint="default" w:ascii="Times New Roman" w:hAnsi="Times New Roman" w:cs="Times New Roman"/>
                      <w:sz w:val="18"/>
                      <w:szCs w:val="18"/>
                      <w:highlight w:val="none"/>
                    </w:rPr>
                  </w:pPr>
                  <w:r>
                    <w:rPr>
                      <w:rFonts w:hint="eastAsia"/>
                      <w:sz w:val="18"/>
                      <w:szCs w:val="18"/>
                      <w:vertAlign w:val="baseline"/>
                      <w:lang w:eastAsia="zh-CN"/>
                    </w:rPr>
                    <w:t>防锈填料</w:t>
                  </w:r>
                </w:p>
              </w:tc>
              <w:tc>
                <w:tcPr>
                  <w:tcW w:w="2928" w:type="dxa"/>
                  <w:noWrap w:val="0"/>
                  <w:vAlign w:val="top"/>
                </w:tcPr>
                <w:p w14:paraId="11CE469B">
                  <w:pPr>
                    <w:jc w:val="center"/>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66A5BD66">
                  <w:pPr>
                    <w:jc w:val="center"/>
                    <w:rPr>
                      <w:rFonts w:hint="default" w:ascii="Times New Roman" w:hAnsi="Times New Roman" w:cs="Times New Roman"/>
                      <w:sz w:val="18"/>
                      <w:szCs w:val="18"/>
                      <w:highlight w:val="none"/>
                    </w:rPr>
                  </w:pPr>
                  <w:r>
                    <w:rPr>
                      <w:rFonts w:hint="eastAsia"/>
                      <w:sz w:val="18"/>
                      <w:szCs w:val="18"/>
                      <w:vertAlign w:val="baseline"/>
                      <w:lang w:val="en-US" w:eastAsia="zh-CN"/>
                    </w:rPr>
                    <w:t>25</w:t>
                  </w:r>
                </w:p>
              </w:tc>
              <w:tc>
                <w:tcPr>
                  <w:tcW w:w="1682" w:type="dxa"/>
                  <w:vMerge w:val="continue"/>
                  <w:noWrap w:val="0"/>
                  <w:vAlign w:val="top"/>
                </w:tcPr>
                <w:p w14:paraId="0528D0B6">
                  <w:pPr>
                    <w:spacing w:line="240" w:lineRule="auto"/>
                    <w:outlineLvl w:val="0"/>
                    <w:rPr>
                      <w:rFonts w:hint="default" w:ascii="Times New Roman" w:hAnsi="Times New Roman" w:cs="Times New Roman"/>
                      <w:sz w:val="18"/>
                      <w:szCs w:val="18"/>
                      <w:highlight w:val="none"/>
                    </w:rPr>
                  </w:pPr>
                </w:p>
              </w:tc>
            </w:tr>
            <w:tr w14:paraId="3E02F9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40A38167">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4</w:t>
                  </w:r>
                </w:p>
              </w:tc>
              <w:tc>
                <w:tcPr>
                  <w:tcW w:w="1333" w:type="dxa"/>
                  <w:noWrap w:val="0"/>
                  <w:vAlign w:val="top"/>
                </w:tcPr>
                <w:p w14:paraId="7034226D">
                  <w:pPr>
                    <w:jc w:val="center"/>
                    <w:rPr>
                      <w:rFonts w:hint="default" w:ascii="Times New Roman" w:hAnsi="Times New Roman" w:cs="Times New Roman"/>
                      <w:sz w:val="18"/>
                      <w:szCs w:val="18"/>
                      <w:highlight w:val="none"/>
                    </w:rPr>
                  </w:pPr>
                  <w:r>
                    <w:rPr>
                      <w:rFonts w:hint="eastAsia"/>
                      <w:sz w:val="18"/>
                      <w:szCs w:val="18"/>
                      <w:vertAlign w:val="baseline"/>
                      <w:lang w:eastAsia="zh-CN"/>
                    </w:rPr>
                    <w:t>分散剂</w:t>
                  </w:r>
                </w:p>
              </w:tc>
              <w:tc>
                <w:tcPr>
                  <w:tcW w:w="2928" w:type="dxa"/>
                  <w:noWrap w:val="0"/>
                  <w:vAlign w:val="top"/>
                </w:tcPr>
                <w:p w14:paraId="3FB1BBC5">
                  <w:pPr>
                    <w:jc w:val="center"/>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4018D6BF">
                  <w:pPr>
                    <w:jc w:val="center"/>
                    <w:rPr>
                      <w:rFonts w:hint="default" w:ascii="Times New Roman" w:hAnsi="Times New Roman" w:cs="Times New Roman"/>
                      <w:sz w:val="18"/>
                      <w:szCs w:val="18"/>
                      <w:highlight w:val="none"/>
                    </w:rPr>
                  </w:pPr>
                  <w:r>
                    <w:rPr>
                      <w:rFonts w:hint="eastAsia"/>
                      <w:sz w:val="18"/>
                      <w:szCs w:val="18"/>
                      <w:vertAlign w:val="baseline"/>
                      <w:lang w:val="en-US" w:eastAsia="zh-CN"/>
                    </w:rPr>
                    <w:t>1.5</w:t>
                  </w:r>
                </w:p>
              </w:tc>
              <w:tc>
                <w:tcPr>
                  <w:tcW w:w="1682" w:type="dxa"/>
                  <w:vMerge w:val="continue"/>
                  <w:noWrap w:val="0"/>
                  <w:vAlign w:val="top"/>
                </w:tcPr>
                <w:p w14:paraId="3449114E">
                  <w:pPr>
                    <w:spacing w:line="240" w:lineRule="auto"/>
                    <w:outlineLvl w:val="0"/>
                    <w:rPr>
                      <w:rFonts w:hint="default" w:ascii="Times New Roman" w:hAnsi="Times New Roman" w:cs="Times New Roman"/>
                      <w:sz w:val="18"/>
                      <w:szCs w:val="18"/>
                      <w:highlight w:val="none"/>
                    </w:rPr>
                  </w:pPr>
                </w:p>
              </w:tc>
            </w:tr>
            <w:tr w14:paraId="628C5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0C25D4D1">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5</w:t>
                  </w:r>
                </w:p>
              </w:tc>
              <w:tc>
                <w:tcPr>
                  <w:tcW w:w="1333" w:type="dxa"/>
                  <w:noWrap w:val="0"/>
                  <w:vAlign w:val="top"/>
                </w:tcPr>
                <w:p w14:paraId="48065074">
                  <w:pPr>
                    <w:jc w:val="center"/>
                    <w:rPr>
                      <w:rFonts w:hint="default" w:ascii="Times New Roman" w:hAnsi="Times New Roman" w:cs="Times New Roman"/>
                      <w:sz w:val="18"/>
                      <w:szCs w:val="18"/>
                      <w:highlight w:val="none"/>
                    </w:rPr>
                  </w:pPr>
                  <w:r>
                    <w:rPr>
                      <w:rFonts w:hint="eastAsia"/>
                      <w:sz w:val="18"/>
                      <w:szCs w:val="18"/>
                      <w:vertAlign w:val="baseline"/>
                      <w:lang w:eastAsia="zh-CN"/>
                    </w:rPr>
                    <w:t>防沉剂</w:t>
                  </w:r>
                </w:p>
              </w:tc>
              <w:tc>
                <w:tcPr>
                  <w:tcW w:w="2928" w:type="dxa"/>
                  <w:noWrap w:val="0"/>
                  <w:vAlign w:val="top"/>
                </w:tcPr>
                <w:p w14:paraId="05C98C4B">
                  <w:pPr>
                    <w:jc w:val="center"/>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6F38C217">
                  <w:pPr>
                    <w:jc w:val="center"/>
                    <w:rPr>
                      <w:rFonts w:hint="default" w:ascii="Times New Roman" w:hAnsi="Times New Roman" w:cs="Times New Roman"/>
                      <w:sz w:val="18"/>
                      <w:szCs w:val="18"/>
                      <w:highlight w:val="none"/>
                    </w:rPr>
                  </w:pPr>
                  <w:r>
                    <w:rPr>
                      <w:rFonts w:hint="eastAsia"/>
                      <w:sz w:val="18"/>
                      <w:szCs w:val="18"/>
                      <w:vertAlign w:val="baseline"/>
                      <w:lang w:val="en-US" w:eastAsia="zh-CN"/>
                    </w:rPr>
                    <w:t>2</w:t>
                  </w:r>
                </w:p>
              </w:tc>
              <w:tc>
                <w:tcPr>
                  <w:tcW w:w="1682" w:type="dxa"/>
                  <w:vMerge w:val="continue"/>
                  <w:noWrap w:val="0"/>
                  <w:vAlign w:val="top"/>
                </w:tcPr>
                <w:p w14:paraId="7CFA33DB">
                  <w:pPr>
                    <w:spacing w:line="240" w:lineRule="auto"/>
                    <w:outlineLvl w:val="0"/>
                    <w:rPr>
                      <w:rFonts w:hint="default" w:ascii="Times New Roman" w:hAnsi="Times New Roman" w:cs="Times New Roman"/>
                      <w:sz w:val="18"/>
                      <w:szCs w:val="18"/>
                      <w:highlight w:val="none"/>
                    </w:rPr>
                  </w:pPr>
                </w:p>
              </w:tc>
            </w:tr>
            <w:tr w14:paraId="277F02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53F420B7">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6</w:t>
                  </w:r>
                </w:p>
              </w:tc>
              <w:tc>
                <w:tcPr>
                  <w:tcW w:w="1333" w:type="dxa"/>
                  <w:noWrap w:val="0"/>
                  <w:vAlign w:val="top"/>
                </w:tcPr>
                <w:p w14:paraId="6DD1132A">
                  <w:pPr>
                    <w:jc w:val="center"/>
                    <w:rPr>
                      <w:rFonts w:hint="default" w:ascii="Times New Roman" w:hAnsi="Times New Roman" w:cs="Times New Roman"/>
                      <w:sz w:val="18"/>
                      <w:szCs w:val="18"/>
                      <w:highlight w:val="none"/>
                    </w:rPr>
                  </w:pPr>
                  <w:r>
                    <w:rPr>
                      <w:rFonts w:hint="eastAsia"/>
                      <w:sz w:val="18"/>
                      <w:szCs w:val="18"/>
                      <w:vertAlign w:val="baseline"/>
                      <w:lang w:eastAsia="zh-CN"/>
                    </w:rPr>
                    <w:t>催干剂</w:t>
                  </w:r>
                </w:p>
              </w:tc>
              <w:tc>
                <w:tcPr>
                  <w:tcW w:w="2928" w:type="dxa"/>
                  <w:noWrap w:val="0"/>
                  <w:vAlign w:val="top"/>
                </w:tcPr>
                <w:p w14:paraId="6B4EF41C">
                  <w:pPr>
                    <w:jc w:val="center"/>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w:t>
                  </w:r>
                </w:p>
              </w:tc>
              <w:tc>
                <w:tcPr>
                  <w:tcW w:w="1682" w:type="dxa"/>
                  <w:noWrap w:val="0"/>
                  <w:vAlign w:val="top"/>
                </w:tcPr>
                <w:p w14:paraId="7225FB9F">
                  <w:pPr>
                    <w:jc w:val="center"/>
                    <w:rPr>
                      <w:rFonts w:hint="default" w:ascii="Times New Roman" w:hAnsi="Times New Roman" w:cs="Times New Roman"/>
                      <w:sz w:val="18"/>
                      <w:szCs w:val="18"/>
                      <w:highlight w:val="none"/>
                    </w:rPr>
                  </w:pPr>
                  <w:r>
                    <w:rPr>
                      <w:rFonts w:hint="eastAsia"/>
                      <w:sz w:val="18"/>
                      <w:szCs w:val="18"/>
                      <w:vertAlign w:val="baseline"/>
                      <w:lang w:val="en-US" w:eastAsia="zh-CN"/>
                    </w:rPr>
                    <w:t>2</w:t>
                  </w:r>
                </w:p>
              </w:tc>
              <w:tc>
                <w:tcPr>
                  <w:tcW w:w="1682" w:type="dxa"/>
                  <w:vMerge w:val="continue"/>
                  <w:noWrap w:val="0"/>
                  <w:vAlign w:val="top"/>
                </w:tcPr>
                <w:p w14:paraId="0DBE2A40">
                  <w:pPr>
                    <w:spacing w:line="240" w:lineRule="auto"/>
                    <w:outlineLvl w:val="0"/>
                    <w:rPr>
                      <w:rFonts w:hint="default" w:ascii="Times New Roman" w:hAnsi="Times New Roman" w:cs="Times New Roman"/>
                      <w:sz w:val="18"/>
                      <w:szCs w:val="18"/>
                      <w:highlight w:val="none"/>
                    </w:rPr>
                  </w:pPr>
                </w:p>
              </w:tc>
            </w:tr>
            <w:tr w14:paraId="4CF38A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5151DEA1">
                  <w:pPr>
                    <w:spacing w:line="240" w:lineRule="auto"/>
                    <w:jc w:val="center"/>
                    <w:outlineLvl w:val="0"/>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7</w:t>
                  </w:r>
                </w:p>
              </w:tc>
              <w:tc>
                <w:tcPr>
                  <w:tcW w:w="1333" w:type="dxa"/>
                  <w:noWrap w:val="0"/>
                  <w:vAlign w:val="center"/>
                </w:tcPr>
                <w:p w14:paraId="6EB7BF05">
                  <w:pPr>
                    <w:spacing w:line="240" w:lineRule="auto"/>
                    <w:jc w:val="center"/>
                    <w:outlineLvl w:val="0"/>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溶剂</w:t>
                  </w:r>
                </w:p>
              </w:tc>
              <w:tc>
                <w:tcPr>
                  <w:tcW w:w="2928" w:type="dxa"/>
                  <w:noWrap w:val="0"/>
                  <w:vAlign w:val="top"/>
                </w:tcPr>
                <w:p w14:paraId="47F26A8C">
                  <w:pPr>
                    <w:jc w:val="center"/>
                    <w:rPr>
                      <w:rFonts w:hint="eastAsia"/>
                      <w:sz w:val="18"/>
                      <w:szCs w:val="18"/>
                      <w:vertAlign w:val="baseline"/>
                      <w:lang w:eastAsia="zh-CN"/>
                    </w:rPr>
                  </w:pPr>
                  <w:r>
                    <w:rPr>
                      <w:rFonts w:hint="eastAsia"/>
                      <w:sz w:val="18"/>
                      <w:szCs w:val="18"/>
                      <w:vertAlign w:val="baseline"/>
                      <w:lang w:val="en-US" w:eastAsia="zh-CN"/>
                    </w:rPr>
                    <w:t>200#溶剂</w:t>
                  </w:r>
                </w:p>
              </w:tc>
              <w:tc>
                <w:tcPr>
                  <w:tcW w:w="1682" w:type="dxa"/>
                  <w:noWrap w:val="0"/>
                  <w:vAlign w:val="top"/>
                </w:tcPr>
                <w:p w14:paraId="485873AC">
                  <w:pPr>
                    <w:jc w:val="center"/>
                    <w:rPr>
                      <w:rFonts w:hint="default" w:ascii="Times New Roman" w:hAnsi="Times New Roman" w:cs="Times New Roman"/>
                      <w:sz w:val="18"/>
                      <w:szCs w:val="18"/>
                      <w:highlight w:val="none"/>
                    </w:rPr>
                  </w:pPr>
                  <w:r>
                    <w:rPr>
                      <w:rFonts w:hint="eastAsia"/>
                      <w:sz w:val="18"/>
                      <w:szCs w:val="18"/>
                      <w:vertAlign w:val="baseline"/>
                      <w:lang w:val="en-US" w:eastAsia="zh-CN"/>
                    </w:rPr>
                    <w:t>9.5</w:t>
                  </w:r>
                </w:p>
              </w:tc>
              <w:tc>
                <w:tcPr>
                  <w:tcW w:w="1682" w:type="dxa"/>
                  <w:vMerge w:val="continue"/>
                  <w:noWrap w:val="0"/>
                  <w:vAlign w:val="top"/>
                </w:tcPr>
                <w:p w14:paraId="7043828D">
                  <w:pPr>
                    <w:spacing w:line="240" w:lineRule="auto"/>
                    <w:outlineLvl w:val="0"/>
                    <w:rPr>
                      <w:rFonts w:hint="default" w:ascii="Times New Roman" w:hAnsi="Times New Roman" w:cs="Times New Roman"/>
                      <w:sz w:val="18"/>
                      <w:szCs w:val="18"/>
                      <w:highlight w:val="none"/>
                    </w:rPr>
                  </w:pPr>
                </w:p>
              </w:tc>
            </w:tr>
            <w:tr w14:paraId="4ABCBD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724672DA">
                  <w:pPr>
                    <w:spacing w:line="240" w:lineRule="auto"/>
                    <w:jc w:val="center"/>
                    <w:outlineLvl w:val="0"/>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val="en-US" w:eastAsia="zh-CN"/>
                    </w:rPr>
                    <w:t>8</w:t>
                  </w:r>
                </w:p>
              </w:tc>
              <w:tc>
                <w:tcPr>
                  <w:tcW w:w="1333" w:type="dxa"/>
                  <w:noWrap w:val="0"/>
                  <w:vAlign w:val="center"/>
                </w:tcPr>
                <w:p w14:paraId="37EFB123">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密度</w:t>
                  </w:r>
                </w:p>
              </w:tc>
              <w:tc>
                <w:tcPr>
                  <w:tcW w:w="2928" w:type="dxa"/>
                  <w:noWrap w:val="0"/>
                  <w:vAlign w:val="center"/>
                </w:tcPr>
                <w:p w14:paraId="2C902BF2">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w:t>
                  </w:r>
                </w:p>
              </w:tc>
              <w:tc>
                <w:tcPr>
                  <w:tcW w:w="1682" w:type="dxa"/>
                  <w:noWrap w:val="0"/>
                  <w:vAlign w:val="center"/>
                </w:tcPr>
                <w:p w14:paraId="68EEC313">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w:t>
                  </w:r>
                  <w:r>
                    <w:rPr>
                      <w:rFonts w:hint="eastAsia" w:ascii="Times New Roman" w:hAnsi="Times New Roman" w:cs="Times New Roman"/>
                      <w:sz w:val="18"/>
                      <w:szCs w:val="18"/>
                      <w:highlight w:val="none"/>
                      <w:lang w:val="en-US" w:eastAsia="zh-CN"/>
                    </w:rPr>
                    <w:t>35</w:t>
                  </w:r>
                  <w:r>
                    <w:rPr>
                      <w:rFonts w:hint="default" w:ascii="Times New Roman" w:hAnsi="Times New Roman" w:cs="Times New Roman"/>
                      <w:sz w:val="18"/>
                      <w:szCs w:val="18"/>
                      <w:highlight w:val="none"/>
                    </w:rPr>
                    <w:t>kg/L</w:t>
                  </w:r>
                </w:p>
              </w:tc>
              <w:tc>
                <w:tcPr>
                  <w:tcW w:w="1682" w:type="dxa"/>
                  <w:vMerge w:val="continue"/>
                  <w:noWrap w:val="0"/>
                  <w:vAlign w:val="top"/>
                </w:tcPr>
                <w:p w14:paraId="052D3EC4">
                  <w:pPr>
                    <w:spacing w:line="240" w:lineRule="auto"/>
                    <w:outlineLvl w:val="0"/>
                    <w:rPr>
                      <w:rFonts w:hint="default" w:ascii="Times New Roman" w:hAnsi="Times New Roman" w:cs="Times New Roman"/>
                      <w:sz w:val="18"/>
                      <w:szCs w:val="18"/>
                      <w:highlight w:val="none"/>
                    </w:rPr>
                  </w:pPr>
                </w:p>
              </w:tc>
            </w:tr>
            <w:tr w14:paraId="4D815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409" w:type="dxa"/>
                  <w:gridSpan w:val="5"/>
                  <w:noWrap w:val="0"/>
                  <w:vAlign w:val="center"/>
                </w:tcPr>
                <w:p w14:paraId="1834A153">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稀释剂成分表</w:t>
                  </w:r>
                </w:p>
              </w:tc>
            </w:tr>
            <w:tr w14:paraId="604D4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0ACBC160">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序号</w:t>
                  </w:r>
                </w:p>
              </w:tc>
              <w:tc>
                <w:tcPr>
                  <w:tcW w:w="1333" w:type="dxa"/>
                  <w:noWrap w:val="0"/>
                  <w:vAlign w:val="center"/>
                </w:tcPr>
                <w:p w14:paraId="2209508F">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成分</w:t>
                  </w:r>
                </w:p>
              </w:tc>
              <w:tc>
                <w:tcPr>
                  <w:tcW w:w="2928" w:type="dxa"/>
                  <w:noWrap w:val="0"/>
                  <w:vAlign w:val="center"/>
                </w:tcPr>
                <w:p w14:paraId="7300FB6F">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化学组成</w:t>
                  </w:r>
                </w:p>
              </w:tc>
              <w:tc>
                <w:tcPr>
                  <w:tcW w:w="1682" w:type="dxa"/>
                  <w:noWrap w:val="0"/>
                  <w:vAlign w:val="center"/>
                </w:tcPr>
                <w:p w14:paraId="1CDB436E">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重量百分比（%）</w:t>
                  </w:r>
                </w:p>
              </w:tc>
              <w:tc>
                <w:tcPr>
                  <w:tcW w:w="1682" w:type="dxa"/>
                  <w:noWrap w:val="0"/>
                  <w:vAlign w:val="center"/>
                </w:tcPr>
                <w:p w14:paraId="2B158438">
                  <w:pPr>
                    <w:spacing w:line="240" w:lineRule="auto"/>
                    <w:jc w:val="center"/>
                    <w:outlineLvl w:val="0"/>
                    <w:rPr>
                      <w:rFonts w:hint="default" w:ascii="Times New Roman" w:hAnsi="Times New Roman" w:cs="Times New Roman"/>
                      <w:b/>
                      <w:bCs/>
                      <w:sz w:val="18"/>
                      <w:szCs w:val="18"/>
                      <w:highlight w:val="none"/>
                    </w:rPr>
                  </w:pPr>
                  <w:r>
                    <w:rPr>
                      <w:rFonts w:hint="default" w:ascii="Times New Roman" w:hAnsi="Times New Roman" w:cs="Times New Roman"/>
                      <w:b/>
                      <w:bCs/>
                      <w:sz w:val="18"/>
                      <w:szCs w:val="18"/>
                      <w:highlight w:val="none"/>
                    </w:rPr>
                    <w:t>备注</w:t>
                  </w:r>
                </w:p>
              </w:tc>
            </w:tr>
            <w:tr w14:paraId="4C0178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4" w:type="dxa"/>
                  <w:noWrap w:val="0"/>
                  <w:vAlign w:val="center"/>
                </w:tcPr>
                <w:p w14:paraId="028C6CF0">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w:t>
                  </w:r>
                </w:p>
              </w:tc>
              <w:tc>
                <w:tcPr>
                  <w:tcW w:w="1333" w:type="dxa"/>
                  <w:noWrap w:val="0"/>
                  <w:vAlign w:val="center"/>
                </w:tcPr>
                <w:p w14:paraId="74E292CF">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成分</w:t>
                  </w:r>
                </w:p>
              </w:tc>
              <w:tc>
                <w:tcPr>
                  <w:tcW w:w="2928" w:type="dxa"/>
                  <w:noWrap w:val="0"/>
                  <w:vAlign w:val="center"/>
                </w:tcPr>
                <w:p w14:paraId="43730A67">
                  <w:pPr>
                    <w:spacing w:line="240" w:lineRule="auto"/>
                    <w:jc w:val="center"/>
                    <w:outlineLvl w:val="0"/>
                    <w:rPr>
                      <w:rFonts w:hint="default" w:ascii="Times New Roman" w:hAnsi="Times New Roman" w:eastAsia="宋体" w:cs="Times New Roman"/>
                      <w:sz w:val="18"/>
                      <w:szCs w:val="18"/>
                      <w:highlight w:val="none"/>
                      <w:lang w:val="en-US" w:eastAsia="zh-CN"/>
                    </w:rPr>
                  </w:pPr>
                  <w:r>
                    <w:rPr>
                      <w:rFonts w:hint="eastAsia" w:ascii="Times New Roman" w:hAnsi="Times New Roman" w:cs="Times New Roman"/>
                      <w:sz w:val="18"/>
                      <w:szCs w:val="18"/>
                      <w:highlight w:val="none"/>
                      <w:lang w:val="en-US" w:eastAsia="zh-CN"/>
                    </w:rPr>
                    <w:t>200#溶剂</w:t>
                  </w:r>
                </w:p>
              </w:tc>
              <w:tc>
                <w:tcPr>
                  <w:tcW w:w="1682" w:type="dxa"/>
                  <w:noWrap w:val="0"/>
                  <w:vAlign w:val="center"/>
                </w:tcPr>
                <w:p w14:paraId="67E2A805">
                  <w:pPr>
                    <w:spacing w:line="240" w:lineRule="auto"/>
                    <w:jc w:val="center"/>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100</w:t>
                  </w:r>
                </w:p>
              </w:tc>
              <w:tc>
                <w:tcPr>
                  <w:tcW w:w="1682" w:type="dxa"/>
                  <w:noWrap w:val="0"/>
                  <w:vAlign w:val="top"/>
                </w:tcPr>
                <w:p w14:paraId="11E60704">
                  <w:pPr>
                    <w:spacing w:line="240" w:lineRule="auto"/>
                    <w:outlineLvl w:val="0"/>
                    <w:rPr>
                      <w:rFonts w:hint="default" w:ascii="Times New Roman" w:hAnsi="Times New Roman" w:cs="Times New Roman"/>
                      <w:sz w:val="18"/>
                      <w:szCs w:val="18"/>
                      <w:highlight w:val="none"/>
                    </w:rPr>
                  </w:pPr>
                  <w:r>
                    <w:rPr>
                      <w:rFonts w:hint="eastAsia" w:ascii="Times New Roman" w:hAnsi="Times New Roman" w:cs="Times New Roman"/>
                      <w:sz w:val="18"/>
                      <w:szCs w:val="18"/>
                      <w:highlight w:val="none"/>
                      <w:lang w:eastAsia="zh-CN"/>
                    </w:rPr>
                    <w:t>底漆、</w:t>
                  </w:r>
                  <w:r>
                    <w:rPr>
                      <w:rFonts w:hint="default" w:ascii="Times New Roman" w:hAnsi="Times New Roman" w:cs="Times New Roman"/>
                      <w:sz w:val="18"/>
                      <w:szCs w:val="18"/>
                      <w:highlight w:val="none"/>
                    </w:rPr>
                    <w:t>面漆稀释剂</w:t>
                  </w:r>
                </w:p>
              </w:tc>
            </w:tr>
          </w:tbl>
          <w:p w14:paraId="61240A58">
            <w:pPr>
              <w:spacing w:line="360" w:lineRule="auto"/>
              <w:ind w:firstLine="360" w:firstLineChars="200"/>
              <w:outlineLvl w:val="0"/>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综合以上油</w:t>
            </w:r>
            <w:r>
              <w:rPr>
                <w:rFonts w:hint="eastAsia" w:cs="Times New Roman"/>
                <w:sz w:val="18"/>
                <w:szCs w:val="18"/>
                <w:highlight w:val="none"/>
                <w:lang w:eastAsia="zh-CN"/>
              </w:rPr>
              <w:t>性</w:t>
            </w:r>
            <w:r>
              <w:rPr>
                <w:rFonts w:hint="default" w:ascii="Times New Roman" w:hAnsi="Times New Roman" w:cs="Times New Roman"/>
                <w:sz w:val="18"/>
                <w:szCs w:val="18"/>
                <w:highlight w:val="none"/>
              </w:rPr>
              <w:t xml:space="preserve">漆、稀释剂成分表，本项目油漆和稀释剂中固形物和挥发性有机溶剂的成分组成见表 </w:t>
            </w:r>
            <w:r>
              <w:rPr>
                <w:rFonts w:hint="default" w:ascii="Times New Roman" w:hAnsi="Times New Roman" w:cs="Times New Roman"/>
                <w:sz w:val="18"/>
                <w:szCs w:val="18"/>
                <w:highlight w:val="none"/>
                <w:lang w:val="en-US" w:eastAsia="zh-CN"/>
              </w:rPr>
              <w:t>2-</w:t>
            </w:r>
            <w:r>
              <w:rPr>
                <w:rFonts w:hint="eastAsia" w:cs="Times New Roman"/>
                <w:sz w:val="18"/>
                <w:szCs w:val="18"/>
                <w:highlight w:val="none"/>
                <w:lang w:val="en-US" w:eastAsia="zh-CN"/>
              </w:rPr>
              <w:t>6</w:t>
            </w:r>
            <w:r>
              <w:rPr>
                <w:rFonts w:hint="default" w:ascii="Times New Roman" w:hAnsi="Times New Roman" w:cs="Times New Roman"/>
                <w:sz w:val="18"/>
                <w:szCs w:val="18"/>
                <w:highlight w:val="none"/>
              </w:rPr>
              <w:t xml:space="preserve">。 </w:t>
            </w:r>
          </w:p>
          <w:p w14:paraId="496C4939">
            <w:pPr>
              <w:spacing w:line="360" w:lineRule="auto"/>
              <w:ind w:firstLine="361" w:firstLineChars="200"/>
              <w:jc w:val="center"/>
              <w:outlineLvl w:val="0"/>
              <w:rPr>
                <w:rFonts w:hint="eastAsia" w:ascii="宋体" w:hAnsi="宋体" w:eastAsia="宋体" w:cs="宋体"/>
                <w:b/>
                <w:bCs/>
                <w:sz w:val="18"/>
                <w:szCs w:val="18"/>
                <w:highlight w:val="none"/>
              </w:rPr>
            </w:pPr>
            <w:r>
              <w:rPr>
                <w:rFonts w:hint="eastAsia" w:ascii="宋体" w:hAnsi="宋体" w:eastAsia="宋体" w:cs="宋体"/>
                <w:b/>
                <w:bCs/>
                <w:sz w:val="18"/>
                <w:szCs w:val="18"/>
                <w:highlight w:val="none"/>
              </w:rPr>
              <w:t xml:space="preserve">表 </w:t>
            </w:r>
            <w:r>
              <w:rPr>
                <w:rFonts w:hint="eastAsia" w:ascii="宋体" w:hAnsi="宋体" w:eastAsia="宋体" w:cs="宋体"/>
                <w:b/>
                <w:bCs/>
                <w:sz w:val="18"/>
                <w:szCs w:val="18"/>
                <w:highlight w:val="none"/>
                <w:lang w:val="en-US" w:eastAsia="zh-CN"/>
              </w:rPr>
              <w:t>2-6</w:t>
            </w:r>
            <w:r>
              <w:rPr>
                <w:rFonts w:hint="eastAsia" w:ascii="宋体" w:hAnsi="宋体" w:eastAsia="宋体" w:cs="宋体"/>
                <w:b/>
                <w:bCs/>
                <w:sz w:val="18"/>
                <w:szCs w:val="18"/>
                <w:highlight w:val="none"/>
              </w:rPr>
              <w:t xml:space="preserve"> 原料油漆和稀释剂固形物、挥发性有机溶剂占比一览表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5"/>
              <w:gridCol w:w="1714"/>
              <w:gridCol w:w="3620"/>
              <w:gridCol w:w="2115"/>
            </w:tblGrid>
            <w:tr w14:paraId="120A5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4" w:type="dxa"/>
                  <w:noWrap w:val="0"/>
                  <w:vAlign w:val="center"/>
                </w:tcPr>
                <w:p w14:paraId="2647A2DD">
                  <w:pPr>
                    <w:spacing w:line="240" w:lineRule="auto"/>
                    <w:jc w:val="center"/>
                    <w:outlineLvl w:val="0"/>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1713" w:type="dxa"/>
                  <w:noWrap w:val="0"/>
                  <w:vAlign w:val="center"/>
                </w:tcPr>
                <w:p w14:paraId="02E02536">
                  <w:pPr>
                    <w:spacing w:line="240" w:lineRule="auto"/>
                    <w:jc w:val="center"/>
                    <w:outlineLvl w:val="0"/>
                    <w:rPr>
                      <w:rFonts w:hint="default" w:ascii="Times New Roman" w:hAnsi="Times New Roman" w:cs="Times New Roman"/>
                      <w:b/>
                      <w:bCs/>
                      <w:sz w:val="18"/>
                      <w:szCs w:val="18"/>
                    </w:rPr>
                  </w:pPr>
                  <w:r>
                    <w:rPr>
                      <w:rFonts w:hint="default" w:ascii="Times New Roman" w:hAnsi="Times New Roman" w:cs="Times New Roman"/>
                      <w:b/>
                      <w:bCs/>
                      <w:sz w:val="18"/>
                      <w:szCs w:val="18"/>
                    </w:rPr>
                    <w:t>密度</w:t>
                  </w:r>
                </w:p>
              </w:tc>
              <w:tc>
                <w:tcPr>
                  <w:tcW w:w="3618" w:type="dxa"/>
                  <w:noWrap w:val="0"/>
                  <w:vAlign w:val="center"/>
                </w:tcPr>
                <w:p w14:paraId="5B3FED40">
                  <w:pPr>
                    <w:spacing w:line="240" w:lineRule="auto"/>
                    <w:jc w:val="center"/>
                    <w:outlineLvl w:val="0"/>
                    <w:rPr>
                      <w:rFonts w:hint="default" w:ascii="Times New Roman" w:hAnsi="Times New Roman" w:cs="Times New Roman"/>
                      <w:b/>
                      <w:bCs/>
                      <w:sz w:val="18"/>
                      <w:szCs w:val="18"/>
                    </w:rPr>
                  </w:pPr>
                  <w:r>
                    <w:rPr>
                      <w:rFonts w:hint="default" w:ascii="Times New Roman" w:hAnsi="Times New Roman" w:cs="Times New Roman"/>
                      <w:b/>
                      <w:bCs/>
                      <w:sz w:val="18"/>
                      <w:szCs w:val="18"/>
                    </w:rPr>
                    <w:t>组成</w:t>
                  </w:r>
                </w:p>
              </w:tc>
              <w:tc>
                <w:tcPr>
                  <w:tcW w:w="2114" w:type="dxa"/>
                  <w:noWrap w:val="0"/>
                  <w:vAlign w:val="center"/>
                </w:tcPr>
                <w:p w14:paraId="69A4BC99">
                  <w:pPr>
                    <w:spacing w:line="240" w:lineRule="auto"/>
                    <w:jc w:val="center"/>
                    <w:outlineLvl w:val="0"/>
                    <w:rPr>
                      <w:rFonts w:hint="default" w:ascii="Times New Roman" w:hAnsi="Times New Roman" w:cs="Times New Roman"/>
                      <w:b/>
                      <w:bCs/>
                      <w:sz w:val="18"/>
                      <w:szCs w:val="18"/>
                    </w:rPr>
                  </w:pPr>
                  <w:r>
                    <w:rPr>
                      <w:rFonts w:hint="default" w:ascii="Times New Roman" w:hAnsi="Times New Roman" w:cs="Times New Roman"/>
                      <w:b/>
                      <w:bCs/>
                      <w:sz w:val="18"/>
                      <w:szCs w:val="18"/>
                    </w:rPr>
                    <w:t>百分比（%）</w:t>
                  </w:r>
                </w:p>
              </w:tc>
            </w:tr>
            <w:tr w14:paraId="39E65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4" w:type="dxa"/>
                  <w:vMerge w:val="restart"/>
                  <w:noWrap w:val="0"/>
                  <w:vAlign w:val="center"/>
                </w:tcPr>
                <w:p w14:paraId="79AB798D">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面漆</w:t>
                  </w:r>
                </w:p>
              </w:tc>
              <w:tc>
                <w:tcPr>
                  <w:tcW w:w="1713" w:type="dxa"/>
                  <w:vMerge w:val="restart"/>
                  <w:noWrap w:val="0"/>
                  <w:vAlign w:val="center"/>
                </w:tcPr>
                <w:p w14:paraId="5A21697C">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1.2</w:t>
                  </w:r>
                  <w:r>
                    <w:rPr>
                      <w:rFonts w:hint="eastAsia" w:ascii="Times New Roman" w:hAnsi="Times New Roman" w:cs="Times New Roman"/>
                      <w:sz w:val="18"/>
                      <w:szCs w:val="18"/>
                      <w:lang w:val="en-US" w:eastAsia="zh-CN"/>
                    </w:rPr>
                    <w:t>5</w:t>
                  </w:r>
                  <w:r>
                    <w:rPr>
                      <w:rFonts w:hint="default" w:ascii="Times New Roman" w:hAnsi="Times New Roman" w:cs="Times New Roman"/>
                      <w:sz w:val="18"/>
                      <w:szCs w:val="18"/>
                    </w:rPr>
                    <w:t>kg/L</w:t>
                  </w:r>
                </w:p>
              </w:tc>
              <w:tc>
                <w:tcPr>
                  <w:tcW w:w="3618" w:type="dxa"/>
                  <w:noWrap w:val="0"/>
                  <w:vAlign w:val="center"/>
                </w:tcPr>
                <w:p w14:paraId="7E18A099">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固形物（醇酸树脂、颜料等）</w:t>
                  </w:r>
                </w:p>
              </w:tc>
              <w:tc>
                <w:tcPr>
                  <w:tcW w:w="2114" w:type="dxa"/>
                  <w:noWrap w:val="0"/>
                  <w:vAlign w:val="center"/>
                </w:tcPr>
                <w:p w14:paraId="4AD64ECF">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90.5</w:t>
                  </w:r>
                </w:p>
              </w:tc>
            </w:tr>
            <w:tr w14:paraId="074A53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4" w:type="dxa"/>
                  <w:vMerge w:val="continue"/>
                  <w:noWrap w:val="0"/>
                  <w:vAlign w:val="center"/>
                </w:tcPr>
                <w:p w14:paraId="76B0EC69">
                  <w:pPr>
                    <w:spacing w:line="240" w:lineRule="auto"/>
                    <w:jc w:val="center"/>
                    <w:outlineLvl w:val="0"/>
                    <w:rPr>
                      <w:rFonts w:hint="default" w:ascii="Times New Roman" w:hAnsi="Times New Roman" w:cs="Times New Roman"/>
                      <w:sz w:val="18"/>
                      <w:szCs w:val="18"/>
                    </w:rPr>
                  </w:pPr>
                </w:p>
              </w:tc>
              <w:tc>
                <w:tcPr>
                  <w:tcW w:w="1713" w:type="dxa"/>
                  <w:vMerge w:val="continue"/>
                  <w:noWrap w:val="0"/>
                  <w:vAlign w:val="center"/>
                </w:tcPr>
                <w:p w14:paraId="37A28F34">
                  <w:pPr>
                    <w:spacing w:line="240" w:lineRule="auto"/>
                    <w:jc w:val="center"/>
                    <w:outlineLvl w:val="0"/>
                    <w:rPr>
                      <w:rFonts w:hint="default" w:ascii="Times New Roman" w:hAnsi="Times New Roman" w:cs="Times New Roman"/>
                      <w:sz w:val="18"/>
                      <w:szCs w:val="18"/>
                    </w:rPr>
                  </w:pPr>
                </w:p>
              </w:tc>
              <w:tc>
                <w:tcPr>
                  <w:tcW w:w="3618" w:type="dxa"/>
                  <w:noWrap w:val="0"/>
                  <w:vAlign w:val="center"/>
                </w:tcPr>
                <w:p w14:paraId="0C49364C">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挥发性有机溶剂（</w:t>
                  </w:r>
                  <w:r>
                    <w:rPr>
                      <w:rFonts w:hint="eastAsia" w:ascii="Times New Roman" w:hAnsi="Times New Roman" w:cs="Times New Roman"/>
                      <w:sz w:val="18"/>
                      <w:szCs w:val="18"/>
                      <w:lang w:val="en-US" w:eastAsia="zh-CN"/>
                    </w:rPr>
                    <w:t>200#溶剂</w:t>
                  </w:r>
                  <w:r>
                    <w:rPr>
                      <w:rFonts w:hint="default" w:ascii="Times New Roman" w:hAnsi="Times New Roman" w:cs="Times New Roman"/>
                      <w:sz w:val="18"/>
                      <w:szCs w:val="18"/>
                    </w:rPr>
                    <w:t>）</w:t>
                  </w:r>
                </w:p>
              </w:tc>
              <w:tc>
                <w:tcPr>
                  <w:tcW w:w="2114" w:type="dxa"/>
                  <w:noWrap w:val="0"/>
                  <w:vAlign w:val="center"/>
                </w:tcPr>
                <w:p w14:paraId="2FD90233">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9.5</w:t>
                  </w:r>
                </w:p>
              </w:tc>
            </w:tr>
            <w:tr w14:paraId="15CFC8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4" w:type="dxa"/>
                  <w:vMerge w:val="restart"/>
                  <w:noWrap w:val="0"/>
                  <w:vAlign w:val="center"/>
                </w:tcPr>
                <w:p w14:paraId="6FDEB455">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底漆</w:t>
                  </w:r>
                </w:p>
              </w:tc>
              <w:tc>
                <w:tcPr>
                  <w:tcW w:w="1713" w:type="dxa"/>
                  <w:vMerge w:val="restart"/>
                  <w:noWrap w:val="0"/>
                  <w:vAlign w:val="center"/>
                </w:tcPr>
                <w:p w14:paraId="060D1314">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1.</w:t>
                  </w:r>
                  <w:r>
                    <w:rPr>
                      <w:rFonts w:hint="eastAsia" w:ascii="Times New Roman" w:hAnsi="Times New Roman" w:cs="Times New Roman"/>
                      <w:sz w:val="18"/>
                      <w:szCs w:val="18"/>
                      <w:lang w:val="en-US" w:eastAsia="zh-CN"/>
                    </w:rPr>
                    <w:t>35</w:t>
                  </w:r>
                  <w:r>
                    <w:rPr>
                      <w:rFonts w:hint="default" w:ascii="Times New Roman" w:hAnsi="Times New Roman" w:cs="Times New Roman"/>
                      <w:sz w:val="18"/>
                      <w:szCs w:val="18"/>
                    </w:rPr>
                    <w:t>kg/L</w:t>
                  </w:r>
                </w:p>
              </w:tc>
              <w:tc>
                <w:tcPr>
                  <w:tcW w:w="3618" w:type="dxa"/>
                  <w:noWrap w:val="0"/>
                  <w:vAlign w:val="center"/>
                </w:tcPr>
                <w:p w14:paraId="4F3E8082">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固形物（醇酸树脂、颜料等）</w:t>
                  </w:r>
                </w:p>
              </w:tc>
              <w:tc>
                <w:tcPr>
                  <w:tcW w:w="2114" w:type="dxa"/>
                  <w:noWrap w:val="0"/>
                  <w:vAlign w:val="center"/>
                </w:tcPr>
                <w:p w14:paraId="7CD2CED7">
                  <w:pPr>
                    <w:spacing w:line="240" w:lineRule="auto"/>
                    <w:jc w:val="center"/>
                    <w:outlineLvl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95</w:t>
                  </w:r>
                  <w:r>
                    <w:rPr>
                      <w:rFonts w:hint="default" w:ascii="Times New Roman" w:hAnsi="Times New Roman" w:cs="Times New Roman"/>
                      <w:sz w:val="18"/>
                      <w:szCs w:val="18"/>
                    </w:rPr>
                    <w:t>.5</w:t>
                  </w:r>
                </w:p>
              </w:tc>
            </w:tr>
            <w:tr w14:paraId="4606A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4" w:type="dxa"/>
                  <w:vMerge w:val="continue"/>
                  <w:noWrap w:val="0"/>
                  <w:vAlign w:val="center"/>
                </w:tcPr>
                <w:p w14:paraId="461487AA">
                  <w:pPr>
                    <w:spacing w:line="240" w:lineRule="auto"/>
                    <w:jc w:val="center"/>
                    <w:outlineLvl w:val="0"/>
                    <w:rPr>
                      <w:rFonts w:hint="default" w:ascii="Times New Roman" w:hAnsi="Times New Roman" w:cs="Times New Roman"/>
                      <w:sz w:val="18"/>
                      <w:szCs w:val="18"/>
                    </w:rPr>
                  </w:pPr>
                </w:p>
              </w:tc>
              <w:tc>
                <w:tcPr>
                  <w:tcW w:w="1713" w:type="dxa"/>
                  <w:vMerge w:val="continue"/>
                  <w:noWrap w:val="0"/>
                  <w:vAlign w:val="center"/>
                </w:tcPr>
                <w:p w14:paraId="16D61CD2">
                  <w:pPr>
                    <w:spacing w:line="240" w:lineRule="auto"/>
                    <w:jc w:val="center"/>
                    <w:outlineLvl w:val="0"/>
                    <w:rPr>
                      <w:rFonts w:hint="default" w:ascii="Times New Roman" w:hAnsi="Times New Roman" w:cs="Times New Roman"/>
                      <w:sz w:val="18"/>
                      <w:szCs w:val="18"/>
                    </w:rPr>
                  </w:pPr>
                </w:p>
              </w:tc>
              <w:tc>
                <w:tcPr>
                  <w:tcW w:w="3618" w:type="dxa"/>
                  <w:noWrap w:val="0"/>
                  <w:vAlign w:val="center"/>
                </w:tcPr>
                <w:p w14:paraId="254B7434">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挥发性有机溶剂（</w:t>
                  </w:r>
                  <w:r>
                    <w:rPr>
                      <w:rFonts w:hint="eastAsia" w:ascii="Times New Roman" w:hAnsi="Times New Roman" w:cs="Times New Roman"/>
                      <w:sz w:val="18"/>
                      <w:szCs w:val="18"/>
                      <w:lang w:val="en-US" w:eastAsia="zh-CN"/>
                    </w:rPr>
                    <w:t>200#溶剂</w:t>
                  </w:r>
                  <w:r>
                    <w:rPr>
                      <w:rFonts w:hint="default" w:ascii="Times New Roman" w:hAnsi="Times New Roman" w:cs="Times New Roman"/>
                      <w:sz w:val="18"/>
                      <w:szCs w:val="18"/>
                    </w:rPr>
                    <w:t>）</w:t>
                  </w:r>
                </w:p>
              </w:tc>
              <w:tc>
                <w:tcPr>
                  <w:tcW w:w="2114" w:type="dxa"/>
                  <w:noWrap w:val="0"/>
                  <w:vAlign w:val="center"/>
                </w:tcPr>
                <w:p w14:paraId="052363E3">
                  <w:pPr>
                    <w:spacing w:line="240" w:lineRule="auto"/>
                    <w:jc w:val="center"/>
                    <w:outlineLvl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4</w:t>
                  </w:r>
                  <w:r>
                    <w:rPr>
                      <w:rFonts w:hint="default" w:ascii="Times New Roman" w:hAnsi="Times New Roman" w:cs="Times New Roman"/>
                      <w:sz w:val="18"/>
                      <w:szCs w:val="18"/>
                    </w:rPr>
                    <w:t>.5</w:t>
                  </w:r>
                </w:p>
              </w:tc>
            </w:tr>
            <w:tr w14:paraId="066F2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4" w:type="dxa"/>
                  <w:vMerge w:val="restart"/>
                  <w:noWrap w:val="0"/>
                  <w:vAlign w:val="center"/>
                </w:tcPr>
                <w:p w14:paraId="0A651497">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稀释剂</w:t>
                  </w:r>
                </w:p>
              </w:tc>
              <w:tc>
                <w:tcPr>
                  <w:tcW w:w="1713" w:type="dxa"/>
                  <w:vMerge w:val="restart"/>
                  <w:noWrap w:val="0"/>
                  <w:vAlign w:val="center"/>
                </w:tcPr>
                <w:p w14:paraId="40316F42">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w:t>
                  </w:r>
                </w:p>
              </w:tc>
              <w:tc>
                <w:tcPr>
                  <w:tcW w:w="3618" w:type="dxa"/>
                  <w:noWrap w:val="0"/>
                  <w:vAlign w:val="center"/>
                </w:tcPr>
                <w:p w14:paraId="3ED24716">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固形物</w:t>
                  </w:r>
                </w:p>
              </w:tc>
              <w:tc>
                <w:tcPr>
                  <w:tcW w:w="2114" w:type="dxa"/>
                  <w:noWrap w:val="0"/>
                  <w:vAlign w:val="center"/>
                </w:tcPr>
                <w:p w14:paraId="69CD7E20">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0</w:t>
                  </w:r>
                </w:p>
              </w:tc>
            </w:tr>
            <w:tr w14:paraId="3EE16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4" w:type="dxa"/>
                  <w:vMerge w:val="continue"/>
                  <w:noWrap w:val="0"/>
                  <w:vAlign w:val="center"/>
                </w:tcPr>
                <w:p w14:paraId="4C8629D9">
                  <w:pPr>
                    <w:spacing w:line="240" w:lineRule="auto"/>
                    <w:jc w:val="center"/>
                    <w:outlineLvl w:val="0"/>
                    <w:rPr>
                      <w:rFonts w:hint="default" w:ascii="Times New Roman" w:hAnsi="Times New Roman" w:cs="Times New Roman"/>
                      <w:sz w:val="18"/>
                      <w:szCs w:val="18"/>
                    </w:rPr>
                  </w:pPr>
                </w:p>
              </w:tc>
              <w:tc>
                <w:tcPr>
                  <w:tcW w:w="1713" w:type="dxa"/>
                  <w:vMerge w:val="continue"/>
                  <w:noWrap w:val="0"/>
                  <w:vAlign w:val="center"/>
                </w:tcPr>
                <w:p w14:paraId="06EA6D40">
                  <w:pPr>
                    <w:spacing w:line="240" w:lineRule="auto"/>
                    <w:jc w:val="center"/>
                    <w:outlineLvl w:val="0"/>
                    <w:rPr>
                      <w:rFonts w:hint="default" w:ascii="Times New Roman" w:hAnsi="Times New Roman" w:cs="Times New Roman"/>
                      <w:sz w:val="18"/>
                      <w:szCs w:val="18"/>
                    </w:rPr>
                  </w:pPr>
                </w:p>
              </w:tc>
              <w:tc>
                <w:tcPr>
                  <w:tcW w:w="3618" w:type="dxa"/>
                  <w:noWrap w:val="0"/>
                  <w:vAlign w:val="center"/>
                </w:tcPr>
                <w:p w14:paraId="3B332090">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挥发性有机溶剂（</w:t>
                  </w:r>
                  <w:r>
                    <w:rPr>
                      <w:rFonts w:hint="eastAsia" w:ascii="Times New Roman" w:hAnsi="Times New Roman" w:cs="Times New Roman"/>
                      <w:sz w:val="18"/>
                      <w:szCs w:val="18"/>
                      <w:lang w:val="en-US" w:eastAsia="zh-CN"/>
                    </w:rPr>
                    <w:t>200#溶剂</w:t>
                  </w:r>
                  <w:r>
                    <w:rPr>
                      <w:rFonts w:hint="default" w:ascii="Times New Roman" w:hAnsi="Times New Roman" w:cs="Times New Roman"/>
                      <w:sz w:val="18"/>
                      <w:szCs w:val="18"/>
                    </w:rPr>
                    <w:t>）</w:t>
                  </w:r>
                </w:p>
              </w:tc>
              <w:tc>
                <w:tcPr>
                  <w:tcW w:w="2114" w:type="dxa"/>
                  <w:noWrap w:val="0"/>
                  <w:vAlign w:val="center"/>
                </w:tcPr>
                <w:p w14:paraId="1E6D0858">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100</w:t>
                  </w:r>
                </w:p>
              </w:tc>
            </w:tr>
            <w:bookmarkEnd w:id="3"/>
          </w:tbl>
          <w:p w14:paraId="6405FB27">
            <w:pPr>
              <w:spacing w:line="360" w:lineRule="auto"/>
              <w:ind w:firstLine="360" w:firstLineChars="200"/>
              <w:rPr>
                <w:rFonts w:hint="default" w:ascii="Times New Roman" w:hAnsi="Times New Roman" w:cs="Times New Roman"/>
                <w:sz w:val="18"/>
                <w:szCs w:val="18"/>
              </w:rPr>
            </w:pPr>
            <w:r>
              <w:rPr>
                <w:rFonts w:hint="default" w:ascii="Times New Roman" w:hAnsi="Times New Roman" w:cs="Times New Roman"/>
                <w:sz w:val="18"/>
                <w:szCs w:val="18"/>
              </w:rPr>
              <w:t>2）</w:t>
            </w:r>
            <w:r>
              <w:rPr>
                <w:rFonts w:hint="eastAsia" w:cs="Times New Roman"/>
                <w:sz w:val="18"/>
                <w:szCs w:val="18"/>
                <w:lang w:val="en-US" w:eastAsia="zh-CN"/>
              </w:rPr>
              <w:t>底漆、面漆、稀释剂</w:t>
            </w:r>
            <w:r>
              <w:rPr>
                <w:rFonts w:hint="default" w:ascii="Times New Roman" w:hAnsi="Times New Roman" w:cs="Times New Roman"/>
                <w:sz w:val="18"/>
                <w:szCs w:val="18"/>
              </w:rPr>
              <w:t>物理性状</w:t>
            </w:r>
          </w:p>
          <w:p w14:paraId="6D884CF5">
            <w:pPr>
              <w:spacing w:line="360" w:lineRule="auto"/>
              <w:ind w:firstLine="480"/>
              <w:rPr>
                <w:rFonts w:hint="default" w:ascii="Times New Roman" w:hAnsi="Times New Roman" w:cs="Times New Roman"/>
                <w:sz w:val="18"/>
                <w:szCs w:val="18"/>
              </w:rPr>
            </w:pPr>
            <w:r>
              <w:rPr>
                <w:rFonts w:hint="default" w:ascii="Times New Roman" w:hAnsi="Times New Roman" w:cs="Times New Roman"/>
                <w:sz w:val="18"/>
                <w:szCs w:val="18"/>
              </w:rPr>
              <w:t>理化性质见下表。</w:t>
            </w:r>
          </w:p>
          <w:p w14:paraId="3D1FFC3B">
            <w:pPr>
              <w:spacing w:line="360" w:lineRule="auto"/>
              <w:ind w:firstLine="361" w:firstLineChars="200"/>
              <w:jc w:val="center"/>
              <w:rPr>
                <w:rFonts w:hint="eastAsia" w:ascii="宋体" w:hAnsi="宋体" w:eastAsia="宋体" w:cs="宋体"/>
                <w:b/>
                <w:bCs w:val="0"/>
                <w:kern w:val="0"/>
                <w:sz w:val="18"/>
                <w:szCs w:val="18"/>
              </w:rPr>
            </w:pPr>
            <w:r>
              <w:rPr>
                <w:rFonts w:hint="eastAsia" w:ascii="宋体" w:hAnsi="宋体" w:eastAsia="宋体" w:cs="宋体"/>
                <w:b/>
                <w:bCs w:val="0"/>
                <w:kern w:val="0"/>
                <w:sz w:val="18"/>
                <w:szCs w:val="18"/>
              </w:rPr>
              <w:t>表2-7  主要原辅材料理化性质一览表</w:t>
            </w:r>
          </w:p>
          <w:tbl>
            <w:tblPr>
              <w:tblStyle w:val="81"/>
              <w:tblW w:w="498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935"/>
              <w:gridCol w:w="2068"/>
              <w:gridCol w:w="1155"/>
              <w:gridCol w:w="4231"/>
            </w:tblGrid>
            <w:tr w14:paraId="60B0F30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blHeader/>
                <w:jc w:val="center"/>
              </w:trPr>
              <w:tc>
                <w:tcPr>
                  <w:tcW w:w="557" w:type="pct"/>
                  <w:tcBorders>
                    <w:top w:val="single" w:color="auto" w:sz="2" w:space="0"/>
                    <w:left w:val="single" w:color="auto" w:sz="2" w:space="0"/>
                    <w:bottom w:val="single" w:color="auto" w:sz="2" w:space="0"/>
                    <w:right w:val="single" w:color="auto" w:sz="2" w:space="0"/>
                  </w:tcBorders>
                  <w:vAlign w:val="center"/>
                </w:tcPr>
                <w:p w14:paraId="407D3A55">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名称</w:t>
                  </w:r>
                </w:p>
              </w:tc>
              <w:tc>
                <w:tcPr>
                  <w:tcW w:w="1232" w:type="pct"/>
                  <w:tcBorders>
                    <w:top w:val="single" w:color="auto" w:sz="2" w:space="0"/>
                    <w:left w:val="single" w:color="auto" w:sz="2" w:space="0"/>
                    <w:bottom w:val="single" w:color="auto" w:sz="2" w:space="0"/>
                    <w:right w:val="single" w:color="auto" w:sz="2" w:space="0"/>
                  </w:tcBorders>
                  <w:vAlign w:val="center"/>
                </w:tcPr>
                <w:p w14:paraId="4AF3B429">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理化特性</w:t>
                  </w:r>
                </w:p>
              </w:tc>
              <w:tc>
                <w:tcPr>
                  <w:tcW w:w="688" w:type="pct"/>
                  <w:tcBorders>
                    <w:top w:val="single" w:color="auto" w:sz="2" w:space="0"/>
                    <w:left w:val="single" w:color="auto" w:sz="2" w:space="0"/>
                    <w:bottom w:val="single" w:color="auto" w:sz="2" w:space="0"/>
                    <w:right w:val="single" w:color="auto" w:sz="2" w:space="0"/>
                  </w:tcBorders>
                  <w:vAlign w:val="center"/>
                </w:tcPr>
                <w:p w14:paraId="241FA1ED">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爆炸燃烧性</w:t>
                  </w:r>
                </w:p>
              </w:tc>
              <w:tc>
                <w:tcPr>
                  <w:tcW w:w="2521" w:type="pct"/>
                  <w:tcBorders>
                    <w:top w:val="single" w:color="auto" w:sz="2" w:space="0"/>
                    <w:left w:val="single" w:color="auto" w:sz="2" w:space="0"/>
                    <w:bottom w:val="single" w:color="auto" w:sz="2" w:space="0"/>
                    <w:right w:val="single" w:color="auto" w:sz="2" w:space="0"/>
                  </w:tcBorders>
                  <w:vAlign w:val="center"/>
                </w:tcPr>
                <w:p w14:paraId="3E0B3A1C">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毒性毒理</w:t>
                  </w:r>
                </w:p>
              </w:tc>
            </w:tr>
            <w:tr w14:paraId="2D3E30B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557" w:type="pct"/>
                  <w:tcBorders>
                    <w:top w:val="single" w:color="auto" w:sz="2" w:space="0"/>
                    <w:left w:val="single" w:color="auto" w:sz="2" w:space="0"/>
                    <w:bottom w:val="single" w:color="auto" w:sz="2" w:space="0"/>
                    <w:right w:val="single" w:color="auto" w:sz="2" w:space="0"/>
                  </w:tcBorders>
                  <w:vAlign w:val="center"/>
                </w:tcPr>
                <w:p w14:paraId="3C13A3DE">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底漆</w:t>
                  </w:r>
                </w:p>
              </w:tc>
              <w:tc>
                <w:tcPr>
                  <w:tcW w:w="1232" w:type="pct"/>
                  <w:tcBorders>
                    <w:top w:val="single" w:color="auto" w:sz="2" w:space="0"/>
                    <w:left w:val="single" w:color="auto" w:sz="2" w:space="0"/>
                    <w:bottom w:val="single" w:color="auto" w:sz="2" w:space="0"/>
                    <w:right w:val="single" w:color="auto" w:sz="2" w:space="0"/>
                  </w:tcBorders>
                  <w:vAlign w:val="center"/>
                </w:tcPr>
                <w:p w14:paraId="7AE9607B">
                  <w:pPr>
                    <w:pStyle w:val="200"/>
                    <w:spacing w:before="24" w:after="24"/>
                    <w:jc w:val="both"/>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粘稠液体；有</w:t>
                  </w:r>
                  <w:r>
                    <w:rPr>
                      <w:rFonts w:hint="eastAsia" w:ascii="Times New Roman" w:cs="Times New Roman"/>
                      <w:sz w:val="18"/>
                      <w:szCs w:val="18"/>
                      <w:highlight w:val="none"/>
                      <w:lang w:eastAsia="zh-CN"/>
                    </w:rPr>
                    <w:t>刺鼻</w:t>
                  </w:r>
                  <w:r>
                    <w:rPr>
                      <w:rFonts w:hint="default" w:ascii="Times New Roman" w:hAnsi="Times New Roman" w:cs="Times New Roman"/>
                      <w:sz w:val="18"/>
                      <w:szCs w:val="18"/>
                      <w:highlight w:val="none"/>
                    </w:rPr>
                    <w:t>气味；pH8-9；沸点100℃；相对密度1.</w:t>
                  </w:r>
                  <w:r>
                    <w:rPr>
                      <w:rFonts w:hint="eastAsia" w:ascii="Times New Roman" w:cs="Times New Roman"/>
                      <w:sz w:val="18"/>
                      <w:szCs w:val="18"/>
                      <w:highlight w:val="none"/>
                      <w:lang w:val="en-US" w:eastAsia="zh-CN"/>
                    </w:rPr>
                    <w:t>35</w:t>
                  </w:r>
                  <w:r>
                    <w:rPr>
                      <w:rFonts w:hint="default" w:ascii="Times New Roman" w:hAnsi="Times New Roman" w:cs="Times New Roman"/>
                      <w:sz w:val="18"/>
                      <w:szCs w:val="18"/>
                    </w:rPr>
                    <w:t>kg/L</w:t>
                  </w:r>
                  <w:r>
                    <w:rPr>
                      <w:rFonts w:hint="default" w:ascii="Times New Roman" w:hAnsi="Times New Roman" w:cs="Times New Roman"/>
                      <w:sz w:val="18"/>
                      <w:szCs w:val="18"/>
                      <w:highlight w:val="none"/>
                    </w:rPr>
                    <w:t>；</w:t>
                  </w:r>
                </w:p>
              </w:tc>
              <w:tc>
                <w:tcPr>
                  <w:tcW w:w="688" w:type="pct"/>
                  <w:tcBorders>
                    <w:top w:val="single" w:color="auto" w:sz="2" w:space="0"/>
                    <w:left w:val="single" w:color="auto" w:sz="2" w:space="0"/>
                    <w:bottom w:val="single" w:color="auto" w:sz="2" w:space="0"/>
                    <w:right w:val="single" w:color="auto" w:sz="2" w:space="0"/>
                  </w:tcBorders>
                  <w:vAlign w:val="center"/>
                </w:tcPr>
                <w:p w14:paraId="76D35E79">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可燃液体</w:t>
                  </w:r>
                </w:p>
              </w:tc>
              <w:tc>
                <w:tcPr>
                  <w:tcW w:w="2521" w:type="pct"/>
                  <w:tcBorders>
                    <w:top w:val="single" w:color="auto" w:sz="2" w:space="0"/>
                    <w:left w:val="single" w:color="auto" w:sz="2" w:space="0"/>
                    <w:bottom w:val="single" w:color="auto" w:sz="2" w:space="0"/>
                    <w:right w:val="single" w:color="auto" w:sz="2" w:space="0"/>
                  </w:tcBorders>
                  <w:vAlign w:val="center"/>
                </w:tcPr>
                <w:p w14:paraId="1B5AAE79">
                  <w:pPr>
                    <w:pStyle w:val="200"/>
                    <w:spacing w:before="24" w:after="24"/>
                    <w:jc w:val="both"/>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吸入影响：吸入本品有害，可能导致脑部、神经系统或者呼吸道系统问题，可能出现头晕、头疼、恶心或呼吸道疼痛，也有可能刺激口、鼻、喉等器官。</w:t>
                  </w:r>
                </w:p>
                <w:p w14:paraId="4FEAF695">
                  <w:pPr>
                    <w:pStyle w:val="200"/>
                    <w:spacing w:before="24" w:after="24"/>
                    <w:jc w:val="both"/>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 xml:space="preserve">接触影响：可能引起眼部刺激；可能导致皮炎。 </w:t>
                  </w:r>
                </w:p>
              </w:tc>
            </w:tr>
            <w:tr w14:paraId="24FE7E2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557" w:type="pct"/>
                  <w:tcBorders>
                    <w:top w:val="single" w:color="auto" w:sz="2" w:space="0"/>
                    <w:left w:val="single" w:color="auto" w:sz="2" w:space="0"/>
                    <w:bottom w:val="single" w:color="auto" w:sz="2" w:space="0"/>
                    <w:right w:val="single" w:color="auto" w:sz="2" w:space="0"/>
                  </w:tcBorders>
                  <w:vAlign w:val="center"/>
                </w:tcPr>
                <w:p w14:paraId="52AF9DEF">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面漆</w:t>
                  </w:r>
                </w:p>
              </w:tc>
              <w:tc>
                <w:tcPr>
                  <w:tcW w:w="1232" w:type="pct"/>
                  <w:tcBorders>
                    <w:top w:val="single" w:color="auto" w:sz="2" w:space="0"/>
                    <w:left w:val="single" w:color="auto" w:sz="2" w:space="0"/>
                    <w:bottom w:val="single" w:color="auto" w:sz="2" w:space="0"/>
                    <w:right w:val="single" w:color="auto" w:sz="2" w:space="0"/>
                  </w:tcBorders>
                  <w:vAlign w:val="center"/>
                </w:tcPr>
                <w:p w14:paraId="65FAE95F">
                  <w:pPr>
                    <w:pStyle w:val="200"/>
                    <w:spacing w:before="24" w:after="24"/>
                    <w:jc w:val="both"/>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粘稠液体；有</w:t>
                  </w:r>
                  <w:r>
                    <w:rPr>
                      <w:rFonts w:hint="eastAsia" w:ascii="Times New Roman" w:cs="Times New Roman"/>
                      <w:sz w:val="18"/>
                      <w:szCs w:val="18"/>
                      <w:highlight w:val="none"/>
                      <w:lang w:eastAsia="zh-CN"/>
                    </w:rPr>
                    <w:t>刺鼻</w:t>
                  </w:r>
                  <w:r>
                    <w:rPr>
                      <w:rFonts w:hint="default" w:ascii="Times New Roman" w:hAnsi="Times New Roman" w:cs="Times New Roman"/>
                      <w:sz w:val="18"/>
                      <w:szCs w:val="18"/>
                      <w:highlight w:val="none"/>
                    </w:rPr>
                    <w:t>气味；pH8-9；沸点100℃；相对密度1.</w:t>
                  </w:r>
                  <w:r>
                    <w:rPr>
                      <w:rFonts w:hint="eastAsia" w:ascii="Times New Roman" w:cs="Times New Roman"/>
                      <w:sz w:val="18"/>
                      <w:szCs w:val="18"/>
                      <w:highlight w:val="none"/>
                      <w:lang w:val="en-US" w:eastAsia="zh-CN"/>
                    </w:rPr>
                    <w:t>25</w:t>
                  </w:r>
                  <w:r>
                    <w:rPr>
                      <w:rFonts w:hint="default" w:ascii="Times New Roman" w:hAnsi="Times New Roman" w:cs="Times New Roman"/>
                      <w:sz w:val="18"/>
                      <w:szCs w:val="18"/>
                    </w:rPr>
                    <w:t>kg/L</w:t>
                  </w:r>
                  <w:r>
                    <w:rPr>
                      <w:rFonts w:hint="default" w:ascii="Times New Roman" w:hAnsi="Times New Roman" w:cs="Times New Roman"/>
                      <w:sz w:val="18"/>
                      <w:szCs w:val="18"/>
                      <w:highlight w:val="none"/>
                    </w:rPr>
                    <w:t>；</w:t>
                  </w:r>
                </w:p>
              </w:tc>
              <w:tc>
                <w:tcPr>
                  <w:tcW w:w="688" w:type="pct"/>
                  <w:tcBorders>
                    <w:top w:val="single" w:color="auto" w:sz="2" w:space="0"/>
                    <w:left w:val="single" w:color="auto" w:sz="2" w:space="0"/>
                    <w:bottom w:val="single" w:color="auto" w:sz="2" w:space="0"/>
                    <w:right w:val="single" w:color="auto" w:sz="2" w:space="0"/>
                  </w:tcBorders>
                  <w:vAlign w:val="center"/>
                </w:tcPr>
                <w:p w14:paraId="43CBDD3C">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可燃液体</w:t>
                  </w:r>
                </w:p>
              </w:tc>
              <w:tc>
                <w:tcPr>
                  <w:tcW w:w="2521" w:type="pct"/>
                  <w:tcBorders>
                    <w:top w:val="single" w:color="auto" w:sz="2" w:space="0"/>
                    <w:left w:val="single" w:color="auto" w:sz="2" w:space="0"/>
                    <w:bottom w:val="single" w:color="auto" w:sz="2" w:space="0"/>
                    <w:right w:val="single" w:color="auto" w:sz="2" w:space="0"/>
                  </w:tcBorders>
                  <w:vAlign w:val="center"/>
                </w:tcPr>
                <w:p w14:paraId="7D5508E5">
                  <w:pPr>
                    <w:pStyle w:val="200"/>
                    <w:spacing w:before="24" w:after="24"/>
                    <w:jc w:val="both"/>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吸入影响：吸入本品有害，可能导致脑部、神经系统或者呼吸道系统问题，可能出现头晕、头疼、恶心或呼吸道疼痛，也有可能刺激口、鼻、喉等器官。</w:t>
                  </w:r>
                </w:p>
                <w:p w14:paraId="7CE4EC5C">
                  <w:pPr>
                    <w:pStyle w:val="200"/>
                    <w:spacing w:before="24" w:after="24"/>
                    <w:jc w:val="both"/>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 xml:space="preserve">接触影响：可能引起眼部刺激；可能导致皮炎。 </w:t>
                  </w:r>
                </w:p>
              </w:tc>
            </w:tr>
            <w:tr w14:paraId="1DA24A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557" w:type="pct"/>
                  <w:tcBorders>
                    <w:top w:val="single" w:color="auto" w:sz="2" w:space="0"/>
                    <w:left w:val="single" w:color="auto" w:sz="2" w:space="0"/>
                    <w:bottom w:val="single" w:color="auto" w:sz="2" w:space="0"/>
                    <w:right w:val="single" w:color="auto" w:sz="2" w:space="0"/>
                  </w:tcBorders>
                  <w:vAlign w:val="center"/>
                </w:tcPr>
                <w:p w14:paraId="1E555549">
                  <w:pPr>
                    <w:pStyle w:val="200"/>
                    <w:spacing w:before="24" w:after="24"/>
                    <w:rPr>
                      <w:rFonts w:hint="eastAsia" w:ascii="Times New Roman" w:hAnsi="Times New Roman" w:eastAsia="宋体" w:cs="Times New Roman"/>
                      <w:sz w:val="18"/>
                      <w:szCs w:val="18"/>
                      <w:highlight w:val="none"/>
                      <w:lang w:eastAsia="zh-CN"/>
                    </w:rPr>
                  </w:pPr>
                  <w:r>
                    <w:rPr>
                      <w:rFonts w:hint="eastAsia" w:ascii="Times New Roman" w:cs="Times New Roman"/>
                      <w:sz w:val="18"/>
                      <w:szCs w:val="18"/>
                      <w:highlight w:val="none"/>
                      <w:lang w:eastAsia="zh-CN"/>
                    </w:rPr>
                    <w:t>稀释剂</w:t>
                  </w:r>
                </w:p>
              </w:tc>
              <w:tc>
                <w:tcPr>
                  <w:tcW w:w="1232" w:type="pct"/>
                  <w:tcBorders>
                    <w:top w:val="single" w:color="auto" w:sz="2" w:space="0"/>
                    <w:left w:val="single" w:color="auto" w:sz="2" w:space="0"/>
                    <w:bottom w:val="single" w:color="auto" w:sz="2" w:space="0"/>
                    <w:right w:val="single" w:color="auto" w:sz="2" w:space="0"/>
                  </w:tcBorders>
                  <w:vAlign w:val="center"/>
                </w:tcPr>
                <w:p w14:paraId="37B78864">
                  <w:pPr>
                    <w:pStyle w:val="200"/>
                    <w:spacing w:before="24" w:after="24"/>
                    <w:jc w:val="both"/>
                    <w:rPr>
                      <w:rFonts w:hint="eastAsia" w:ascii="Times New Roman" w:hAnsi="Times New Roman" w:eastAsia="宋体" w:cs="Times New Roman"/>
                      <w:sz w:val="18"/>
                      <w:szCs w:val="18"/>
                      <w:highlight w:val="none"/>
                      <w:lang w:eastAsia="zh-CN"/>
                    </w:rPr>
                  </w:pPr>
                  <w:r>
                    <w:rPr>
                      <w:rFonts w:hint="eastAsia" w:ascii="Times New Roman" w:cs="Times New Roman"/>
                      <w:sz w:val="18"/>
                      <w:szCs w:val="18"/>
                      <w:highlight w:val="none"/>
                      <w:lang w:eastAsia="zh-CN"/>
                    </w:rPr>
                    <w:t>粘稠液体，有刺鼻气味</w:t>
                  </w:r>
                </w:p>
              </w:tc>
              <w:tc>
                <w:tcPr>
                  <w:tcW w:w="688" w:type="pct"/>
                  <w:tcBorders>
                    <w:top w:val="single" w:color="auto" w:sz="2" w:space="0"/>
                    <w:left w:val="single" w:color="auto" w:sz="2" w:space="0"/>
                    <w:bottom w:val="single" w:color="auto" w:sz="2" w:space="0"/>
                    <w:right w:val="single" w:color="auto" w:sz="2" w:space="0"/>
                  </w:tcBorders>
                  <w:vAlign w:val="center"/>
                </w:tcPr>
                <w:p w14:paraId="66442F86">
                  <w:pPr>
                    <w:pStyle w:val="200"/>
                    <w:spacing w:before="24" w:after="24"/>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可燃液体</w:t>
                  </w:r>
                </w:p>
              </w:tc>
              <w:tc>
                <w:tcPr>
                  <w:tcW w:w="2521" w:type="pct"/>
                  <w:tcBorders>
                    <w:top w:val="single" w:color="auto" w:sz="2" w:space="0"/>
                    <w:left w:val="single" w:color="auto" w:sz="2" w:space="0"/>
                    <w:bottom w:val="single" w:color="auto" w:sz="2" w:space="0"/>
                    <w:right w:val="single" w:color="auto" w:sz="2" w:space="0"/>
                  </w:tcBorders>
                  <w:vAlign w:val="center"/>
                </w:tcPr>
                <w:p w14:paraId="704B31E2">
                  <w:pPr>
                    <w:pStyle w:val="200"/>
                    <w:spacing w:before="24" w:after="24"/>
                    <w:jc w:val="both"/>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吸入影响：吸入本品有害，可能导致脑部、神经系统或者呼吸道系统问题，可能出现头晕、头疼、恶心或呼吸道疼痛，也有可能刺激口、鼻、喉等器官。</w:t>
                  </w:r>
                </w:p>
                <w:p w14:paraId="7305EC25">
                  <w:pPr>
                    <w:pStyle w:val="200"/>
                    <w:spacing w:before="24" w:after="24"/>
                    <w:jc w:val="both"/>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 xml:space="preserve">接触影响：可能引起眼部刺激；可能导致皮炎。 </w:t>
                  </w:r>
                </w:p>
              </w:tc>
            </w:tr>
          </w:tbl>
          <w:p w14:paraId="5A1E4DFE">
            <w:pPr>
              <w:adjustRightInd w:val="0"/>
              <w:snapToGrid w:val="0"/>
              <w:spacing w:line="240" w:lineRule="auto"/>
              <w:ind w:firstLine="360" w:firstLineChars="200"/>
              <w:jc w:val="both"/>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eastAsia="zh-CN"/>
              </w:rPr>
              <w:t>（</w:t>
            </w:r>
            <w:r>
              <w:rPr>
                <w:rFonts w:hint="default" w:ascii="Times New Roman" w:hAnsi="Times New Roman" w:cs="Times New Roman"/>
                <w:sz w:val="18"/>
                <w:szCs w:val="18"/>
                <w:lang w:val="en-US" w:eastAsia="zh-CN"/>
              </w:rPr>
              <w:t>2</w:t>
            </w:r>
            <w:r>
              <w:rPr>
                <w:rFonts w:hint="default" w:ascii="Times New Roman" w:hAnsi="Times New Roman" w:cs="Times New Roman"/>
                <w:sz w:val="18"/>
                <w:szCs w:val="18"/>
                <w:lang w:eastAsia="zh-CN"/>
              </w:rPr>
              <w:t>）</w:t>
            </w:r>
            <w:r>
              <w:rPr>
                <w:rFonts w:hint="default" w:ascii="Times New Roman" w:hAnsi="Times New Roman" w:eastAsia="宋体" w:cs="Times New Roman"/>
                <w:sz w:val="18"/>
                <w:szCs w:val="18"/>
                <w:lang w:val="en-US" w:eastAsia="zh-CN"/>
              </w:rPr>
              <w:t>不饱和聚酯树脂：粘稠液体，有刺激性气味，相对密度1.15（水=1），引燃温度490℃。遇明火、高热可燃。主要用于玻璃钢制品的制造。本项目使用不饱和聚酯树脂主要为不饱和树脂（含量70%-80%）和苯乙烯（20%-30%）。</w:t>
            </w:r>
          </w:p>
          <w:p w14:paraId="502A71E0">
            <w:pPr>
              <w:spacing w:line="240" w:lineRule="auto"/>
              <w:ind w:firstLine="360" w:firstLineChars="200"/>
              <w:rPr>
                <w:rFonts w:hint="default" w:ascii="Times New Roman" w:hAnsi="Times New Roman" w:cs="Times New Roman"/>
                <w:sz w:val="18"/>
                <w:szCs w:val="18"/>
                <w:lang w:val="en-US" w:eastAsia="zh-CN"/>
              </w:rPr>
            </w:pPr>
            <w:r>
              <w:rPr>
                <w:rFonts w:hint="default" w:ascii="Times New Roman" w:hAnsi="Times New Roman" w:cs="Times New Roman"/>
                <w:sz w:val="18"/>
                <w:szCs w:val="18"/>
                <w:lang w:eastAsia="zh-CN"/>
              </w:rPr>
              <w:t>（</w:t>
            </w:r>
            <w:r>
              <w:rPr>
                <w:rFonts w:hint="eastAsia" w:cs="Times New Roman"/>
                <w:sz w:val="18"/>
                <w:szCs w:val="18"/>
                <w:lang w:val="en-US" w:eastAsia="zh-CN"/>
              </w:rPr>
              <w:t>3</w:t>
            </w:r>
            <w:r>
              <w:rPr>
                <w:rFonts w:hint="default" w:ascii="Times New Roman" w:hAnsi="Times New Roman" w:cs="Times New Roman"/>
                <w:sz w:val="18"/>
                <w:szCs w:val="18"/>
                <w:lang w:eastAsia="zh-CN"/>
              </w:rPr>
              <w:t>）</w:t>
            </w:r>
            <w:r>
              <w:rPr>
                <w:rFonts w:hint="default" w:ascii="Times New Roman" w:hAnsi="Times New Roman" w:eastAsia="宋体" w:cs="Times New Roman"/>
                <w:sz w:val="18"/>
                <w:szCs w:val="18"/>
                <w:lang w:val="en-US" w:eastAsia="zh-CN"/>
              </w:rPr>
              <w:t>PP颗粒：PP即聚丙烯，由丙烯聚合而成的高分子化合物，比重：0.9～0.91g/cm</w:t>
            </w:r>
            <w:r>
              <w:rPr>
                <w:rFonts w:hint="default" w:ascii="Times New Roman" w:hAnsi="Times New Roman" w:eastAsia="宋体" w:cs="Times New Roman"/>
                <w:sz w:val="18"/>
                <w:szCs w:val="18"/>
                <w:vertAlign w:val="superscript"/>
                <w:lang w:val="en-US" w:eastAsia="zh-CN"/>
              </w:rPr>
              <w:t>3</w:t>
            </w:r>
            <w:r>
              <w:rPr>
                <w:rFonts w:hint="default" w:ascii="Times New Roman" w:hAnsi="Times New Roman" w:eastAsia="宋体" w:cs="Times New Roman"/>
                <w:sz w:val="18"/>
                <w:szCs w:val="18"/>
                <w:lang w:val="en-US" w:eastAsia="zh-CN"/>
              </w:rPr>
              <w:t xml:space="preserve"> ，成型收缩率1.0～2.5%，成型温度：160～220℃，加工温度在200～300℃左右较好，有良好的热稳定性（分解温度为310℃）。聚丙烯树脂加工温度范围很宽，不易分解，热解过程由于分子间的剪切挤压下发生断链、分解、降解过程中产生游离单体废气，主要为丙烯单体。</w:t>
            </w:r>
            <w:r>
              <w:rPr>
                <w:rFonts w:hint="default" w:ascii="Times New Roman" w:hAnsi="Times New Roman" w:cs="Times New Roman"/>
                <w:sz w:val="18"/>
                <w:szCs w:val="18"/>
                <w:lang w:val="en-US" w:eastAsia="zh-CN"/>
              </w:rPr>
              <w:t>项目均使用全新聚丙烯颗粒。</w:t>
            </w:r>
          </w:p>
          <w:p w14:paraId="71534082">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firstLine="360" w:firstLineChars="200"/>
              <w:textAlignment w:val="auto"/>
              <w:rPr>
                <w:rFonts w:hint="eastAsia"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lang w:eastAsia="zh-CN"/>
              </w:rPr>
              <w:t>（</w:t>
            </w:r>
            <w:r>
              <w:rPr>
                <w:rFonts w:hint="eastAsia" w:cs="Times New Roman"/>
                <w:sz w:val="18"/>
                <w:szCs w:val="18"/>
                <w:lang w:val="en-US" w:eastAsia="zh-CN"/>
              </w:rPr>
              <w:t>4</w:t>
            </w:r>
            <w:r>
              <w:rPr>
                <w:rFonts w:hint="default" w:ascii="Times New Roman" w:hAnsi="Times New Roman" w:cs="Times New Roman"/>
                <w:sz w:val="18"/>
                <w:szCs w:val="18"/>
                <w:lang w:eastAsia="zh-CN"/>
              </w:rPr>
              <w:t>）玻璃纤维：</w:t>
            </w:r>
            <w:r>
              <w:rPr>
                <w:rFonts w:hint="default" w:ascii="Times New Roman" w:hAnsi="Times New Roman" w:eastAsia="宋体" w:cs="Times New Roman"/>
                <w:kern w:val="2"/>
                <w:sz w:val="18"/>
                <w:szCs w:val="18"/>
                <w:lang w:val="en-US" w:eastAsia="zh-CN" w:bidi="ar-SA"/>
              </w:rPr>
              <w:t>玻璃纤维（Fiberglass），是一种性能优异的</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"https://baike.baidu.com/item/%E6%97%A0%E6%9C%BA%E9%9D%9E%E9%87%91%E5%B1%9E%E6%9D%90%E6%96%99/2502765?fromModule=lemma_inlink"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无机非金属材料</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，种类繁多，优点是</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"https://baike.baidu.com/item/%E7%BB%9D%E7%BC%98%E6%80%A7/3454712?fromModule=lemma_inlink"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绝缘性</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好、</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"https://baike.baidu.com/item/%E8%80%90%E7%83%AD%E6%80%A7/9397486?fromModule=lemma_inlink"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耐热性</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强、抗腐蚀性好、</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"https://baike.baidu.com/item/%E6%9C%BA%E6%A2%B0%E5%BC%BA%E5%BA%A6/1849579?fromModule=lemma_inlink"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机械强度</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高，但缺点是性脆，</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"https://baike.baidu.com/item/%E8%80%90%E7%A3%A8%E6%80%A7/648992?fromModule=lemma_inlink"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耐磨性</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较差。玻璃纤维通常用作</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"https://baike.baidu.com/item/%E5%A4%8D%E5%90%88%E6%9D%90%E6%96%99/837682?fromModule=lemma_inlink"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复合材料</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中的</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"https://baike.baidu.com/item/%E5%A2%9E%E5%BC%BA%E6%9D%90%E6%96%99/4240264?fromModule=lemma_inlink"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增强材料</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，电</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"https://baike.baidu.com/item/%E7%BB%9D%E7%BC%98%E6%9D%90%E6%96%99/1221405?fromModule=lemma_inlink"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绝缘材料</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和</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"https://baike.baidu.com/item/%E7%BB%9D%E7%83%AD%E4%BF%9D%E6%B8%A9%E6%9D%90%E6%96%99/6425928?fromModule=lemma_inlink"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绝热保温材料</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，电路基板等</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"https://baike.baidu.com/item/%E5%9B%BD%E6%B0%91%E7%BB%8F%E6%B5%8E/6135834?fromModule=lemma_inlink"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国民经济</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各个领域。</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"https://baike.baidu.com/item/%E6%97%A0%E5%9B%BA%E5%AE%9A/56318863?fromModule=lemma_inlink"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无固定</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的熔点，一般认为它的</w:t>
            </w:r>
            <w:r>
              <w:rPr>
                <w:rFonts w:hint="default" w:ascii="Times New Roman" w:hAnsi="Times New Roman" w:eastAsia="宋体" w:cs="Times New Roman"/>
                <w:kern w:val="2"/>
                <w:sz w:val="18"/>
                <w:szCs w:val="18"/>
                <w:lang w:val="en-US" w:eastAsia="zh-CN" w:bidi="ar-SA"/>
              </w:rPr>
              <w:fldChar w:fldCharType="begin"/>
            </w:r>
            <w:r>
              <w:rPr>
                <w:rFonts w:hint="default" w:ascii="Times New Roman" w:hAnsi="Times New Roman" w:eastAsia="宋体" w:cs="Times New Roman"/>
                <w:kern w:val="2"/>
                <w:sz w:val="18"/>
                <w:szCs w:val="18"/>
                <w:lang w:val="en-US" w:eastAsia="zh-CN" w:bidi="ar-SA"/>
              </w:rPr>
              <w:instrText xml:space="preserve"> HYPERLINK "https://baike.baidu.com/item/%E8%BD%AF%E5%8C%96%E7%82%B9/4668791?fromModule=lemma_inlink" \t "https://baike.baidu.com/item/%E7%8E%BB%E7%92%83%E7%BA%A4%E7%BB%B4/_blank" </w:instrText>
            </w:r>
            <w:r>
              <w:rPr>
                <w:rFonts w:hint="default" w:ascii="Times New Roman" w:hAnsi="Times New Roman" w:eastAsia="宋体" w:cs="Times New Roman"/>
                <w:kern w:val="2"/>
                <w:sz w:val="18"/>
                <w:szCs w:val="18"/>
                <w:lang w:val="en-US" w:eastAsia="zh-CN" w:bidi="ar-SA"/>
              </w:rPr>
              <w:fldChar w:fldCharType="separate"/>
            </w:r>
            <w:r>
              <w:rPr>
                <w:rFonts w:hint="default" w:ascii="Times New Roman" w:hAnsi="Times New Roman" w:eastAsia="宋体" w:cs="Times New Roman"/>
                <w:kern w:val="2"/>
                <w:sz w:val="18"/>
                <w:szCs w:val="18"/>
                <w:lang w:val="en-US" w:eastAsia="zh-CN" w:bidi="ar-SA"/>
              </w:rPr>
              <w:t>软化点</w:t>
            </w:r>
            <w:r>
              <w:rPr>
                <w:rFonts w:hint="default" w:ascii="Times New Roman" w:hAnsi="Times New Roman" w:eastAsia="宋体" w:cs="Times New Roman"/>
                <w:kern w:val="2"/>
                <w:sz w:val="18"/>
                <w:szCs w:val="18"/>
                <w:lang w:val="en-US" w:eastAsia="zh-CN" w:bidi="ar-SA"/>
              </w:rPr>
              <w:fldChar w:fldCharType="end"/>
            </w:r>
            <w:r>
              <w:rPr>
                <w:rFonts w:hint="default" w:ascii="Times New Roman" w:hAnsi="Times New Roman" w:eastAsia="宋体" w:cs="Times New Roman"/>
                <w:kern w:val="2"/>
                <w:sz w:val="18"/>
                <w:szCs w:val="18"/>
                <w:lang w:val="en-US" w:eastAsia="zh-CN" w:bidi="ar-SA"/>
              </w:rPr>
              <w:t>为500~750℃</w:t>
            </w:r>
            <w:r>
              <w:rPr>
                <w:rFonts w:hint="eastAsia" w:ascii="Times New Roman" w:hAnsi="Times New Roman" w:eastAsia="宋体" w:cs="Times New Roman"/>
                <w:kern w:val="2"/>
                <w:sz w:val="18"/>
                <w:szCs w:val="18"/>
                <w:lang w:val="en-US" w:eastAsia="zh-CN" w:bidi="ar-SA"/>
              </w:rPr>
              <w:t>。</w:t>
            </w:r>
          </w:p>
          <w:p w14:paraId="1F6D1679">
            <w:pPr>
              <w:ind w:firstLine="360" w:firstLineChars="200"/>
              <w:rPr>
                <w:rFonts w:hint="eastAsia"/>
                <w:highlight w:val="none"/>
                <w:lang w:val="en-US" w:eastAsia="zh-CN"/>
              </w:rPr>
            </w:pPr>
            <w:r>
              <w:rPr>
                <w:rFonts w:hint="eastAsia" w:cs="Times New Roman"/>
                <w:kern w:val="2"/>
                <w:sz w:val="18"/>
                <w:szCs w:val="18"/>
                <w:highlight w:val="none"/>
                <w:lang w:val="en-US" w:eastAsia="zh-CN" w:bidi="ar-SA"/>
              </w:rPr>
              <w:t>（5）</w:t>
            </w:r>
            <w:r>
              <w:rPr>
                <w:b w:val="0"/>
                <w:bCs w:val="0"/>
                <w:sz w:val="18"/>
                <w:szCs w:val="18"/>
                <w:highlight w:val="none"/>
                <w:shd w:val="clear" w:color="auto" w:fill="FFFFFF"/>
              </w:rPr>
              <w:t>无溶剂浸渍树脂</w:t>
            </w:r>
            <w:r>
              <w:rPr>
                <w:rFonts w:hint="eastAsia" w:cs="Times New Roman"/>
                <w:kern w:val="2"/>
                <w:sz w:val="18"/>
                <w:szCs w:val="18"/>
                <w:highlight w:val="none"/>
                <w:lang w:val="en-US" w:eastAsia="zh-CN" w:bidi="ar-SA"/>
              </w:rPr>
              <w:t>：</w:t>
            </w:r>
            <w:r>
              <w:rPr>
                <w:rFonts w:hint="default" w:ascii="Times New Roman" w:hAnsi="Times New Roman" w:eastAsia="宋体" w:cs="Times New Roman"/>
                <w:kern w:val="2"/>
                <w:sz w:val="18"/>
                <w:szCs w:val="18"/>
                <w:highlight w:val="none"/>
                <w:lang w:val="en-US" w:eastAsia="zh-CN" w:bidi="ar-SA"/>
              </w:rPr>
              <w:t>外观与现状:</w:t>
            </w:r>
            <w:r>
              <w:rPr>
                <w:rFonts w:hint="eastAsia" w:ascii="Times New Roman" w:hAnsi="Times New Roman" w:eastAsia="宋体" w:cs="Times New Roman"/>
                <w:kern w:val="2"/>
                <w:sz w:val="18"/>
                <w:szCs w:val="18"/>
                <w:highlight w:val="none"/>
                <w:lang w:val="en-US" w:eastAsia="zh-CN" w:bidi="ar-SA"/>
              </w:rPr>
              <w:t>淡黄色均匀液体</w:t>
            </w:r>
            <w:r>
              <w:rPr>
                <w:rFonts w:hint="default" w:ascii="Times New Roman" w:hAnsi="Times New Roman" w:eastAsia="宋体" w:cs="Times New Roman"/>
                <w:kern w:val="2"/>
                <w:sz w:val="18"/>
                <w:szCs w:val="18"/>
                <w:highlight w:val="none"/>
                <w:lang w:val="en-US" w:eastAsia="zh-CN" w:bidi="ar-SA"/>
              </w:rPr>
              <w:t>，无机械杂质。闪点:</w:t>
            </w:r>
            <w:r>
              <w:rPr>
                <w:rFonts w:hint="eastAsia" w:ascii="Times New Roman" w:hAnsi="Times New Roman" w:eastAsia="宋体" w:cs="Times New Roman"/>
                <w:kern w:val="2"/>
                <w:sz w:val="18"/>
                <w:szCs w:val="18"/>
                <w:highlight w:val="none"/>
                <w:lang w:val="en-US" w:eastAsia="zh-CN" w:bidi="ar-SA"/>
              </w:rPr>
              <w:t>≥110</w:t>
            </w:r>
            <w:r>
              <w:rPr>
                <w:rFonts w:hint="default" w:ascii="Times New Roman" w:hAnsi="Times New Roman" w:eastAsia="宋体" w:cs="Times New Roman"/>
                <w:kern w:val="2"/>
                <w:sz w:val="18"/>
                <w:szCs w:val="18"/>
                <w:highlight w:val="none"/>
                <w:lang w:val="en-US" w:eastAsia="zh-CN" w:bidi="ar-SA"/>
              </w:rPr>
              <w:t>℃、</w:t>
            </w:r>
            <w:r>
              <w:rPr>
                <w:rFonts w:hint="eastAsia" w:ascii="Times New Roman" w:hAnsi="Times New Roman" w:eastAsia="宋体" w:cs="Times New Roman"/>
                <w:kern w:val="2"/>
                <w:sz w:val="18"/>
                <w:szCs w:val="18"/>
                <w:highlight w:val="none"/>
                <w:lang w:val="en-US" w:eastAsia="zh-CN" w:bidi="ar-SA"/>
              </w:rPr>
              <w:t>沸点240℃、熔点-40</w:t>
            </w:r>
            <w:r>
              <w:rPr>
                <w:rFonts w:hint="default" w:ascii="Times New Roman" w:hAnsi="Times New Roman" w:eastAsia="宋体" w:cs="Times New Roman"/>
                <w:kern w:val="2"/>
                <w:sz w:val="18"/>
                <w:szCs w:val="18"/>
                <w:highlight w:val="none"/>
                <w:lang w:val="en-US" w:eastAsia="zh-CN" w:bidi="ar-SA"/>
              </w:rPr>
              <w:t>℃、溶解性:不溶于水，可溶于乙醇、乙醚、甲醇、丙酮等。主要用途:用于</w:t>
            </w:r>
            <w:r>
              <w:rPr>
                <w:rFonts w:hint="eastAsia" w:ascii="Times New Roman" w:hAnsi="Times New Roman" w:eastAsia="宋体" w:cs="Times New Roman"/>
                <w:kern w:val="2"/>
                <w:sz w:val="18"/>
                <w:szCs w:val="18"/>
                <w:highlight w:val="none"/>
                <w:lang w:val="en-US" w:eastAsia="zh-CN" w:bidi="ar-SA"/>
              </w:rPr>
              <w:t>高端</w:t>
            </w:r>
            <w:r>
              <w:rPr>
                <w:rFonts w:hint="default" w:ascii="Times New Roman" w:hAnsi="Times New Roman" w:eastAsia="宋体" w:cs="Times New Roman"/>
                <w:kern w:val="2"/>
                <w:sz w:val="18"/>
                <w:szCs w:val="18"/>
                <w:highlight w:val="none"/>
                <w:lang w:val="en-US" w:eastAsia="zh-CN" w:bidi="ar-SA"/>
              </w:rPr>
              <w:t>电机、变压器</w:t>
            </w:r>
            <w:r>
              <w:rPr>
                <w:rFonts w:hint="eastAsia" w:ascii="Times New Roman" w:hAnsi="Times New Roman" w:eastAsia="宋体" w:cs="Times New Roman"/>
                <w:kern w:val="2"/>
                <w:sz w:val="18"/>
                <w:szCs w:val="18"/>
                <w:highlight w:val="none"/>
                <w:lang w:val="en-US" w:eastAsia="zh-CN" w:bidi="ar-SA"/>
              </w:rPr>
              <w:t>线圈</w:t>
            </w:r>
            <w:r>
              <w:rPr>
                <w:rFonts w:hint="default" w:ascii="Times New Roman" w:hAnsi="Times New Roman" w:eastAsia="宋体" w:cs="Times New Roman"/>
                <w:kern w:val="2"/>
                <w:sz w:val="18"/>
                <w:szCs w:val="18"/>
                <w:highlight w:val="none"/>
                <w:lang w:val="en-US" w:eastAsia="zh-CN" w:bidi="ar-SA"/>
              </w:rPr>
              <w:t>等绝缘处理。</w:t>
            </w:r>
          </w:p>
          <w:p w14:paraId="5F1FA9CB">
            <w:pPr>
              <w:pStyle w:val="381"/>
              <w:spacing w:line="240" w:lineRule="auto"/>
              <w:ind w:firstLine="420"/>
              <w:rPr>
                <w:b w:val="0"/>
                <w:bCs w:val="0"/>
                <w:kern w:val="0"/>
                <w:sz w:val="18"/>
                <w:szCs w:val="18"/>
              </w:rPr>
            </w:pPr>
            <w:r>
              <w:rPr>
                <w:b w:val="0"/>
                <w:bCs w:val="0"/>
                <w:sz w:val="18"/>
                <w:szCs w:val="18"/>
                <w:highlight w:val="none"/>
              </w:rPr>
              <w:t>项目</w:t>
            </w:r>
            <w:r>
              <w:rPr>
                <w:rFonts w:hint="eastAsia"/>
                <w:b w:val="0"/>
                <w:bCs w:val="0"/>
                <w:sz w:val="18"/>
                <w:szCs w:val="18"/>
                <w:highlight w:val="none"/>
                <w:lang w:eastAsia="zh-CN"/>
              </w:rPr>
              <w:t>使</w:t>
            </w:r>
            <w:r>
              <w:rPr>
                <w:b w:val="0"/>
                <w:bCs w:val="0"/>
                <w:sz w:val="18"/>
                <w:szCs w:val="18"/>
                <w:highlight w:val="none"/>
              </w:rPr>
              <w:t>用的</w:t>
            </w:r>
            <w:r>
              <w:rPr>
                <w:b w:val="0"/>
                <w:bCs w:val="0"/>
                <w:sz w:val="18"/>
                <w:szCs w:val="18"/>
                <w:highlight w:val="none"/>
                <w:shd w:val="clear" w:color="auto" w:fill="FFFFFF"/>
              </w:rPr>
              <w:t>无溶剂浸渍树脂为快固化无溶剂浸渍树</w:t>
            </w:r>
            <w:r>
              <w:rPr>
                <w:b w:val="0"/>
                <w:bCs w:val="0"/>
                <w:sz w:val="18"/>
                <w:szCs w:val="18"/>
                <w:shd w:val="clear" w:color="auto" w:fill="FFFFFF"/>
              </w:rPr>
              <w:t>脂，不含重金属</w:t>
            </w:r>
            <w:r>
              <w:rPr>
                <w:b w:val="0"/>
                <w:bCs w:val="0"/>
                <w:sz w:val="18"/>
                <w:szCs w:val="18"/>
              </w:rPr>
              <w:t>，</w:t>
            </w:r>
            <w:r>
              <w:rPr>
                <w:b w:val="0"/>
                <w:bCs w:val="0"/>
                <w:kern w:val="0"/>
                <w:sz w:val="18"/>
                <w:szCs w:val="18"/>
              </w:rPr>
              <w:t>检测报告见附件</w:t>
            </w:r>
            <w:r>
              <w:rPr>
                <w:rFonts w:hint="eastAsia"/>
                <w:b w:val="0"/>
                <w:bCs w:val="0"/>
                <w:kern w:val="0"/>
                <w:sz w:val="18"/>
                <w:szCs w:val="18"/>
              </w:rPr>
              <w:t>。</w:t>
            </w:r>
            <w:r>
              <w:rPr>
                <w:b w:val="0"/>
                <w:bCs w:val="0"/>
                <w:sz w:val="18"/>
                <w:szCs w:val="18"/>
              </w:rPr>
              <w:t>项目</w:t>
            </w:r>
            <w:r>
              <w:rPr>
                <w:b w:val="0"/>
                <w:bCs w:val="0"/>
                <w:sz w:val="18"/>
                <w:szCs w:val="18"/>
                <w:highlight w:val="none"/>
                <w:shd w:val="clear" w:color="auto" w:fill="FFFFFF"/>
              </w:rPr>
              <w:t>无溶剂浸渍树脂</w:t>
            </w:r>
            <w:r>
              <w:rPr>
                <w:rFonts w:hint="eastAsia"/>
                <w:b w:val="0"/>
                <w:bCs w:val="0"/>
                <w:sz w:val="18"/>
                <w:szCs w:val="18"/>
                <w:lang w:val="en-US"/>
              </w:rPr>
              <w:t>VOCs含量、</w:t>
            </w:r>
            <w:r>
              <w:rPr>
                <w:b w:val="0"/>
                <w:bCs w:val="0"/>
                <w:kern w:val="0"/>
                <w:sz w:val="18"/>
                <w:szCs w:val="18"/>
              </w:rPr>
              <w:t>主要成分及含量</w:t>
            </w:r>
            <w:r>
              <w:rPr>
                <w:rFonts w:hint="eastAsia"/>
                <w:b w:val="0"/>
                <w:bCs w:val="0"/>
                <w:kern w:val="0"/>
                <w:sz w:val="18"/>
                <w:szCs w:val="18"/>
              </w:rPr>
              <w:t>分别</w:t>
            </w:r>
            <w:r>
              <w:rPr>
                <w:b w:val="0"/>
                <w:bCs w:val="0"/>
                <w:kern w:val="0"/>
                <w:sz w:val="18"/>
                <w:szCs w:val="18"/>
              </w:rPr>
              <w:t>见</w:t>
            </w:r>
            <w:r>
              <w:rPr>
                <w:rFonts w:hint="eastAsia"/>
                <w:b w:val="0"/>
                <w:bCs w:val="0"/>
                <w:kern w:val="0"/>
                <w:sz w:val="18"/>
                <w:szCs w:val="18"/>
              </w:rPr>
              <w:t>表2-</w:t>
            </w:r>
            <w:r>
              <w:rPr>
                <w:rFonts w:hint="eastAsia"/>
                <w:b w:val="0"/>
                <w:bCs w:val="0"/>
                <w:kern w:val="0"/>
                <w:sz w:val="18"/>
                <w:szCs w:val="18"/>
                <w:lang w:val="en-US" w:eastAsia="zh-CN"/>
              </w:rPr>
              <w:t>8</w:t>
            </w:r>
            <w:r>
              <w:rPr>
                <w:rFonts w:hint="eastAsia"/>
                <w:b w:val="0"/>
                <w:bCs w:val="0"/>
                <w:kern w:val="0"/>
                <w:sz w:val="18"/>
                <w:szCs w:val="18"/>
                <w:lang w:val="en-US"/>
              </w:rPr>
              <w:t>、2-</w:t>
            </w:r>
            <w:r>
              <w:rPr>
                <w:rFonts w:hint="eastAsia"/>
                <w:b w:val="0"/>
                <w:bCs w:val="0"/>
                <w:kern w:val="0"/>
                <w:sz w:val="18"/>
                <w:szCs w:val="18"/>
                <w:lang w:val="en-US" w:eastAsia="zh-CN"/>
              </w:rPr>
              <w:t>9</w:t>
            </w:r>
            <w:r>
              <w:rPr>
                <w:b w:val="0"/>
                <w:bCs w:val="0"/>
                <w:kern w:val="0"/>
                <w:sz w:val="18"/>
                <w:szCs w:val="18"/>
              </w:rPr>
              <w:t>：</w:t>
            </w:r>
          </w:p>
          <w:p w14:paraId="002EE096">
            <w:pPr>
              <w:pStyle w:val="381"/>
              <w:ind w:hanging="2" w:firstLineChars="0"/>
              <w:jc w:val="center"/>
              <w:rPr>
                <w:b/>
                <w:bCs/>
                <w:sz w:val="18"/>
                <w:szCs w:val="18"/>
              </w:rPr>
            </w:pPr>
            <w:bookmarkStart w:id="4" w:name="_Hlk69291699"/>
            <w:r>
              <w:rPr>
                <w:rFonts w:hint="eastAsia"/>
                <w:b/>
                <w:bCs/>
                <w:sz w:val="18"/>
                <w:szCs w:val="18"/>
              </w:rPr>
              <w:t>表2</w:t>
            </w:r>
            <w:r>
              <w:rPr>
                <w:b/>
                <w:bCs/>
                <w:sz w:val="18"/>
                <w:szCs w:val="18"/>
              </w:rPr>
              <w:t>-</w:t>
            </w:r>
            <w:r>
              <w:rPr>
                <w:rFonts w:hint="eastAsia"/>
                <w:b/>
                <w:bCs/>
                <w:sz w:val="18"/>
                <w:szCs w:val="18"/>
                <w:lang w:val="en-US" w:eastAsia="zh-CN"/>
              </w:rPr>
              <w:t>8</w:t>
            </w:r>
            <w:r>
              <w:rPr>
                <w:sz w:val="18"/>
                <w:szCs w:val="18"/>
              </w:rPr>
              <w:t xml:space="preserve"> </w:t>
            </w:r>
            <w:r>
              <w:rPr>
                <w:rFonts w:hint="eastAsia"/>
                <w:b/>
                <w:bCs/>
                <w:sz w:val="18"/>
                <w:szCs w:val="18"/>
              </w:rPr>
              <w:t>绝缘漆V</w:t>
            </w:r>
            <w:r>
              <w:rPr>
                <w:b/>
                <w:bCs/>
                <w:sz w:val="18"/>
                <w:szCs w:val="18"/>
              </w:rPr>
              <w:t>OC</w:t>
            </w:r>
            <w:r>
              <w:rPr>
                <w:rFonts w:hint="eastAsia"/>
                <w:b/>
                <w:bCs/>
                <w:sz w:val="18"/>
                <w:szCs w:val="18"/>
              </w:rPr>
              <w:t>s检测结果</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03"/>
              <w:gridCol w:w="2103"/>
              <w:gridCol w:w="2104"/>
              <w:gridCol w:w="2104"/>
            </w:tblGrid>
            <w:tr w14:paraId="4534F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628" w:type="dxa"/>
                  <w:vAlign w:val="center"/>
                </w:tcPr>
                <w:p w14:paraId="1F14EDC2">
                  <w:pPr>
                    <w:pStyle w:val="200"/>
                    <w:rPr>
                      <w:b/>
                      <w:bCs/>
                      <w:sz w:val="18"/>
                      <w:szCs w:val="18"/>
                    </w:rPr>
                  </w:pPr>
                  <w:r>
                    <w:rPr>
                      <w:rFonts w:hint="eastAsia"/>
                      <w:b/>
                      <w:bCs/>
                      <w:sz w:val="18"/>
                      <w:szCs w:val="18"/>
                    </w:rPr>
                    <w:t>项目</w:t>
                  </w:r>
                </w:p>
              </w:tc>
              <w:tc>
                <w:tcPr>
                  <w:tcW w:w="1628" w:type="dxa"/>
                  <w:vAlign w:val="center"/>
                </w:tcPr>
                <w:p w14:paraId="4BA7B800">
                  <w:pPr>
                    <w:pStyle w:val="200"/>
                    <w:rPr>
                      <w:b/>
                      <w:bCs/>
                      <w:sz w:val="18"/>
                      <w:szCs w:val="18"/>
                    </w:rPr>
                  </w:pPr>
                  <w:r>
                    <w:rPr>
                      <w:rFonts w:hint="eastAsia"/>
                      <w:b/>
                      <w:bCs/>
                      <w:sz w:val="18"/>
                      <w:szCs w:val="18"/>
                    </w:rPr>
                    <w:t>检测结果</w:t>
                  </w:r>
                </w:p>
              </w:tc>
              <w:tc>
                <w:tcPr>
                  <w:tcW w:w="1629" w:type="dxa"/>
                  <w:vAlign w:val="center"/>
                </w:tcPr>
                <w:p w14:paraId="5A865A98">
                  <w:pPr>
                    <w:pStyle w:val="200"/>
                    <w:rPr>
                      <w:b/>
                      <w:bCs/>
                      <w:sz w:val="18"/>
                      <w:szCs w:val="18"/>
                    </w:rPr>
                  </w:pPr>
                  <w:r>
                    <w:rPr>
                      <w:rFonts w:hint="eastAsia"/>
                      <w:b/>
                      <w:bCs/>
                      <w:sz w:val="18"/>
                      <w:szCs w:val="18"/>
                    </w:rPr>
                    <w:t>方法检出限</w:t>
                  </w:r>
                </w:p>
              </w:tc>
              <w:tc>
                <w:tcPr>
                  <w:tcW w:w="1629" w:type="dxa"/>
                  <w:vAlign w:val="center"/>
                </w:tcPr>
                <w:p w14:paraId="051319E1">
                  <w:pPr>
                    <w:pStyle w:val="200"/>
                    <w:rPr>
                      <w:b/>
                      <w:bCs/>
                      <w:sz w:val="18"/>
                      <w:szCs w:val="18"/>
                    </w:rPr>
                  </w:pPr>
                  <w:r>
                    <w:rPr>
                      <w:rFonts w:hint="eastAsia"/>
                      <w:b/>
                      <w:bCs/>
                      <w:sz w:val="18"/>
                      <w:szCs w:val="18"/>
                    </w:rPr>
                    <w:t>单位</w:t>
                  </w:r>
                </w:p>
              </w:tc>
            </w:tr>
            <w:tr w14:paraId="71B97B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 w:hRule="atLeast"/>
              </w:trPr>
              <w:tc>
                <w:tcPr>
                  <w:tcW w:w="1628" w:type="dxa"/>
                  <w:vAlign w:val="center"/>
                </w:tcPr>
                <w:p w14:paraId="009091CF">
                  <w:pPr>
                    <w:pStyle w:val="200"/>
                    <w:rPr>
                      <w:rFonts w:hint="default" w:ascii="Times New Roman" w:hAnsi="Times New Roman" w:cs="Times New Roman"/>
                      <w:sz w:val="18"/>
                      <w:szCs w:val="18"/>
                    </w:rPr>
                  </w:pPr>
                  <w:r>
                    <w:rPr>
                      <w:rFonts w:hint="default" w:ascii="Times New Roman" w:hAnsi="Times New Roman" w:cs="Times New Roman"/>
                      <w:sz w:val="18"/>
                      <w:szCs w:val="18"/>
                    </w:rPr>
                    <w:t>VOCs</w:t>
                  </w:r>
                </w:p>
              </w:tc>
              <w:tc>
                <w:tcPr>
                  <w:tcW w:w="1628" w:type="dxa"/>
                  <w:vAlign w:val="center"/>
                </w:tcPr>
                <w:p w14:paraId="141D1E72">
                  <w:pPr>
                    <w:pStyle w:val="200"/>
                    <w:rPr>
                      <w:rFonts w:hint="default" w:ascii="Times New Roman" w:hAnsi="Times New Roman" w:cs="Times New Roman"/>
                      <w:sz w:val="18"/>
                      <w:szCs w:val="18"/>
                    </w:rPr>
                  </w:pPr>
                  <w:r>
                    <w:rPr>
                      <w:rFonts w:hint="default" w:ascii="Times New Roman" w:hAnsi="Times New Roman" w:cs="Times New Roman"/>
                      <w:sz w:val="18"/>
                      <w:szCs w:val="18"/>
                    </w:rPr>
                    <w:t>13.2</w:t>
                  </w:r>
                </w:p>
              </w:tc>
              <w:tc>
                <w:tcPr>
                  <w:tcW w:w="1629" w:type="dxa"/>
                  <w:vAlign w:val="center"/>
                </w:tcPr>
                <w:p w14:paraId="3A5A37CA">
                  <w:pPr>
                    <w:pStyle w:val="200"/>
                    <w:rPr>
                      <w:rFonts w:hint="default" w:ascii="Times New Roman" w:hAnsi="Times New Roman" w:cs="Times New Roman"/>
                      <w:sz w:val="18"/>
                      <w:szCs w:val="18"/>
                    </w:rPr>
                  </w:pPr>
                  <w:r>
                    <w:rPr>
                      <w:rFonts w:hint="default" w:ascii="Times New Roman" w:hAnsi="Times New Roman" w:cs="Times New Roman"/>
                      <w:sz w:val="18"/>
                      <w:szCs w:val="18"/>
                    </w:rPr>
                    <w:t>--</w:t>
                  </w:r>
                </w:p>
              </w:tc>
              <w:tc>
                <w:tcPr>
                  <w:tcW w:w="1629" w:type="dxa"/>
                  <w:vAlign w:val="center"/>
                </w:tcPr>
                <w:p w14:paraId="077311C0">
                  <w:pPr>
                    <w:pStyle w:val="200"/>
                    <w:rPr>
                      <w:rFonts w:hint="default" w:ascii="Times New Roman" w:hAnsi="Times New Roman" w:cs="Times New Roman"/>
                      <w:sz w:val="18"/>
                      <w:szCs w:val="18"/>
                    </w:rPr>
                  </w:pPr>
                  <w:r>
                    <w:rPr>
                      <w:rFonts w:hint="default" w:ascii="Times New Roman" w:hAnsi="Times New Roman" w:cs="Times New Roman"/>
                      <w:sz w:val="18"/>
                      <w:szCs w:val="18"/>
                    </w:rPr>
                    <w:t>%</w:t>
                  </w:r>
                </w:p>
              </w:tc>
            </w:tr>
            <w:bookmarkEnd w:id="4"/>
          </w:tbl>
          <w:p w14:paraId="0D05CAA4">
            <w:pPr>
              <w:pStyle w:val="381"/>
              <w:ind w:firstLine="361"/>
              <w:rPr>
                <w:sz w:val="18"/>
                <w:szCs w:val="18"/>
              </w:rPr>
            </w:pPr>
            <w:bookmarkStart w:id="5" w:name="_Hlk71557688"/>
            <w:r>
              <w:rPr>
                <w:rFonts w:hint="eastAsia"/>
                <w:b/>
                <w:bCs/>
                <w:sz w:val="18"/>
                <w:szCs w:val="18"/>
              </w:rPr>
              <w:t>根据《低挥发性有机化合物含量涂料产品技术要求》（GB T 38597-2020）表1，该种涂料满足要求（</w:t>
            </w:r>
            <w:r>
              <w:rPr>
                <w:rFonts w:hint="eastAsia"/>
                <w:b/>
                <w:bCs/>
                <w:sz w:val="18"/>
                <w:szCs w:val="18"/>
                <w:lang w:val="en-US"/>
              </w:rPr>
              <w:t>VOCs≤</w:t>
            </w:r>
            <w:r>
              <w:rPr>
                <w:rFonts w:hint="eastAsia"/>
                <w:b/>
                <w:bCs/>
                <w:sz w:val="18"/>
                <w:szCs w:val="18"/>
              </w:rPr>
              <w:t>2</w:t>
            </w:r>
            <w:r>
              <w:rPr>
                <w:rFonts w:hint="eastAsia"/>
                <w:b/>
                <w:bCs/>
                <w:sz w:val="18"/>
                <w:szCs w:val="18"/>
                <w:lang w:val="en-US"/>
              </w:rPr>
              <w:t>5</w:t>
            </w:r>
            <w:r>
              <w:rPr>
                <w:b/>
                <w:bCs/>
                <w:sz w:val="18"/>
                <w:szCs w:val="18"/>
              </w:rPr>
              <w:t>0</w:t>
            </w:r>
            <w:r>
              <w:rPr>
                <w:rFonts w:hint="eastAsia"/>
                <w:b/>
                <w:bCs/>
                <w:sz w:val="18"/>
                <w:szCs w:val="18"/>
              </w:rPr>
              <w:t>g/L）</w:t>
            </w:r>
            <w:bookmarkEnd w:id="5"/>
            <w:r>
              <w:rPr>
                <w:rFonts w:hint="eastAsia"/>
                <w:b/>
                <w:bCs/>
                <w:sz w:val="18"/>
                <w:szCs w:val="18"/>
              </w:rPr>
              <w:t>。</w:t>
            </w:r>
          </w:p>
          <w:p w14:paraId="3B84BB48">
            <w:pPr>
              <w:pStyle w:val="381"/>
              <w:ind w:hanging="2" w:firstLineChars="0"/>
              <w:jc w:val="center"/>
              <w:rPr>
                <w:b/>
                <w:bCs/>
                <w:sz w:val="18"/>
                <w:szCs w:val="18"/>
              </w:rPr>
            </w:pPr>
            <w:r>
              <w:rPr>
                <w:b/>
                <w:bCs/>
                <w:sz w:val="18"/>
                <w:szCs w:val="18"/>
              </w:rPr>
              <w:t>表2-</w:t>
            </w:r>
            <w:r>
              <w:rPr>
                <w:rFonts w:hint="eastAsia"/>
                <w:b/>
                <w:bCs/>
                <w:sz w:val="18"/>
                <w:szCs w:val="18"/>
                <w:lang w:val="en-US" w:eastAsia="zh-CN"/>
              </w:rPr>
              <w:t>9</w:t>
            </w:r>
            <w:r>
              <w:rPr>
                <w:b/>
                <w:bCs/>
                <w:sz w:val="18"/>
                <w:szCs w:val="18"/>
              </w:rPr>
              <w:t xml:space="preserve"> 项目绝缘漆主要成分</w:t>
            </w:r>
          </w:p>
          <w:tbl>
            <w:tblPr>
              <w:tblStyle w:val="81"/>
              <w:tblW w:w="50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94"/>
              <w:gridCol w:w="2795"/>
              <w:gridCol w:w="2909"/>
            </w:tblGrid>
            <w:tr w14:paraId="70394D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651" w:type="dxa"/>
                  <w:shd w:val="clear" w:color="auto" w:fill="auto"/>
                  <w:vAlign w:val="center"/>
                </w:tcPr>
                <w:p w14:paraId="7EB37393">
                  <w:pPr>
                    <w:pStyle w:val="200"/>
                    <w:spacing w:line="240" w:lineRule="auto"/>
                    <w:rPr>
                      <w:b/>
                      <w:bCs/>
                      <w:sz w:val="18"/>
                      <w:szCs w:val="18"/>
                    </w:rPr>
                  </w:pPr>
                  <w:r>
                    <w:rPr>
                      <w:rFonts w:hint="eastAsia"/>
                      <w:b/>
                      <w:bCs/>
                      <w:sz w:val="18"/>
                      <w:szCs w:val="18"/>
                    </w:rPr>
                    <w:t>主要成分</w:t>
                  </w:r>
                </w:p>
              </w:tc>
              <w:tc>
                <w:tcPr>
                  <w:tcW w:w="2652" w:type="dxa"/>
                  <w:shd w:val="clear" w:color="auto" w:fill="auto"/>
                  <w:vAlign w:val="center"/>
                </w:tcPr>
                <w:p w14:paraId="5F164D71">
                  <w:pPr>
                    <w:pStyle w:val="200"/>
                    <w:spacing w:line="240" w:lineRule="auto"/>
                    <w:rPr>
                      <w:b/>
                      <w:bCs/>
                      <w:sz w:val="18"/>
                      <w:szCs w:val="18"/>
                    </w:rPr>
                  </w:pPr>
                  <w:r>
                    <w:rPr>
                      <w:rFonts w:hint="eastAsia"/>
                      <w:b/>
                      <w:bCs/>
                      <w:sz w:val="18"/>
                      <w:szCs w:val="18"/>
                    </w:rPr>
                    <w:t>CAS号</w:t>
                  </w:r>
                </w:p>
              </w:tc>
              <w:tc>
                <w:tcPr>
                  <w:tcW w:w="2759" w:type="dxa"/>
                  <w:shd w:val="clear" w:color="auto" w:fill="auto"/>
                  <w:vAlign w:val="center"/>
                </w:tcPr>
                <w:p w14:paraId="68AB6340">
                  <w:pPr>
                    <w:pStyle w:val="200"/>
                    <w:spacing w:line="240" w:lineRule="auto"/>
                    <w:rPr>
                      <w:b/>
                      <w:bCs/>
                      <w:sz w:val="18"/>
                      <w:szCs w:val="18"/>
                    </w:rPr>
                  </w:pPr>
                  <w:r>
                    <w:rPr>
                      <w:rFonts w:hint="eastAsia"/>
                      <w:b/>
                      <w:bCs/>
                      <w:sz w:val="18"/>
                      <w:szCs w:val="18"/>
                    </w:rPr>
                    <w:t>浓度</w:t>
                  </w:r>
                </w:p>
              </w:tc>
            </w:tr>
            <w:tr w14:paraId="6E920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651" w:type="dxa"/>
                  <w:shd w:val="clear" w:color="auto" w:fill="auto"/>
                  <w:vAlign w:val="center"/>
                </w:tcPr>
                <w:p w14:paraId="1D1F62BA">
                  <w:pPr>
                    <w:jc w:val="center"/>
                    <w:rPr>
                      <w:sz w:val="18"/>
                      <w:szCs w:val="18"/>
                    </w:rPr>
                  </w:pPr>
                  <w:r>
                    <w:rPr>
                      <w:sz w:val="18"/>
                      <w:szCs w:val="18"/>
                    </w:rPr>
                    <w:t>不饱和树脂</w:t>
                  </w:r>
                </w:p>
              </w:tc>
              <w:tc>
                <w:tcPr>
                  <w:tcW w:w="2652" w:type="dxa"/>
                  <w:shd w:val="clear" w:color="auto" w:fill="auto"/>
                  <w:vAlign w:val="center"/>
                </w:tcPr>
                <w:p w14:paraId="26A4D4CB">
                  <w:pPr>
                    <w:jc w:val="center"/>
                    <w:rPr>
                      <w:sz w:val="18"/>
                      <w:szCs w:val="18"/>
                    </w:rPr>
                  </w:pPr>
                  <w:r>
                    <w:rPr>
                      <w:rFonts w:hint="eastAsia"/>
                      <w:sz w:val="18"/>
                      <w:szCs w:val="18"/>
                    </w:rPr>
                    <w:t>--</w:t>
                  </w:r>
                </w:p>
              </w:tc>
              <w:tc>
                <w:tcPr>
                  <w:tcW w:w="2759" w:type="dxa"/>
                  <w:shd w:val="clear" w:color="auto" w:fill="auto"/>
                  <w:vAlign w:val="center"/>
                </w:tcPr>
                <w:p w14:paraId="2097B465">
                  <w:pPr>
                    <w:jc w:val="center"/>
                    <w:rPr>
                      <w:sz w:val="18"/>
                      <w:szCs w:val="18"/>
                    </w:rPr>
                  </w:pPr>
                  <w:r>
                    <w:rPr>
                      <w:spacing w:val="-6"/>
                      <w:sz w:val="18"/>
                      <w:szCs w:val="18"/>
                    </w:rPr>
                    <w:t>30~60%</w:t>
                  </w:r>
                </w:p>
              </w:tc>
            </w:tr>
            <w:tr w14:paraId="2D97F7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jc w:val="center"/>
              </w:trPr>
              <w:tc>
                <w:tcPr>
                  <w:tcW w:w="2651" w:type="dxa"/>
                  <w:shd w:val="clear" w:color="auto" w:fill="auto"/>
                  <w:vAlign w:val="center"/>
                </w:tcPr>
                <w:p w14:paraId="43ABEF0D">
                  <w:pPr>
                    <w:jc w:val="center"/>
                    <w:rPr>
                      <w:sz w:val="18"/>
                      <w:szCs w:val="18"/>
                    </w:rPr>
                  </w:pPr>
                  <w:r>
                    <w:rPr>
                      <w:sz w:val="18"/>
                      <w:szCs w:val="18"/>
                    </w:rPr>
                    <w:t>环氧树脂</w:t>
                  </w:r>
                </w:p>
              </w:tc>
              <w:tc>
                <w:tcPr>
                  <w:tcW w:w="2652" w:type="dxa"/>
                  <w:shd w:val="clear" w:color="auto" w:fill="auto"/>
                  <w:vAlign w:val="center"/>
                </w:tcPr>
                <w:p w14:paraId="2507C782">
                  <w:pPr>
                    <w:jc w:val="center"/>
                    <w:rPr>
                      <w:sz w:val="18"/>
                      <w:szCs w:val="18"/>
                    </w:rPr>
                  </w:pPr>
                  <w:r>
                    <w:rPr>
                      <w:rFonts w:hint="eastAsia"/>
                      <w:sz w:val="18"/>
                      <w:szCs w:val="18"/>
                    </w:rPr>
                    <w:t>--</w:t>
                  </w:r>
                </w:p>
              </w:tc>
              <w:tc>
                <w:tcPr>
                  <w:tcW w:w="2759" w:type="dxa"/>
                  <w:shd w:val="clear" w:color="auto" w:fill="auto"/>
                  <w:vAlign w:val="center"/>
                </w:tcPr>
                <w:p w14:paraId="3083DA94">
                  <w:pPr>
                    <w:jc w:val="center"/>
                    <w:rPr>
                      <w:sz w:val="18"/>
                      <w:szCs w:val="18"/>
                    </w:rPr>
                  </w:pPr>
                  <w:r>
                    <w:rPr>
                      <w:spacing w:val="-6"/>
                      <w:sz w:val="18"/>
                      <w:szCs w:val="18"/>
                    </w:rPr>
                    <w:t>5~20%</w:t>
                  </w:r>
                </w:p>
              </w:tc>
            </w:tr>
            <w:tr w14:paraId="0EB30B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jc w:val="center"/>
              </w:trPr>
              <w:tc>
                <w:tcPr>
                  <w:tcW w:w="2651" w:type="dxa"/>
                  <w:shd w:val="clear" w:color="auto" w:fill="auto"/>
                  <w:vAlign w:val="center"/>
                </w:tcPr>
                <w:p w14:paraId="4599B083">
                  <w:pPr>
                    <w:jc w:val="center"/>
                    <w:rPr>
                      <w:sz w:val="18"/>
                      <w:szCs w:val="18"/>
                    </w:rPr>
                  </w:pPr>
                  <w:r>
                    <w:rPr>
                      <w:spacing w:val="-6"/>
                      <w:sz w:val="18"/>
                      <w:szCs w:val="18"/>
                    </w:rPr>
                    <w:t>苯乙烯</w:t>
                  </w:r>
                </w:p>
              </w:tc>
              <w:tc>
                <w:tcPr>
                  <w:tcW w:w="2652" w:type="dxa"/>
                  <w:shd w:val="clear" w:color="auto" w:fill="auto"/>
                  <w:vAlign w:val="center"/>
                </w:tcPr>
                <w:p w14:paraId="373A2B35">
                  <w:pPr>
                    <w:jc w:val="center"/>
                    <w:rPr>
                      <w:sz w:val="18"/>
                      <w:szCs w:val="18"/>
                    </w:rPr>
                  </w:pPr>
                  <w:r>
                    <w:rPr>
                      <w:rFonts w:hint="eastAsia"/>
                      <w:sz w:val="18"/>
                      <w:szCs w:val="18"/>
                    </w:rPr>
                    <w:t>--</w:t>
                  </w:r>
                </w:p>
              </w:tc>
              <w:tc>
                <w:tcPr>
                  <w:tcW w:w="2759" w:type="dxa"/>
                  <w:shd w:val="clear" w:color="auto" w:fill="auto"/>
                  <w:vAlign w:val="center"/>
                </w:tcPr>
                <w:p w14:paraId="1ED04C92">
                  <w:pPr>
                    <w:jc w:val="center"/>
                    <w:rPr>
                      <w:sz w:val="18"/>
                      <w:szCs w:val="18"/>
                    </w:rPr>
                  </w:pPr>
                  <w:r>
                    <w:rPr>
                      <w:spacing w:val="-6"/>
                      <w:sz w:val="18"/>
                      <w:szCs w:val="18"/>
                    </w:rPr>
                    <w:t>30~50%</w:t>
                  </w:r>
                </w:p>
              </w:tc>
            </w:tr>
          </w:tbl>
          <w:p w14:paraId="7F387F13">
            <w:pPr>
              <w:spacing w:line="360" w:lineRule="auto"/>
              <w:ind w:firstLine="360" w:firstLineChars="200"/>
              <w:rPr>
                <w:rFonts w:hint="eastAsia" w:eastAsia="宋体"/>
                <w:lang w:eastAsia="zh-CN"/>
              </w:rPr>
            </w:pPr>
            <w:r>
              <w:rPr>
                <w:rFonts w:hint="eastAsia"/>
                <w:sz w:val="18"/>
                <w:szCs w:val="18"/>
                <w:lang w:eastAsia="zh-CN"/>
              </w:rPr>
              <w:t>（</w:t>
            </w:r>
            <w:r>
              <w:rPr>
                <w:rFonts w:hint="eastAsia"/>
                <w:sz w:val="18"/>
                <w:szCs w:val="18"/>
                <w:lang w:val="en-US" w:eastAsia="zh-CN"/>
              </w:rPr>
              <w:t>6</w:t>
            </w:r>
            <w:r>
              <w:rPr>
                <w:rFonts w:hint="eastAsia"/>
                <w:sz w:val="18"/>
                <w:szCs w:val="18"/>
                <w:lang w:eastAsia="zh-CN"/>
              </w:rPr>
              <w:t>）</w:t>
            </w:r>
            <w:r>
              <w:rPr>
                <w:rFonts w:hint="default" w:ascii="Times New Roman" w:hAnsi="Times New Roman" w:cs="Times New Roman"/>
                <w:sz w:val="18"/>
                <w:szCs w:val="18"/>
                <w:lang w:eastAsia="zh-CN"/>
              </w:rPr>
              <w:t>塑粉：</w:t>
            </w:r>
            <w:r>
              <w:rPr>
                <w:rFonts w:hint="default" w:ascii="Times New Roman" w:hAnsi="Times New Roman" w:cs="Times New Roman"/>
                <w:bCs/>
                <w:sz w:val="18"/>
                <w:szCs w:val="18"/>
                <w:lang w:val="de-DE"/>
              </w:rPr>
              <w:t>塑粉是一种静电喷涂用热固性</w:t>
            </w:r>
            <w:r>
              <w:rPr>
                <w:rFonts w:hint="default" w:ascii="Times New Roman" w:hAnsi="Times New Roman" w:cs="Times New Roman"/>
                <w:sz w:val="18"/>
                <w:szCs w:val="18"/>
              </w:rPr>
              <w:fldChar w:fldCharType="begin"/>
            </w:r>
            <w:r>
              <w:rPr>
                <w:rFonts w:hint="default" w:ascii="Times New Roman" w:hAnsi="Times New Roman" w:cs="Times New Roman"/>
                <w:sz w:val="18"/>
                <w:szCs w:val="18"/>
              </w:rPr>
              <w:instrText xml:space="preserve"> HYPERLINK "https://baike.so.com/doc/6048464-6261481.html" \t "_blank" </w:instrText>
            </w:r>
            <w:r>
              <w:rPr>
                <w:rFonts w:hint="default" w:ascii="Times New Roman" w:hAnsi="Times New Roman" w:cs="Times New Roman"/>
                <w:sz w:val="18"/>
                <w:szCs w:val="18"/>
              </w:rPr>
              <w:fldChar w:fldCharType="separate"/>
            </w:r>
            <w:r>
              <w:rPr>
                <w:rFonts w:hint="default" w:ascii="Times New Roman" w:hAnsi="Times New Roman" w:cs="Times New Roman"/>
                <w:bCs/>
                <w:sz w:val="18"/>
                <w:szCs w:val="18"/>
                <w:lang w:val="de-DE"/>
              </w:rPr>
              <w:t>粉末涂料</w:t>
            </w:r>
            <w:r>
              <w:rPr>
                <w:rFonts w:hint="default" w:ascii="Times New Roman" w:hAnsi="Times New Roman" w:cs="Times New Roman"/>
                <w:bCs/>
                <w:sz w:val="18"/>
                <w:szCs w:val="18"/>
                <w:lang w:val="de-DE"/>
              </w:rPr>
              <w:fldChar w:fldCharType="end"/>
            </w:r>
            <w:r>
              <w:rPr>
                <w:rFonts w:hint="default" w:ascii="Times New Roman" w:hAnsi="Times New Roman" w:cs="Times New Roman"/>
                <w:bCs/>
                <w:sz w:val="18"/>
                <w:szCs w:val="18"/>
                <w:lang w:val="de-DE"/>
              </w:rPr>
              <w:t>，属于无溶剂型涂料。本项目使用塑粉为环氧树脂粉末，主要成分为环氧树脂、硫酸钡、钛白粉和聚酯流平剂，外观为白色粉末状，密度1.3～1.5g/cm</w:t>
            </w:r>
            <w:r>
              <w:rPr>
                <w:rFonts w:hint="default" w:ascii="Times New Roman" w:hAnsi="Times New Roman" w:cs="Times New Roman"/>
                <w:bCs/>
                <w:sz w:val="18"/>
                <w:szCs w:val="18"/>
                <w:vertAlign w:val="superscript"/>
                <w:lang w:val="de-DE"/>
              </w:rPr>
              <w:t>3</w:t>
            </w:r>
            <w:r>
              <w:rPr>
                <w:rFonts w:hint="default" w:ascii="Times New Roman" w:hAnsi="Times New Roman" w:cs="Times New Roman"/>
                <w:bCs/>
                <w:sz w:val="18"/>
                <w:szCs w:val="18"/>
                <w:lang w:val="de-DE"/>
              </w:rPr>
              <w:t>，在200℃下30～120秒即可胶化，最快10分钟即可固化，涂膜附着力≤2级。</w:t>
            </w:r>
            <w:r>
              <w:rPr>
                <w:rFonts w:hint="default" w:ascii="Times New Roman" w:hAnsi="Times New Roman" w:cs="Times New Roman"/>
                <w:sz w:val="18"/>
                <w:szCs w:val="18"/>
                <w:lang w:val="de-DE"/>
              </w:rPr>
              <w:t>根据《低挥发性有机化合物含量涂料产品技术要求》（GB/T38597-2020）无溶剂型性涂料VOCs的含量要求（VOCs≤60g/L），本项目使用塑粉可挥发分≤0.6%，密度</w:t>
            </w:r>
            <w:r>
              <w:rPr>
                <w:rFonts w:hint="default" w:ascii="Times New Roman" w:hAnsi="Times New Roman" w:cs="Times New Roman"/>
                <w:bCs/>
                <w:sz w:val="18"/>
                <w:szCs w:val="18"/>
                <w:lang w:val="de-DE"/>
              </w:rPr>
              <w:t>1.3～1.5g/cm</w:t>
            </w:r>
            <w:r>
              <w:rPr>
                <w:rFonts w:hint="default" w:ascii="Times New Roman" w:hAnsi="Times New Roman" w:cs="Times New Roman"/>
                <w:bCs/>
                <w:sz w:val="18"/>
                <w:szCs w:val="18"/>
                <w:vertAlign w:val="superscript"/>
                <w:lang w:val="de-DE"/>
              </w:rPr>
              <w:t>3</w:t>
            </w:r>
            <w:r>
              <w:rPr>
                <w:rFonts w:hint="default" w:ascii="Times New Roman" w:hAnsi="Times New Roman" w:cs="Times New Roman"/>
                <w:bCs/>
                <w:sz w:val="18"/>
                <w:szCs w:val="18"/>
                <w:lang w:val="de-DE"/>
              </w:rPr>
              <w:t>，则</w:t>
            </w:r>
            <w:r>
              <w:rPr>
                <w:rFonts w:hint="default" w:ascii="Times New Roman" w:hAnsi="Times New Roman" w:cs="Times New Roman"/>
                <w:sz w:val="18"/>
                <w:szCs w:val="18"/>
                <w:lang w:val="de-DE"/>
              </w:rPr>
              <w:t>本项目使用塑粉VOCs挥发分≤9g/L，属于低VOCs涂料。</w:t>
            </w:r>
          </w:p>
          <w:p w14:paraId="3ED48520">
            <w:pPr>
              <w:spacing w:line="360" w:lineRule="auto"/>
              <w:ind w:firstLine="420" w:firstLineChars="200"/>
            </w:pPr>
            <w:r>
              <w:t>9、主要生产设备</w:t>
            </w:r>
          </w:p>
          <w:p w14:paraId="7D937484">
            <w:pPr>
              <w:spacing w:line="360" w:lineRule="auto"/>
              <w:ind w:firstLine="420" w:firstLineChars="200"/>
              <w:rPr>
                <w:kern w:val="0"/>
                <w:highlight w:val="none"/>
              </w:rPr>
            </w:pPr>
            <w:r>
              <w:rPr>
                <w:kern w:val="0"/>
                <w:highlight w:val="none"/>
              </w:rPr>
              <w:t>本项目主要设备见表2-</w:t>
            </w:r>
            <w:r>
              <w:rPr>
                <w:rFonts w:hint="eastAsia"/>
                <w:kern w:val="0"/>
                <w:highlight w:val="none"/>
                <w:lang w:val="en-US" w:eastAsia="zh-CN"/>
              </w:rPr>
              <w:t>10</w:t>
            </w:r>
            <w:r>
              <w:rPr>
                <w:kern w:val="0"/>
                <w:highlight w:val="none"/>
              </w:rPr>
              <w:t>。</w:t>
            </w:r>
          </w:p>
          <w:p w14:paraId="3A02DB75">
            <w:pPr>
              <w:spacing w:line="420" w:lineRule="exact"/>
              <w:jc w:val="center"/>
              <w:rPr>
                <w:b/>
                <w:bCs/>
                <w:highlight w:val="none"/>
              </w:rPr>
            </w:pPr>
            <w:bookmarkStart w:id="6" w:name="_Hlk76365667"/>
            <w:r>
              <w:rPr>
                <w:b/>
                <w:bCs/>
                <w:highlight w:val="none"/>
              </w:rPr>
              <w:t>表2-</w:t>
            </w:r>
            <w:r>
              <w:rPr>
                <w:rFonts w:hint="eastAsia"/>
                <w:b/>
                <w:bCs/>
                <w:highlight w:val="none"/>
                <w:lang w:val="en-US" w:eastAsia="zh-CN"/>
              </w:rPr>
              <w:t>10</w:t>
            </w:r>
            <w:r>
              <w:rPr>
                <w:b/>
                <w:bCs/>
                <w:highlight w:val="none"/>
              </w:rPr>
              <w:t>项目主要设备</w:t>
            </w:r>
          </w:p>
          <w:bookmarkEnd w:id="6"/>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4"/>
              <w:gridCol w:w="1337"/>
              <w:gridCol w:w="2126"/>
              <w:gridCol w:w="1644"/>
              <w:gridCol w:w="1091"/>
              <w:gridCol w:w="1562"/>
            </w:tblGrid>
            <w:tr w14:paraId="74627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shd w:val="clear" w:color="auto" w:fill="auto"/>
                  <w:noWrap w:val="0"/>
                  <w:vAlign w:val="center"/>
                </w:tcPr>
                <w:p w14:paraId="5A6FC377">
                  <w:pPr>
                    <w:jc w:val="center"/>
                    <w:rPr>
                      <w:rFonts w:ascii="Times New Roman"/>
                      <w:sz w:val="18"/>
                      <w:szCs w:val="18"/>
                      <w:highlight w:val="none"/>
                    </w:rPr>
                  </w:pPr>
                  <w:r>
                    <w:rPr>
                      <w:rFonts w:ascii="Times New Roman"/>
                      <w:sz w:val="18"/>
                      <w:szCs w:val="18"/>
                      <w:highlight w:val="none"/>
                    </w:rPr>
                    <w:t>序号</w:t>
                  </w:r>
                </w:p>
              </w:tc>
              <w:tc>
                <w:tcPr>
                  <w:tcW w:w="1337" w:type="dxa"/>
                  <w:shd w:val="clear" w:color="auto" w:fill="auto"/>
                  <w:noWrap w:val="0"/>
                  <w:vAlign w:val="center"/>
                </w:tcPr>
                <w:p w14:paraId="07A7BA8D">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val="en-US" w:eastAsia="zh-CN"/>
                    </w:rPr>
                    <w:t>主要生产单元名称</w:t>
                  </w:r>
                </w:p>
              </w:tc>
              <w:tc>
                <w:tcPr>
                  <w:tcW w:w="2126" w:type="dxa"/>
                  <w:shd w:val="clear" w:color="auto" w:fill="auto"/>
                  <w:noWrap w:val="0"/>
                  <w:vAlign w:val="center"/>
                </w:tcPr>
                <w:p w14:paraId="7ED9D064">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设备名称</w:t>
                  </w:r>
                </w:p>
              </w:tc>
              <w:tc>
                <w:tcPr>
                  <w:tcW w:w="1644" w:type="dxa"/>
                  <w:shd w:val="clear" w:color="auto" w:fill="auto"/>
                  <w:noWrap w:val="0"/>
                  <w:vAlign w:val="center"/>
                </w:tcPr>
                <w:p w14:paraId="56DABE26">
                  <w:pPr>
                    <w:jc w:val="center"/>
                    <w:rPr>
                      <w:rFonts w:ascii="Times New Roman" w:hAnsi="Times New Roman" w:cs="Times New Roman"/>
                      <w:sz w:val="18"/>
                      <w:szCs w:val="18"/>
                      <w:highlight w:val="none"/>
                    </w:rPr>
                  </w:pPr>
                  <w:r>
                    <w:rPr>
                      <w:rFonts w:hint="eastAsia" w:ascii="Times New Roman" w:hAnsi="Times New Roman" w:cs="Times New Roman"/>
                      <w:sz w:val="18"/>
                      <w:szCs w:val="18"/>
                      <w:highlight w:val="none"/>
                    </w:rPr>
                    <w:t>规格</w:t>
                  </w:r>
                </w:p>
              </w:tc>
              <w:tc>
                <w:tcPr>
                  <w:tcW w:w="1091" w:type="dxa"/>
                  <w:shd w:val="clear" w:color="auto" w:fill="auto"/>
                  <w:noWrap w:val="0"/>
                  <w:vAlign w:val="center"/>
                </w:tcPr>
                <w:p w14:paraId="2825F08C">
                  <w:pPr>
                    <w:jc w:val="center"/>
                    <w:rPr>
                      <w:rFonts w:ascii="Times New Roman" w:hAnsi="Times New Roman" w:cs="Times New Roman"/>
                      <w:sz w:val="18"/>
                      <w:szCs w:val="18"/>
                      <w:highlight w:val="none"/>
                    </w:rPr>
                  </w:pPr>
                  <w:r>
                    <w:rPr>
                      <w:rFonts w:ascii="Times New Roman" w:hAnsi="Times New Roman" w:cs="Times New Roman"/>
                      <w:sz w:val="18"/>
                      <w:szCs w:val="18"/>
                      <w:highlight w:val="none"/>
                    </w:rPr>
                    <w:t>数量</w:t>
                  </w:r>
                </w:p>
                <w:p w14:paraId="64197524">
                  <w:pPr>
                    <w:jc w:val="center"/>
                    <w:rPr>
                      <w:rFonts w:hint="eastAsia" w:ascii="Times New Roman" w:hAnsi="Times New Roman" w:eastAsia="宋体" w:cs="Times New Roman"/>
                      <w:sz w:val="18"/>
                      <w:szCs w:val="18"/>
                      <w:highlight w:val="none"/>
                      <w:lang w:eastAsia="zh-CN"/>
                    </w:rPr>
                  </w:pPr>
                  <w:r>
                    <w:rPr>
                      <w:rFonts w:hint="eastAsia" w:ascii="Times New Roman" w:hAnsi="Times New Roman" w:cs="Times New Roman"/>
                      <w:sz w:val="18"/>
                      <w:szCs w:val="18"/>
                      <w:highlight w:val="none"/>
                      <w:lang w:eastAsia="zh-CN"/>
                    </w:rPr>
                    <w:t>（台</w:t>
                  </w:r>
                  <w:r>
                    <w:rPr>
                      <w:rFonts w:hint="eastAsia" w:ascii="Times New Roman" w:hAnsi="Times New Roman" w:cs="Times New Roman"/>
                      <w:sz w:val="18"/>
                      <w:szCs w:val="18"/>
                      <w:highlight w:val="none"/>
                      <w:lang w:val="en-US" w:eastAsia="zh-CN"/>
                    </w:rPr>
                    <w:t>/套</w:t>
                  </w:r>
                  <w:r>
                    <w:rPr>
                      <w:rFonts w:hint="eastAsia" w:ascii="Times New Roman" w:hAnsi="Times New Roman" w:cs="Times New Roman"/>
                      <w:sz w:val="18"/>
                      <w:szCs w:val="18"/>
                      <w:highlight w:val="none"/>
                      <w:lang w:eastAsia="zh-CN"/>
                    </w:rPr>
                    <w:t>）</w:t>
                  </w:r>
                </w:p>
              </w:tc>
              <w:tc>
                <w:tcPr>
                  <w:tcW w:w="1562" w:type="dxa"/>
                  <w:shd w:val="clear" w:color="auto" w:fill="auto"/>
                  <w:noWrap w:val="0"/>
                  <w:vAlign w:val="center"/>
                </w:tcPr>
                <w:p w14:paraId="04A02A7A">
                  <w:pPr>
                    <w:jc w:val="center"/>
                    <w:rPr>
                      <w:rFonts w:hint="eastAsia" w:ascii="Times New Roman" w:hAnsi="Times New Roman" w:eastAsia="宋体" w:cs="Times New Roman"/>
                      <w:sz w:val="18"/>
                      <w:szCs w:val="18"/>
                      <w:highlight w:val="none"/>
                      <w:lang w:eastAsia="zh-CN"/>
                    </w:rPr>
                  </w:pPr>
                  <w:r>
                    <w:rPr>
                      <w:rFonts w:hint="eastAsia" w:ascii="Times New Roman" w:hAnsi="Times New Roman" w:cs="Times New Roman"/>
                      <w:sz w:val="18"/>
                      <w:szCs w:val="18"/>
                      <w:highlight w:val="none"/>
                      <w:lang w:eastAsia="zh-CN"/>
                    </w:rPr>
                    <w:t>备注</w:t>
                  </w:r>
                </w:p>
              </w:tc>
            </w:tr>
            <w:tr w14:paraId="7E9DAB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58A6537">
                  <w:pPr>
                    <w:numPr>
                      <w:ilvl w:val="0"/>
                      <w:numId w:val="19"/>
                    </w:numPr>
                    <w:ind w:left="425" w:leftChars="0" w:hanging="425" w:firstLineChars="0"/>
                    <w:jc w:val="center"/>
                    <w:textAlignment w:val="center"/>
                    <w:rPr>
                      <w:rFonts w:ascii="Times New Roman"/>
                      <w:kern w:val="2"/>
                      <w:sz w:val="18"/>
                      <w:szCs w:val="18"/>
                      <w:highlight w:val="none"/>
                    </w:rPr>
                  </w:pPr>
                </w:p>
              </w:tc>
              <w:tc>
                <w:tcPr>
                  <w:tcW w:w="1337" w:type="dxa"/>
                  <w:vMerge w:val="restart"/>
                  <w:noWrap w:val="0"/>
                  <w:vAlign w:val="center"/>
                </w:tcPr>
                <w:p w14:paraId="00421A6A">
                  <w:pPr>
                    <w:ind w:left="-88" w:leftChars="-42" w:right="-76" w:rightChars="-36"/>
                    <w:jc w:val="center"/>
                    <w:rPr>
                      <w:rFonts w:hint="default" w:eastAsia="宋体"/>
                      <w:color w:val="auto"/>
                      <w:sz w:val="18"/>
                      <w:szCs w:val="18"/>
                      <w:highlight w:val="none"/>
                      <w:lang w:val="en-US" w:eastAsia="zh-CN"/>
                    </w:rPr>
                  </w:pPr>
                  <w:r>
                    <w:rPr>
                      <w:rFonts w:hint="eastAsia"/>
                      <w:color w:val="auto"/>
                      <w:sz w:val="18"/>
                      <w:szCs w:val="18"/>
                      <w:highlight w:val="none"/>
                      <w:lang w:val="en-US" w:eastAsia="zh-CN"/>
                    </w:rPr>
                    <w:t>主要生产单元</w:t>
                  </w:r>
                </w:p>
              </w:tc>
              <w:tc>
                <w:tcPr>
                  <w:tcW w:w="2126" w:type="dxa"/>
                  <w:noWrap w:val="0"/>
                  <w:vAlign w:val="center"/>
                </w:tcPr>
                <w:p w14:paraId="256FE5B6">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剪板机</w:t>
                  </w:r>
                </w:p>
              </w:tc>
              <w:tc>
                <w:tcPr>
                  <w:tcW w:w="1644" w:type="dxa"/>
                  <w:noWrap w:val="0"/>
                  <w:vAlign w:val="center"/>
                </w:tcPr>
                <w:p w14:paraId="08FA07B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20×2500</w:t>
                  </w:r>
                </w:p>
              </w:tc>
              <w:tc>
                <w:tcPr>
                  <w:tcW w:w="1091" w:type="dxa"/>
                  <w:noWrap w:val="0"/>
                  <w:vAlign w:val="center"/>
                </w:tcPr>
                <w:p w14:paraId="3B046121">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2</w:t>
                  </w:r>
                </w:p>
              </w:tc>
              <w:tc>
                <w:tcPr>
                  <w:tcW w:w="1562" w:type="dxa"/>
                  <w:noWrap w:val="0"/>
                  <w:vAlign w:val="center"/>
                </w:tcPr>
                <w:p w14:paraId="2506A9FA">
                  <w:pPr>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586F65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922F77A">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5C0C9EA7">
                  <w:pPr>
                    <w:ind w:left="-88" w:leftChars="-42" w:right="-76" w:rightChars="-36"/>
                    <w:jc w:val="center"/>
                    <w:rPr>
                      <w:rFonts w:hint="eastAsia"/>
                      <w:color w:val="auto"/>
                      <w:sz w:val="18"/>
                      <w:szCs w:val="18"/>
                      <w:highlight w:val="none"/>
                    </w:rPr>
                  </w:pPr>
                </w:p>
              </w:tc>
              <w:tc>
                <w:tcPr>
                  <w:tcW w:w="2126" w:type="dxa"/>
                  <w:noWrap w:val="0"/>
                  <w:vAlign w:val="center"/>
                </w:tcPr>
                <w:p w14:paraId="184F2076">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剪板机</w:t>
                  </w:r>
                </w:p>
              </w:tc>
              <w:tc>
                <w:tcPr>
                  <w:tcW w:w="1644" w:type="dxa"/>
                  <w:noWrap w:val="0"/>
                  <w:vAlign w:val="center"/>
                </w:tcPr>
                <w:p w14:paraId="201FED1B">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10×2500</w:t>
                  </w:r>
                </w:p>
              </w:tc>
              <w:tc>
                <w:tcPr>
                  <w:tcW w:w="1091" w:type="dxa"/>
                  <w:noWrap w:val="0"/>
                  <w:vAlign w:val="center"/>
                </w:tcPr>
                <w:p w14:paraId="0FA0DCCA">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2</w:t>
                  </w:r>
                </w:p>
              </w:tc>
              <w:tc>
                <w:tcPr>
                  <w:tcW w:w="1562" w:type="dxa"/>
                  <w:noWrap w:val="0"/>
                  <w:vAlign w:val="center"/>
                </w:tcPr>
                <w:p w14:paraId="2296EF71">
                  <w:pPr>
                    <w:jc w:val="center"/>
                    <w:rPr>
                      <w:rFonts w:ascii="Times New Roman" w:hAnsi="Times New Roman" w:cs="Times New Roman"/>
                      <w:color w:val="auto"/>
                      <w:sz w:val="18"/>
                      <w:szCs w:val="18"/>
                      <w:highlight w:val="none"/>
                    </w:rPr>
                  </w:pPr>
                  <w:r>
                    <w:rPr>
                      <w:rFonts w:hint="eastAsia" w:cs="Times New Roman"/>
                      <w:color w:val="auto"/>
                      <w:sz w:val="18"/>
                      <w:szCs w:val="18"/>
                      <w:highlight w:val="none"/>
                      <w:lang w:eastAsia="zh-CN"/>
                    </w:rPr>
                    <w:t>新增</w:t>
                  </w:r>
                </w:p>
              </w:tc>
            </w:tr>
            <w:tr w14:paraId="7C753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98CE9C1">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0A1E4F5E">
                  <w:pPr>
                    <w:ind w:left="-88" w:leftChars="-42" w:right="-76" w:rightChars="-36"/>
                    <w:jc w:val="center"/>
                    <w:rPr>
                      <w:rFonts w:hint="eastAsia"/>
                      <w:color w:val="auto"/>
                      <w:sz w:val="18"/>
                      <w:szCs w:val="18"/>
                      <w:highlight w:val="none"/>
                    </w:rPr>
                  </w:pPr>
                </w:p>
              </w:tc>
              <w:tc>
                <w:tcPr>
                  <w:tcW w:w="2126" w:type="dxa"/>
                  <w:noWrap w:val="0"/>
                  <w:vAlign w:val="center"/>
                </w:tcPr>
                <w:p w14:paraId="57C14248">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卷板机</w:t>
                  </w:r>
                </w:p>
              </w:tc>
              <w:tc>
                <w:tcPr>
                  <w:tcW w:w="1644" w:type="dxa"/>
                  <w:noWrap w:val="0"/>
                  <w:vAlign w:val="center"/>
                </w:tcPr>
                <w:p w14:paraId="3B63F223">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2</w:t>
                  </w:r>
                  <w:r>
                    <w:rPr>
                      <w:rFonts w:hint="eastAsia"/>
                      <w:color w:val="auto"/>
                      <w:sz w:val="18"/>
                      <w:szCs w:val="18"/>
                      <w:highlight w:val="none"/>
                      <w:lang w:val="en-US" w:eastAsia="zh-CN"/>
                    </w:rPr>
                    <w:t>5</w:t>
                  </w:r>
                  <w:r>
                    <w:rPr>
                      <w:rFonts w:hint="eastAsia"/>
                      <w:color w:val="auto"/>
                      <w:sz w:val="18"/>
                      <w:szCs w:val="18"/>
                      <w:highlight w:val="none"/>
                    </w:rPr>
                    <w:t>00×16</w:t>
                  </w:r>
                </w:p>
              </w:tc>
              <w:tc>
                <w:tcPr>
                  <w:tcW w:w="1091" w:type="dxa"/>
                  <w:noWrap w:val="0"/>
                  <w:vAlign w:val="center"/>
                </w:tcPr>
                <w:p w14:paraId="0096242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2</w:t>
                  </w:r>
                </w:p>
              </w:tc>
              <w:tc>
                <w:tcPr>
                  <w:tcW w:w="1562" w:type="dxa"/>
                  <w:noWrap w:val="0"/>
                  <w:vAlign w:val="center"/>
                </w:tcPr>
                <w:p w14:paraId="7C9DFF0D">
                  <w:pPr>
                    <w:jc w:val="center"/>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新增</w:t>
                  </w:r>
                </w:p>
              </w:tc>
            </w:tr>
            <w:tr w14:paraId="4B7660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8A266CD">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62F9BE03">
                  <w:pPr>
                    <w:ind w:left="-88" w:leftChars="-42" w:right="-76" w:rightChars="-36"/>
                    <w:jc w:val="center"/>
                    <w:rPr>
                      <w:rFonts w:hint="eastAsia"/>
                      <w:color w:val="auto"/>
                      <w:sz w:val="18"/>
                      <w:szCs w:val="18"/>
                    </w:rPr>
                  </w:pPr>
                </w:p>
              </w:tc>
              <w:tc>
                <w:tcPr>
                  <w:tcW w:w="2126" w:type="dxa"/>
                  <w:noWrap w:val="0"/>
                  <w:vAlign w:val="center"/>
                </w:tcPr>
                <w:p w14:paraId="3560ABA9">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卷板机</w:t>
                  </w:r>
                </w:p>
              </w:tc>
              <w:tc>
                <w:tcPr>
                  <w:tcW w:w="1644" w:type="dxa"/>
                  <w:noWrap w:val="0"/>
                  <w:vAlign w:val="center"/>
                </w:tcPr>
                <w:p w14:paraId="50B2B03C">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2500×25</w:t>
                  </w:r>
                </w:p>
              </w:tc>
              <w:tc>
                <w:tcPr>
                  <w:tcW w:w="1091" w:type="dxa"/>
                  <w:noWrap w:val="0"/>
                  <w:vAlign w:val="center"/>
                </w:tcPr>
                <w:p w14:paraId="6BA0ED74">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w:t>
                  </w:r>
                </w:p>
              </w:tc>
              <w:tc>
                <w:tcPr>
                  <w:tcW w:w="1562" w:type="dxa"/>
                  <w:noWrap w:val="0"/>
                  <w:vAlign w:val="center"/>
                </w:tcPr>
                <w:p w14:paraId="361BFD21">
                  <w:pPr>
                    <w:jc w:val="center"/>
                    <w:rPr>
                      <w:rFonts w:hint="eastAsia" w:ascii="Times New Roman" w:hAnsi="Times New Roman" w:cs="Times New Roman"/>
                      <w:sz w:val="18"/>
                      <w:szCs w:val="18"/>
                      <w:highlight w:val="none"/>
                    </w:rPr>
                  </w:pPr>
                  <w:r>
                    <w:rPr>
                      <w:rFonts w:hint="eastAsia" w:cs="Times New Roman"/>
                      <w:sz w:val="18"/>
                      <w:szCs w:val="18"/>
                      <w:highlight w:val="none"/>
                      <w:lang w:eastAsia="zh-CN"/>
                    </w:rPr>
                    <w:t>新增</w:t>
                  </w:r>
                </w:p>
              </w:tc>
            </w:tr>
            <w:tr w14:paraId="431043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6FA8027">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1CC298D0">
                  <w:pPr>
                    <w:ind w:left="-88" w:leftChars="-42" w:right="-76" w:rightChars="-36"/>
                    <w:jc w:val="center"/>
                    <w:rPr>
                      <w:rFonts w:hint="eastAsia"/>
                      <w:color w:val="auto"/>
                      <w:sz w:val="18"/>
                      <w:szCs w:val="18"/>
                    </w:rPr>
                  </w:pPr>
                </w:p>
              </w:tc>
              <w:tc>
                <w:tcPr>
                  <w:tcW w:w="2126" w:type="dxa"/>
                  <w:noWrap w:val="0"/>
                  <w:vAlign w:val="center"/>
                </w:tcPr>
                <w:p w14:paraId="58CB1966">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卷板机</w:t>
                  </w:r>
                </w:p>
              </w:tc>
              <w:tc>
                <w:tcPr>
                  <w:tcW w:w="1644" w:type="dxa"/>
                  <w:noWrap w:val="0"/>
                  <w:vAlign w:val="center"/>
                </w:tcPr>
                <w:p w14:paraId="1DC204D8">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2500×10</w:t>
                  </w:r>
                </w:p>
              </w:tc>
              <w:tc>
                <w:tcPr>
                  <w:tcW w:w="1091" w:type="dxa"/>
                  <w:noWrap w:val="0"/>
                  <w:vAlign w:val="center"/>
                </w:tcPr>
                <w:p w14:paraId="49A098A3">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w:t>
                  </w:r>
                </w:p>
              </w:tc>
              <w:tc>
                <w:tcPr>
                  <w:tcW w:w="1562" w:type="dxa"/>
                  <w:noWrap w:val="0"/>
                  <w:vAlign w:val="center"/>
                </w:tcPr>
                <w:p w14:paraId="76AB90D0">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620F8F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008C237">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14595DEA">
                  <w:pPr>
                    <w:ind w:left="-88" w:leftChars="-42" w:right="-76" w:rightChars="-36"/>
                    <w:jc w:val="center"/>
                    <w:rPr>
                      <w:rFonts w:hint="eastAsia"/>
                      <w:color w:val="auto"/>
                      <w:sz w:val="18"/>
                      <w:szCs w:val="18"/>
                    </w:rPr>
                  </w:pPr>
                </w:p>
              </w:tc>
              <w:tc>
                <w:tcPr>
                  <w:tcW w:w="2126" w:type="dxa"/>
                  <w:noWrap w:val="0"/>
                  <w:vAlign w:val="center"/>
                </w:tcPr>
                <w:p w14:paraId="774DD81B">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四柱油压机</w:t>
                  </w:r>
                </w:p>
              </w:tc>
              <w:tc>
                <w:tcPr>
                  <w:tcW w:w="1644" w:type="dxa"/>
                  <w:noWrap w:val="0"/>
                  <w:vAlign w:val="center"/>
                </w:tcPr>
                <w:p w14:paraId="21B3D522">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500T</w:t>
                  </w:r>
                </w:p>
              </w:tc>
              <w:tc>
                <w:tcPr>
                  <w:tcW w:w="1091" w:type="dxa"/>
                  <w:noWrap w:val="0"/>
                  <w:vAlign w:val="center"/>
                </w:tcPr>
                <w:p w14:paraId="42176238">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w:t>
                  </w:r>
                </w:p>
              </w:tc>
              <w:tc>
                <w:tcPr>
                  <w:tcW w:w="1562" w:type="dxa"/>
                  <w:noWrap w:val="0"/>
                  <w:vAlign w:val="center"/>
                </w:tcPr>
                <w:p w14:paraId="323BB682">
                  <w:pPr>
                    <w:jc w:val="center"/>
                    <w:rPr>
                      <w:rFonts w:hint="eastAsia" w:ascii="Times New Roman" w:hAnsi="Times New Roman" w:cs="Times New Roman"/>
                      <w:sz w:val="18"/>
                      <w:szCs w:val="18"/>
                      <w:highlight w:val="none"/>
                    </w:rPr>
                  </w:pPr>
                  <w:r>
                    <w:rPr>
                      <w:rFonts w:hint="eastAsia" w:cs="Times New Roman"/>
                      <w:sz w:val="18"/>
                      <w:szCs w:val="18"/>
                      <w:highlight w:val="none"/>
                      <w:lang w:eastAsia="zh-CN"/>
                    </w:rPr>
                    <w:t>新增</w:t>
                  </w:r>
                </w:p>
              </w:tc>
            </w:tr>
            <w:tr w14:paraId="37F0A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49E1611">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2BC751DD">
                  <w:pPr>
                    <w:ind w:left="-88" w:leftChars="-42" w:right="-76" w:rightChars="-36"/>
                    <w:jc w:val="center"/>
                    <w:rPr>
                      <w:rFonts w:hint="eastAsia"/>
                      <w:color w:val="auto"/>
                      <w:sz w:val="18"/>
                      <w:szCs w:val="18"/>
                    </w:rPr>
                  </w:pPr>
                </w:p>
              </w:tc>
              <w:tc>
                <w:tcPr>
                  <w:tcW w:w="2126" w:type="dxa"/>
                  <w:noWrap w:val="0"/>
                  <w:vAlign w:val="center"/>
                </w:tcPr>
                <w:p w14:paraId="19B01A2E">
                  <w:pPr>
                    <w:ind w:left="-88" w:leftChars="-42" w:right="-76" w:rightChars="-36"/>
                    <w:jc w:val="center"/>
                    <w:rPr>
                      <w:rFonts w:hint="eastAsia"/>
                      <w:color w:val="auto"/>
                      <w:sz w:val="18"/>
                      <w:szCs w:val="18"/>
                    </w:rPr>
                  </w:pPr>
                  <w:r>
                    <w:rPr>
                      <w:rFonts w:hint="eastAsia"/>
                      <w:color w:val="auto"/>
                      <w:sz w:val="18"/>
                      <w:szCs w:val="18"/>
                    </w:rPr>
                    <w:t>四柱油压机</w:t>
                  </w:r>
                </w:p>
              </w:tc>
              <w:tc>
                <w:tcPr>
                  <w:tcW w:w="1644" w:type="dxa"/>
                  <w:noWrap w:val="0"/>
                  <w:vAlign w:val="center"/>
                </w:tcPr>
                <w:p w14:paraId="58643D7D">
                  <w:pPr>
                    <w:jc w:val="center"/>
                    <w:rPr>
                      <w:rFonts w:hint="default" w:eastAsia="宋体"/>
                      <w:color w:val="auto"/>
                      <w:sz w:val="18"/>
                      <w:szCs w:val="18"/>
                      <w:lang w:val="en-US" w:eastAsia="zh-CN"/>
                    </w:rPr>
                  </w:pPr>
                  <w:r>
                    <w:rPr>
                      <w:rFonts w:hint="eastAsia"/>
                      <w:color w:val="auto"/>
                      <w:sz w:val="18"/>
                      <w:szCs w:val="18"/>
                      <w:lang w:val="en-US" w:eastAsia="zh-CN"/>
                    </w:rPr>
                    <w:t>1250T</w:t>
                  </w:r>
                </w:p>
              </w:tc>
              <w:tc>
                <w:tcPr>
                  <w:tcW w:w="1091" w:type="dxa"/>
                  <w:noWrap w:val="0"/>
                  <w:vAlign w:val="center"/>
                </w:tcPr>
                <w:p w14:paraId="325B1D06">
                  <w:pPr>
                    <w:jc w:val="center"/>
                    <w:rPr>
                      <w:rFonts w:hint="eastAsia" w:eastAsia="宋体"/>
                      <w:color w:val="auto"/>
                      <w:sz w:val="18"/>
                      <w:szCs w:val="18"/>
                      <w:lang w:val="en-US" w:eastAsia="zh-CN"/>
                    </w:rPr>
                  </w:pPr>
                  <w:r>
                    <w:rPr>
                      <w:rFonts w:hint="eastAsia"/>
                      <w:color w:val="auto"/>
                      <w:sz w:val="18"/>
                      <w:szCs w:val="18"/>
                      <w:lang w:val="en-US" w:eastAsia="zh-CN"/>
                    </w:rPr>
                    <w:t>1</w:t>
                  </w:r>
                </w:p>
              </w:tc>
              <w:tc>
                <w:tcPr>
                  <w:tcW w:w="1562" w:type="dxa"/>
                  <w:noWrap w:val="0"/>
                  <w:vAlign w:val="center"/>
                </w:tcPr>
                <w:p w14:paraId="52D5B2CA">
                  <w:pPr>
                    <w:jc w:val="center"/>
                    <w:rPr>
                      <w:rFonts w:hint="eastAsia"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606AD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BD4F9CA">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3590B82E">
                  <w:pPr>
                    <w:ind w:left="-88" w:leftChars="-42" w:right="-76" w:rightChars="-36"/>
                    <w:jc w:val="center"/>
                    <w:rPr>
                      <w:rFonts w:hint="eastAsia"/>
                      <w:color w:val="auto"/>
                      <w:sz w:val="18"/>
                      <w:szCs w:val="18"/>
                    </w:rPr>
                  </w:pPr>
                </w:p>
              </w:tc>
              <w:tc>
                <w:tcPr>
                  <w:tcW w:w="2126" w:type="dxa"/>
                  <w:noWrap w:val="0"/>
                  <w:vAlign w:val="center"/>
                </w:tcPr>
                <w:p w14:paraId="43044FA5">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折弯机</w:t>
                  </w:r>
                </w:p>
              </w:tc>
              <w:tc>
                <w:tcPr>
                  <w:tcW w:w="1644" w:type="dxa"/>
                  <w:noWrap w:val="0"/>
                  <w:vAlign w:val="center"/>
                </w:tcPr>
                <w:p w14:paraId="10D56980">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100</w:t>
                  </w:r>
                  <w:r>
                    <w:rPr>
                      <w:rFonts w:hint="eastAsia"/>
                      <w:color w:val="auto"/>
                      <w:sz w:val="18"/>
                      <w:szCs w:val="18"/>
                      <w:lang w:val="en-US" w:eastAsia="zh-CN"/>
                    </w:rPr>
                    <w:t>T</w:t>
                  </w:r>
                </w:p>
              </w:tc>
              <w:tc>
                <w:tcPr>
                  <w:tcW w:w="1091" w:type="dxa"/>
                  <w:noWrap w:val="0"/>
                  <w:vAlign w:val="center"/>
                </w:tcPr>
                <w:p w14:paraId="47B0139C">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w:t>
                  </w:r>
                </w:p>
              </w:tc>
              <w:tc>
                <w:tcPr>
                  <w:tcW w:w="1562" w:type="dxa"/>
                  <w:noWrap w:val="0"/>
                  <w:vAlign w:val="center"/>
                </w:tcPr>
                <w:p w14:paraId="46E7A36E">
                  <w:pPr>
                    <w:jc w:val="center"/>
                    <w:rPr>
                      <w:rFonts w:ascii="Times New Roman" w:hAnsi="Times New Roman" w:cs="Times New Roman"/>
                      <w:color w:val="auto"/>
                      <w:sz w:val="18"/>
                      <w:szCs w:val="18"/>
                      <w:highlight w:val="none"/>
                    </w:rPr>
                  </w:pPr>
                  <w:r>
                    <w:rPr>
                      <w:rFonts w:hint="eastAsia" w:cs="Times New Roman"/>
                      <w:color w:val="auto"/>
                      <w:sz w:val="18"/>
                      <w:szCs w:val="18"/>
                      <w:highlight w:val="none"/>
                      <w:lang w:eastAsia="zh-CN"/>
                    </w:rPr>
                    <w:t>新增</w:t>
                  </w:r>
                </w:p>
              </w:tc>
            </w:tr>
            <w:tr w14:paraId="4E8147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3B7827A">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58D41C8C">
                  <w:pPr>
                    <w:ind w:left="-88" w:leftChars="-42" w:right="-76" w:rightChars="-36"/>
                    <w:jc w:val="center"/>
                    <w:rPr>
                      <w:rFonts w:hint="eastAsia"/>
                      <w:color w:val="auto"/>
                      <w:sz w:val="18"/>
                      <w:szCs w:val="18"/>
                      <w:lang w:eastAsia="zh-CN"/>
                    </w:rPr>
                  </w:pPr>
                </w:p>
              </w:tc>
              <w:tc>
                <w:tcPr>
                  <w:tcW w:w="2126" w:type="dxa"/>
                  <w:noWrap w:val="0"/>
                  <w:vAlign w:val="center"/>
                </w:tcPr>
                <w:p w14:paraId="15D1AFEC">
                  <w:pPr>
                    <w:ind w:left="-88" w:leftChars="-42" w:right="-76" w:rightChars="-36"/>
                    <w:jc w:val="center"/>
                    <w:rPr>
                      <w:rFonts w:hint="eastAsia" w:eastAsia="宋体"/>
                      <w:color w:val="auto"/>
                      <w:sz w:val="18"/>
                      <w:szCs w:val="18"/>
                      <w:lang w:eastAsia="zh-CN"/>
                    </w:rPr>
                  </w:pPr>
                  <w:r>
                    <w:rPr>
                      <w:rFonts w:hint="eastAsia"/>
                      <w:color w:val="auto"/>
                      <w:sz w:val="18"/>
                      <w:szCs w:val="18"/>
                      <w:lang w:eastAsia="zh-CN"/>
                    </w:rPr>
                    <w:t>水箱板裁角机</w:t>
                  </w:r>
                </w:p>
              </w:tc>
              <w:tc>
                <w:tcPr>
                  <w:tcW w:w="1644" w:type="dxa"/>
                  <w:noWrap w:val="0"/>
                  <w:vAlign w:val="center"/>
                </w:tcPr>
                <w:p w14:paraId="4827F6DC">
                  <w:pPr>
                    <w:jc w:val="center"/>
                    <w:rPr>
                      <w:rFonts w:hint="default" w:eastAsia="宋体"/>
                      <w:color w:val="auto"/>
                      <w:sz w:val="18"/>
                      <w:szCs w:val="18"/>
                      <w:lang w:val="en-US" w:eastAsia="zh-CN"/>
                    </w:rPr>
                  </w:pPr>
                  <w:r>
                    <w:rPr>
                      <w:rFonts w:hint="eastAsia"/>
                      <w:color w:val="auto"/>
                      <w:sz w:val="18"/>
                      <w:szCs w:val="18"/>
                      <w:lang w:val="en-US" w:eastAsia="zh-CN"/>
                    </w:rPr>
                    <w:t>--</w:t>
                  </w:r>
                </w:p>
              </w:tc>
              <w:tc>
                <w:tcPr>
                  <w:tcW w:w="1091" w:type="dxa"/>
                  <w:noWrap w:val="0"/>
                  <w:vAlign w:val="center"/>
                </w:tcPr>
                <w:p w14:paraId="3D4E711F">
                  <w:pPr>
                    <w:jc w:val="center"/>
                    <w:rPr>
                      <w:rFonts w:hint="eastAsia" w:eastAsia="宋体"/>
                      <w:color w:val="auto"/>
                      <w:sz w:val="18"/>
                      <w:szCs w:val="18"/>
                      <w:lang w:val="en-US" w:eastAsia="zh-CN"/>
                    </w:rPr>
                  </w:pPr>
                  <w:r>
                    <w:rPr>
                      <w:rFonts w:hint="eastAsia"/>
                      <w:color w:val="auto"/>
                      <w:sz w:val="18"/>
                      <w:szCs w:val="18"/>
                      <w:lang w:val="en-US" w:eastAsia="zh-CN"/>
                    </w:rPr>
                    <w:t>2</w:t>
                  </w:r>
                </w:p>
              </w:tc>
              <w:tc>
                <w:tcPr>
                  <w:tcW w:w="1562" w:type="dxa"/>
                  <w:noWrap w:val="0"/>
                  <w:vAlign w:val="center"/>
                </w:tcPr>
                <w:p w14:paraId="10D5843B">
                  <w:pPr>
                    <w:jc w:val="center"/>
                    <w:rPr>
                      <w:rFonts w:hint="eastAsia"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28EF30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D1696B4">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2EA94162">
                  <w:pPr>
                    <w:ind w:left="-88" w:leftChars="-42" w:right="-76" w:rightChars="-36"/>
                    <w:jc w:val="center"/>
                    <w:rPr>
                      <w:rFonts w:hint="eastAsia"/>
                      <w:color w:val="auto"/>
                      <w:sz w:val="18"/>
                      <w:szCs w:val="18"/>
                      <w:lang w:eastAsia="zh-CN"/>
                    </w:rPr>
                  </w:pPr>
                </w:p>
              </w:tc>
              <w:tc>
                <w:tcPr>
                  <w:tcW w:w="2126" w:type="dxa"/>
                  <w:noWrap w:val="0"/>
                  <w:vAlign w:val="center"/>
                </w:tcPr>
                <w:p w14:paraId="2EAE14A6">
                  <w:pPr>
                    <w:ind w:left="-88" w:leftChars="-42" w:right="-76" w:rightChars="-36"/>
                    <w:jc w:val="center"/>
                    <w:rPr>
                      <w:rFonts w:hint="eastAsia"/>
                      <w:color w:val="auto"/>
                      <w:sz w:val="18"/>
                      <w:szCs w:val="18"/>
                      <w:lang w:eastAsia="zh-CN"/>
                    </w:rPr>
                  </w:pPr>
                  <w:r>
                    <w:rPr>
                      <w:rFonts w:hint="eastAsia"/>
                      <w:color w:val="auto"/>
                      <w:sz w:val="18"/>
                      <w:szCs w:val="18"/>
                      <w:lang w:eastAsia="zh-CN"/>
                    </w:rPr>
                    <w:t>水箱板冲孔机</w:t>
                  </w:r>
                </w:p>
              </w:tc>
              <w:tc>
                <w:tcPr>
                  <w:tcW w:w="1644" w:type="dxa"/>
                  <w:noWrap w:val="0"/>
                  <w:vAlign w:val="center"/>
                </w:tcPr>
                <w:p w14:paraId="5EAC7BFC">
                  <w:pPr>
                    <w:jc w:val="center"/>
                    <w:rPr>
                      <w:rFonts w:hint="default" w:eastAsia="宋体"/>
                      <w:color w:val="auto"/>
                      <w:sz w:val="18"/>
                      <w:szCs w:val="18"/>
                      <w:lang w:val="en-US" w:eastAsia="zh-CN"/>
                    </w:rPr>
                  </w:pPr>
                  <w:r>
                    <w:rPr>
                      <w:rFonts w:hint="eastAsia"/>
                      <w:color w:val="auto"/>
                      <w:sz w:val="18"/>
                      <w:szCs w:val="18"/>
                      <w:lang w:val="en-US" w:eastAsia="zh-CN"/>
                    </w:rPr>
                    <w:t>--</w:t>
                  </w:r>
                </w:p>
              </w:tc>
              <w:tc>
                <w:tcPr>
                  <w:tcW w:w="1091" w:type="dxa"/>
                  <w:noWrap w:val="0"/>
                  <w:vAlign w:val="center"/>
                </w:tcPr>
                <w:p w14:paraId="110A4581">
                  <w:pPr>
                    <w:jc w:val="center"/>
                    <w:rPr>
                      <w:rFonts w:hint="default"/>
                      <w:color w:val="auto"/>
                      <w:sz w:val="18"/>
                      <w:szCs w:val="18"/>
                      <w:lang w:val="en-US" w:eastAsia="zh-CN"/>
                    </w:rPr>
                  </w:pPr>
                  <w:r>
                    <w:rPr>
                      <w:rFonts w:hint="eastAsia"/>
                      <w:color w:val="auto"/>
                      <w:sz w:val="18"/>
                      <w:szCs w:val="18"/>
                      <w:lang w:val="en-US" w:eastAsia="zh-CN"/>
                    </w:rPr>
                    <w:t>2</w:t>
                  </w:r>
                </w:p>
              </w:tc>
              <w:tc>
                <w:tcPr>
                  <w:tcW w:w="1562" w:type="dxa"/>
                  <w:noWrap w:val="0"/>
                  <w:vAlign w:val="center"/>
                </w:tcPr>
                <w:p w14:paraId="020261FC">
                  <w:pPr>
                    <w:jc w:val="center"/>
                    <w:rPr>
                      <w:rFonts w:hint="eastAsia"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6B97B7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68C3EF6">
                  <w:pPr>
                    <w:numPr>
                      <w:ilvl w:val="0"/>
                      <w:numId w:val="19"/>
                    </w:numPr>
                    <w:ind w:left="425" w:leftChars="0" w:hanging="425" w:firstLineChars="0"/>
                    <w:jc w:val="center"/>
                    <w:textAlignment w:val="center"/>
                    <w:rPr>
                      <w:rFonts w:hint="eastAsia" w:ascii="Times New Roman" w:eastAsia="宋体"/>
                      <w:sz w:val="18"/>
                      <w:szCs w:val="18"/>
                      <w:highlight w:val="none"/>
                      <w:lang w:val="en-US" w:eastAsia="zh-CN"/>
                    </w:rPr>
                  </w:pPr>
                </w:p>
              </w:tc>
              <w:tc>
                <w:tcPr>
                  <w:tcW w:w="1337" w:type="dxa"/>
                  <w:vMerge w:val="continue"/>
                  <w:noWrap w:val="0"/>
                  <w:vAlign w:val="center"/>
                </w:tcPr>
                <w:p w14:paraId="689BFEB3">
                  <w:pPr>
                    <w:ind w:left="-88" w:leftChars="-42" w:right="-76" w:rightChars="-36"/>
                    <w:jc w:val="center"/>
                    <w:rPr>
                      <w:rFonts w:hint="eastAsia"/>
                      <w:color w:val="auto"/>
                      <w:sz w:val="18"/>
                      <w:szCs w:val="18"/>
                    </w:rPr>
                  </w:pPr>
                </w:p>
              </w:tc>
              <w:tc>
                <w:tcPr>
                  <w:tcW w:w="2126" w:type="dxa"/>
                  <w:noWrap w:val="0"/>
                  <w:vAlign w:val="center"/>
                </w:tcPr>
                <w:p w14:paraId="761A89D4">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开式可倾压力机</w:t>
                  </w:r>
                </w:p>
              </w:tc>
              <w:tc>
                <w:tcPr>
                  <w:tcW w:w="1644" w:type="dxa"/>
                  <w:noWrap w:val="0"/>
                  <w:vAlign w:val="center"/>
                </w:tcPr>
                <w:p w14:paraId="21AF6AA7">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80</w:t>
                  </w:r>
                  <w:r>
                    <w:rPr>
                      <w:rFonts w:hint="eastAsia"/>
                      <w:color w:val="auto"/>
                      <w:sz w:val="18"/>
                      <w:szCs w:val="18"/>
                      <w:lang w:val="en-US" w:eastAsia="zh-CN"/>
                    </w:rPr>
                    <w:t>T</w:t>
                  </w:r>
                </w:p>
              </w:tc>
              <w:tc>
                <w:tcPr>
                  <w:tcW w:w="1091" w:type="dxa"/>
                  <w:noWrap w:val="0"/>
                  <w:vAlign w:val="center"/>
                </w:tcPr>
                <w:p w14:paraId="0B98FA2F">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3</w:t>
                  </w:r>
                </w:p>
              </w:tc>
              <w:tc>
                <w:tcPr>
                  <w:tcW w:w="1562" w:type="dxa"/>
                  <w:noWrap w:val="0"/>
                  <w:vAlign w:val="center"/>
                </w:tcPr>
                <w:p w14:paraId="49A5E4E6">
                  <w:pPr>
                    <w:jc w:val="center"/>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eastAsia="zh-CN"/>
                    </w:rPr>
                    <w:t>新增</w:t>
                  </w:r>
                </w:p>
              </w:tc>
            </w:tr>
            <w:tr w14:paraId="7CCE96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B007854">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38BFAE3C">
                  <w:pPr>
                    <w:ind w:left="-88" w:leftChars="-42" w:right="-76" w:rightChars="-36"/>
                    <w:jc w:val="center"/>
                    <w:rPr>
                      <w:rFonts w:hint="eastAsia"/>
                      <w:color w:val="auto"/>
                      <w:sz w:val="18"/>
                      <w:szCs w:val="18"/>
                    </w:rPr>
                  </w:pPr>
                </w:p>
              </w:tc>
              <w:tc>
                <w:tcPr>
                  <w:tcW w:w="2126" w:type="dxa"/>
                  <w:noWrap w:val="0"/>
                  <w:vAlign w:val="center"/>
                </w:tcPr>
                <w:p w14:paraId="38431C4C">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等离子切割机</w:t>
                  </w:r>
                </w:p>
              </w:tc>
              <w:tc>
                <w:tcPr>
                  <w:tcW w:w="1644" w:type="dxa"/>
                  <w:noWrap w:val="0"/>
                  <w:vAlign w:val="center"/>
                </w:tcPr>
                <w:p w14:paraId="3A8849E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LGK-60</w:t>
                  </w:r>
                </w:p>
              </w:tc>
              <w:tc>
                <w:tcPr>
                  <w:tcW w:w="1091" w:type="dxa"/>
                  <w:noWrap w:val="0"/>
                  <w:vAlign w:val="center"/>
                </w:tcPr>
                <w:p w14:paraId="4BCCA57A">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w:t>
                  </w:r>
                </w:p>
              </w:tc>
              <w:tc>
                <w:tcPr>
                  <w:tcW w:w="1562" w:type="dxa"/>
                  <w:noWrap w:val="0"/>
                  <w:vAlign w:val="center"/>
                </w:tcPr>
                <w:p w14:paraId="510DA4A0">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380E1B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5D42585">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47F15445">
                  <w:pPr>
                    <w:ind w:left="-88" w:leftChars="-42" w:right="-76" w:rightChars="-36"/>
                    <w:jc w:val="center"/>
                    <w:rPr>
                      <w:rFonts w:hint="eastAsia"/>
                      <w:color w:val="auto"/>
                      <w:sz w:val="18"/>
                      <w:szCs w:val="18"/>
                    </w:rPr>
                  </w:pPr>
                </w:p>
              </w:tc>
              <w:tc>
                <w:tcPr>
                  <w:tcW w:w="2126" w:type="dxa"/>
                  <w:noWrap w:val="0"/>
                  <w:vAlign w:val="center"/>
                </w:tcPr>
                <w:p w14:paraId="300ACFAC">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半自动切割机</w:t>
                  </w:r>
                </w:p>
              </w:tc>
              <w:tc>
                <w:tcPr>
                  <w:tcW w:w="1644" w:type="dxa"/>
                  <w:noWrap w:val="0"/>
                  <w:vAlign w:val="center"/>
                </w:tcPr>
                <w:p w14:paraId="673243BD">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3C88F2E4">
                  <w:pPr>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rPr>
                    <w:t>2</w:t>
                  </w:r>
                </w:p>
              </w:tc>
              <w:tc>
                <w:tcPr>
                  <w:tcW w:w="1562" w:type="dxa"/>
                  <w:noWrap w:val="0"/>
                  <w:vAlign w:val="center"/>
                </w:tcPr>
                <w:p w14:paraId="74C5E4C9">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5B8FE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E4B80C6">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1364662B">
                  <w:pPr>
                    <w:ind w:left="-88" w:leftChars="-42" w:right="-76" w:rightChars="-36"/>
                    <w:jc w:val="center"/>
                    <w:rPr>
                      <w:rFonts w:hint="eastAsia"/>
                      <w:color w:val="auto"/>
                      <w:sz w:val="18"/>
                      <w:szCs w:val="18"/>
                    </w:rPr>
                  </w:pPr>
                </w:p>
              </w:tc>
              <w:tc>
                <w:tcPr>
                  <w:tcW w:w="2126" w:type="dxa"/>
                  <w:noWrap w:val="0"/>
                  <w:vAlign w:val="center"/>
                </w:tcPr>
                <w:p w14:paraId="578306F0">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激光数控切割机</w:t>
                  </w:r>
                </w:p>
              </w:tc>
              <w:tc>
                <w:tcPr>
                  <w:tcW w:w="1644" w:type="dxa"/>
                  <w:noWrap w:val="0"/>
                  <w:vAlign w:val="center"/>
                </w:tcPr>
                <w:p w14:paraId="1CE63949">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3050*1530</w:t>
                  </w:r>
                </w:p>
              </w:tc>
              <w:tc>
                <w:tcPr>
                  <w:tcW w:w="1091" w:type="dxa"/>
                  <w:noWrap w:val="0"/>
                  <w:vAlign w:val="center"/>
                </w:tcPr>
                <w:p w14:paraId="64BB205E">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6D1C7AE4">
                  <w:pPr>
                    <w:jc w:val="center"/>
                    <w:textAlignment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eastAsia="zh-CN"/>
                    </w:rPr>
                    <w:t>新增</w:t>
                  </w:r>
                </w:p>
              </w:tc>
            </w:tr>
            <w:tr w14:paraId="3EE82D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47AFB6B">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141499A5">
                  <w:pPr>
                    <w:ind w:left="-88" w:leftChars="-42" w:right="-76" w:rightChars="-36"/>
                    <w:jc w:val="center"/>
                    <w:rPr>
                      <w:rFonts w:hint="eastAsia"/>
                      <w:color w:val="auto"/>
                      <w:sz w:val="18"/>
                      <w:szCs w:val="18"/>
                    </w:rPr>
                  </w:pPr>
                </w:p>
              </w:tc>
              <w:tc>
                <w:tcPr>
                  <w:tcW w:w="2126" w:type="dxa"/>
                  <w:noWrap w:val="0"/>
                  <w:vAlign w:val="center"/>
                </w:tcPr>
                <w:p w14:paraId="6CB4DD9A">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自动刨边机</w:t>
                  </w:r>
                </w:p>
              </w:tc>
              <w:tc>
                <w:tcPr>
                  <w:tcW w:w="1644" w:type="dxa"/>
                  <w:noWrap w:val="0"/>
                  <w:vAlign w:val="center"/>
                </w:tcPr>
                <w:p w14:paraId="30FD852D">
                  <w:pPr>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rPr>
                    <w:t>BBJ－12</w:t>
                  </w:r>
                </w:p>
              </w:tc>
              <w:tc>
                <w:tcPr>
                  <w:tcW w:w="1091" w:type="dxa"/>
                  <w:noWrap w:val="0"/>
                  <w:vAlign w:val="center"/>
                </w:tcPr>
                <w:p w14:paraId="3513F482">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2B74A13C">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483B03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DBA0F99">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611353DA">
                  <w:pPr>
                    <w:ind w:left="-88" w:leftChars="-42" w:right="-76" w:rightChars="-36"/>
                    <w:jc w:val="center"/>
                    <w:rPr>
                      <w:rFonts w:hint="eastAsia"/>
                      <w:color w:val="auto"/>
                      <w:sz w:val="18"/>
                      <w:szCs w:val="18"/>
                    </w:rPr>
                  </w:pPr>
                </w:p>
              </w:tc>
              <w:tc>
                <w:tcPr>
                  <w:tcW w:w="2126" w:type="dxa"/>
                  <w:noWrap w:val="0"/>
                  <w:vAlign w:val="center"/>
                </w:tcPr>
                <w:p w14:paraId="70458654">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封头齐边机</w:t>
                  </w:r>
                </w:p>
              </w:tc>
              <w:tc>
                <w:tcPr>
                  <w:tcW w:w="1644" w:type="dxa"/>
                  <w:noWrap w:val="0"/>
                  <w:vAlign w:val="center"/>
                </w:tcPr>
                <w:p w14:paraId="6049EC8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FQ-2400</w:t>
                  </w:r>
                </w:p>
              </w:tc>
              <w:tc>
                <w:tcPr>
                  <w:tcW w:w="1091" w:type="dxa"/>
                  <w:noWrap w:val="0"/>
                  <w:vAlign w:val="center"/>
                </w:tcPr>
                <w:p w14:paraId="5C1C64E3">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w:t>
                  </w:r>
                </w:p>
              </w:tc>
              <w:tc>
                <w:tcPr>
                  <w:tcW w:w="1562" w:type="dxa"/>
                  <w:noWrap w:val="0"/>
                  <w:vAlign w:val="center"/>
                </w:tcPr>
                <w:p w14:paraId="75ADA513">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7765D6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6607DD2">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77503A05">
                  <w:pPr>
                    <w:ind w:left="-88" w:leftChars="-42" w:right="-76" w:rightChars="-36"/>
                    <w:jc w:val="center"/>
                    <w:rPr>
                      <w:rFonts w:hint="eastAsia"/>
                      <w:color w:val="auto"/>
                      <w:sz w:val="18"/>
                      <w:szCs w:val="18"/>
                    </w:rPr>
                  </w:pPr>
                </w:p>
              </w:tc>
              <w:tc>
                <w:tcPr>
                  <w:tcW w:w="2126" w:type="dxa"/>
                  <w:noWrap w:val="0"/>
                  <w:vAlign w:val="center"/>
                </w:tcPr>
                <w:p w14:paraId="32B98EDF">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半自动火焰切割机</w:t>
                  </w:r>
                </w:p>
              </w:tc>
              <w:tc>
                <w:tcPr>
                  <w:tcW w:w="1644" w:type="dxa"/>
                  <w:noWrap w:val="0"/>
                  <w:vAlign w:val="center"/>
                </w:tcPr>
                <w:p w14:paraId="27A9C39A">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CG</w:t>
                  </w:r>
                  <w:r>
                    <w:rPr>
                      <w:rFonts w:hint="eastAsia"/>
                      <w:color w:val="auto"/>
                      <w:sz w:val="18"/>
                      <w:szCs w:val="18"/>
                      <w:vertAlign w:val="subscript"/>
                    </w:rPr>
                    <w:t>1</w:t>
                  </w:r>
                  <w:r>
                    <w:rPr>
                      <w:rFonts w:hint="eastAsia"/>
                      <w:color w:val="auto"/>
                      <w:sz w:val="18"/>
                      <w:szCs w:val="18"/>
                    </w:rPr>
                    <w:t>-30</w:t>
                  </w:r>
                </w:p>
              </w:tc>
              <w:tc>
                <w:tcPr>
                  <w:tcW w:w="1091" w:type="dxa"/>
                  <w:noWrap w:val="0"/>
                  <w:vAlign w:val="center"/>
                </w:tcPr>
                <w:p w14:paraId="47A1279C">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w:t>
                  </w:r>
                </w:p>
              </w:tc>
              <w:tc>
                <w:tcPr>
                  <w:tcW w:w="1562" w:type="dxa"/>
                  <w:noWrap w:val="0"/>
                  <w:vAlign w:val="center"/>
                </w:tcPr>
                <w:p w14:paraId="4636B8B5">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399C1D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F53C385">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1E5902E6">
                  <w:pPr>
                    <w:ind w:left="-88" w:leftChars="-42" w:right="-76" w:rightChars="-36"/>
                    <w:jc w:val="center"/>
                    <w:rPr>
                      <w:rFonts w:hint="eastAsia"/>
                      <w:color w:val="auto"/>
                      <w:sz w:val="18"/>
                      <w:szCs w:val="18"/>
                    </w:rPr>
                  </w:pPr>
                </w:p>
              </w:tc>
              <w:tc>
                <w:tcPr>
                  <w:tcW w:w="2126" w:type="dxa"/>
                  <w:noWrap w:val="0"/>
                  <w:vAlign w:val="center"/>
                </w:tcPr>
                <w:p w14:paraId="07292227">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金属带锯床</w:t>
                  </w:r>
                </w:p>
              </w:tc>
              <w:tc>
                <w:tcPr>
                  <w:tcW w:w="1644" w:type="dxa"/>
                  <w:noWrap w:val="0"/>
                  <w:vAlign w:val="center"/>
                </w:tcPr>
                <w:p w14:paraId="7A0623CF">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GZ4230</w:t>
                  </w:r>
                </w:p>
              </w:tc>
              <w:tc>
                <w:tcPr>
                  <w:tcW w:w="1091" w:type="dxa"/>
                  <w:noWrap w:val="0"/>
                  <w:vAlign w:val="center"/>
                </w:tcPr>
                <w:p w14:paraId="473F6EF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w:t>
                  </w:r>
                </w:p>
              </w:tc>
              <w:tc>
                <w:tcPr>
                  <w:tcW w:w="1562" w:type="dxa"/>
                  <w:noWrap w:val="0"/>
                  <w:vAlign w:val="center"/>
                </w:tcPr>
                <w:p w14:paraId="3A0D405D">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051E78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A23F0BA">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07D2A0A3">
                  <w:pPr>
                    <w:ind w:left="-88" w:leftChars="-42" w:right="-76" w:rightChars="-36"/>
                    <w:jc w:val="center"/>
                    <w:rPr>
                      <w:rFonts w:hint="eastAsia"/>
                      <w:color w:val="auto"/>
                      <w:sz w:val="18"/>
                      <w:szCs w:val="18"/>
                    </w:rPr>
                  </w:pPr>
                </w:p>
              </w:tc>
              <w:tc>
                <w:tcPr>
                  <w:tcW w:w="2126" w:type="dxa"/>
                  <w:noWrap w:val="0"/>
                  <w:vAlign w:val="center"/>
                </w:tcPr>
                <w:p w14:paraId="42FD6C2F">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轻型滚轮架</w:t>
                  </w:r>
                </w:p>
              </w:tc>
              <w:tc>
                <w:tcPr>
                  <w:tcW w:w="1644" w:type="dxa"/>
                  <w:noWrap w:val="0"/>
                  <w:vAlign w:val="center"/>
                </w:tcPr>
                <w:p w14:paraId="70E88FC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2T-5</w:t>
                  </w:r>
                </w:p>
              </w:tc>
              <w:tc>
                <w:tcPr>
                  <w:tcW w:w="1091" w:type="dxa"/>
                  <w:noWrap w:val="0"/>
                  <w:vAlign w:val="center"/>
                </w:tcPr>
                <w:p w14:paraId="2F504569">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8</w:t>
                  </w:r>
                </w:p>
              </w:tc>
              <w:tc>
                <w:tcPr>
                  <w:tcW w:w="1562" w:type="dxa"/>
                  <w:noWrap w:val="0"/>
                  <w:vAlign w:val="center"/>
                </w:tcPr>
                <w:p w14:paraId="67573BCA">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4F3345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EEB8241">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603726D4">
                  <w:pPr>
                    <w:ind w:left="-88" w:leftChars="-42" w:right="-76" w:rightChars="-36"/>
                    <w:jc w:val="center"/>
                    <w:rPr>
                      <w:rFonts w:hint="eastAsia"/>
                      <w:color w:val="auto"/>
                      <w:sz w:val="18"/>
                      <w:szCs w:val="18"/>
                    </w:rPr>
                  </w:pPr>
                </w:p>
              </w:tc>
              <w:tc>
                <w:tcPr>
                  <w:tcW w:w="2126" w:type="dxa"/>
                  <w:noWrap w:val="0"/>
                  <w:vAlign w:val="center"/>
                </w:tcPr>
                <w:p w14:paraId="570665B3">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轻型滚轮架</w:t>
                  </w:r>
                </w:p>
              </w:tc>
              <w:tc>
                <w:tcPr>
                  <w:tcW w:w="1644" w:type="dxa"/>
                  <w:noWrap w:val="0"/>
                  <w:vAlign w:val="center"/>
                </w:tcPr>
                <w:p w14:paraId="3D4E7C30">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NHTR-1000</w:t>
                  </w:r>
                </w:p>
              </w:tc>
              <w:tc>
                <w:tcPr>
                  <w:tcW w:w="1091" w:type="dxa"/>
                  <w:noWrap w:val="0"/>
                  <w:vAlign w:val="center"/>
                </w:tcPr>
                <w:p w14:paraId="4A4C3FE4">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8</w:t>
                  </w:r>
                </w:p>
              </w:tc>
              <w:tc>
                <w:tcPr>
                  <w:tcW w:w="1562" w:type="dxa"/>
                  <w:noWrap w:val="0"/>
                  <w:vAlign w:val="center"/>
                </w:tcPr>
                <w:p w14:paraId="5A9245DA">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54A038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E10C536">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1B4FF8E7">
                  <w:pPr>
                    <w:ind w:left="-88" w:leftChars="-42" w:right="-76" w:rightChars="-36"/>
                    <w:jc w:val="center"/>
                    <w:rPr>
                      <w:rFonts w:hint="eastAsia"/>
                      <w:color w:val="auto"/>
                      <w:sz w:val="18"/>
                      <w:szCs w:val="18"/>
                    </w:rPr>
                  </w:pPr>
                </w:p>
              </w:tc>
              <w:tc>
                <w:tcPr>
                  <w:tcW w:w="2126" w:type="dxa"/>
                  <w:noWrap w:val="0"/>
                  <w:vAlign w:val="center"/>
                </w:tcPr>
                <w:p w14:paraId="576A3851">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埋弧焊机</w:t>
                  </w:r>
                </w:p>
              </w:tc>
              <w:tc>
                <w:tcPr>
                  <w:tcW w:w="1644" w:type="dxa"/>
                  <w:noWrap w:val="0"/>
                  <w:vAlign w:val="center"/>
                </w:tcPr>
                <w:p w14:paraId="2868F287">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MZ-1000</w:t>
                  </w:r>
                </w:p>
              </w:tc>
              <w:tc>
                <w:tcPr>
                  <w:tcW w:w="1091" w:type="dxa"/>
                  <w:noWrap w:val="0"/>
                  <w:vAlign w:val="center"/>
                </w:tcPr>
                <w:p w14:paraId="7BAFA42C">
                  <w:pPr>
                    <w:jc w:val="center"/>
                    <w:rPr>
                      <w:rFonts w:hint="eastAsia" w:ascii="Times New Roman" w:hAnsi="Times New Roman" w:eastAsia="宋体" w:cs="Times New Roman"/>
                      <w:color w:val="auto"/>
                      <w:kern w:val="2"/>
                      <w:sz w:val="18"/>
                      <w:szCs w:val="18"/>
                      <w:lang w:val="en-US" w:eastAsia="zh-CN" w:bidi="ar-SA"/>
                    </w:rPr>
                  </w:pPr>
                  <w:r>
                    <w:rPr>
                      <w:color w:val="auto"/>
                      <w:sz w:val="18"/>
                      <w:szCs w:val="18"/>
                    </w:rPr>
                    <w:t>10</w:t>
                  </w:r>
                </w:p>
              </w:tc>
              <w:tc>
                <w:tcPr>
                  <w:tcW w:w="1562" w:type="dxa"/>
                  <w:noWrap w:val="0"/>
                  <w:vAlign w:val="center"/>
                </w:tcPr>
                <w:p w14:paraId="6C9F8C7E">
                  <w:pPr>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4B0D30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8E4D4F2">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7707BEDB">
                  <w:pPr>
                    <w:ind w:left="-88" w:leftChars="-42" w:right="-76" w:rightChars="-36"/>
                    <w:jc w:val="center"/>
                    <w:rPr>
                      <w:rFonts w:hint="eastAsia"/>
                      <w:color w:val="auto"/>
                      <w:sz w:val="18"/>
                      <w:szCs w:val="18"/>
                    </w:rPr>
                  </w:pPr>
                </w:p>
              </w:tc>
              <w:tc>
                <w:tcPr>
                  <w:tcW w:w="2126" w:type="dxa"/>
                  <w:noWrap w:val="0"/>
                  <w:vAlign w:val="center"/>
                </w:tcPr>
                <w:p w14:paraId="4AB5D9D7">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焊机</w:t>
                  </w:r>
                </w:p>
              </w:tc>
              <w:tc>
                <w:tcPr>
                  <w:tcW w:w="1644" w:type="dxa"/>
                  <w:noWrap w:val="0"/>
                  <w:vAlign w:val="center"/>
                </w:tcPr>
                <w:p w14:paraId="6FAA6B82">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ZXS-500</w:t>
                  </w:r>
                </w:p>
              </w:tc>
              <w:tc>
                <w:tcPr>
                  <w:tcW w:w="1091" w:type="dxa"/>
                  <w:noWrap w:val="0"/>
                  <w:vAlign w:val="center"/>
                </w:tcPr>
                <w:p w14:paraId="3EDA1FAF">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10</w:t>
                  </w:r>
                </w:p>
              </w:tc>
              <w:tc>
                <w:tcPr>
                  <w:tcW w:w="1562" w:type="dxa"/>
                  <w:noWrap w:val="0"/>
                  <w:vAlign w:val="center"/>
                </w:tcPr>
                <w:p w14:paraId="236AE2AC">
                  <w:pPr>
                    <w:jc w:val="center"/>
                    <w:rPr>
                      <w:rFonts w:ascii="Times New Roman" w:hAnsi="Times New Roman" w:cs="Times New Roman"/>
                      <w:color w:val="auto"/>
                      <w:sz w:val="18"/>
                      <w:szCs w:val="18"/>
                      <w:highlight w:val="none"/>
                    </w:rPr>
                  </w:pPr>
                  <w:r>
                    <w:rPr>
                      <w:rFonts w:hint="eastAsia" w:cs="Times New Roman"/>
                      <w:color w:val="auto"/>
                      <w:sz w:val="18"/>
                      <w:szCs w:val="18"/>
                      <w:highlight w:val="none"/>
                      <w:lang w:eastAsia="zh-CN"/>
                    </w:rPr>
                    <w:t>新增</w:t>
                  </w:r>
                </w:p>
              </w:tc>
            </w:tr>
            <w:tr w14:paraId="63EACD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6C1D236">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79BEC441">
                  <w:pPr>
                    <w:ind w:left="-88" w:leftChars="-42" w:right="-76" w:rightChars="-36"/>
                    <w:jc w:val="center"/>
                    <w:rPr>
                      <w:rFonts w:hint="eastAsia"/>
                      <w:color w:val="auto"/>
                      <w:sz w:val="18"/>
                      <w:szCs w:val="18"/>
                    </w:rPr>
                  </w:pPr>
                </w:p>
              </w:tc>
              <w:tc>
                <w:tcPr>
                  <w:tcW w:w="2126" w:type="dxa"/>
                  <w:noWrap w:val="0"/>
                  <w:vAlign w:val="center"/>
                </w:tcPr>
                <w:p w14:paraId="3806C3A6">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焊机</w:t>
                  </w:r>
                </w:p>
              </w:tc>
              <w:tc>
                <w:tcPr>
                  <w:tcW w:w="1644" w:type="dxa"/>
                  <w:noWrap w:val="0"/>
                  <w:vAlign w:val="center"/>
                </w:tcPr>
                <w:p w14:paraId="601792AB">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ZXS-500</w:t>
                  </w:r>
                </w:p>
              </w:tc>
              <w:tc>
                <w:tcPr>
                  <w:tcW w:w="1091" w:type="dxa"/>
                  <w:noWrap w:val="0"/>
                  <w:vAlign w:val="center"/>
                </w:tcPr>
                <w:p w14:paraId="03582F14">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10</w:t>
                  </w:r>
                </w:p>
              </w:tc>
              <w:tc>
                <w:tcPr>
                  <w:tcW w:w="1562" w:type="dxa"/>
                  <w:noWrap w:val="0"/>
                  <w:vAlign w:val="center"/>
                </w:tcPr>
                <w:p w14:paraId="78E7D172">
                  <w:pPr>
                    <w:jc w:val="center"/>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3E0B3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45D575C">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35E03083">
                  <w:pPr>
                    <w:ind w:left="-88" w:leftChars="-42" w:right="-76" w:rightChars="-36"/>
                    <w:jc w:val="center"/>
                    <w:rPr>
                      <w:rFonts w:hint="eastAsia"/>
                      <w:color w:val="auto"/>
                      <w:sz w:val="18"/>
                      <w:szCs w:val="18"/>
                    </w:rPr>
                  </w:pPr>
                </w:p>
              </w:tc>
              <w:tc>
                <w:tcPr>
                  <w:tcW w:w="2126" w:type="dxa"/>
                  <w:noWrap w:val="0"/>
                  <w:vAlign w:val="center"/>
                </w:tcPr>
                <w:p w14:paraId="29196C55">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CO</w:t>
                  </w:r>
                  <w:r>
                    <w:rPr>
                      <w:rFonts w:hint="eastAsia"/>
                      <w:color w:val="auto"/>
                      <w:sz w:val="18"/>
                      <w:szCs w:val="18"/>
                      <w:vertAlign w:val="subscript"/>
                    </w:rPr>
                    <w:t>2</w:t>
                  </w:r>
                  <w:r>
                    <w:rPr>
                      <w:rFonts w:hint="eastAsia"/>
                      <w:color w:val="auto"/>
                      <w:sz w:val="18"/>
                      <w:szCs w:val="18"/>
                    </w:rPr>
                    <w:t>气体保护弧焊机</w:t>
                  </w:r>
                </w:p>
              </w:tc>
              <w:tc>
                <w:tcPr>
                  <w:tcW w:w="1644" w:type="dxa"/>
                  <w:noWrap w:val="0"/>
                  <w:vAlign w:val="center"/>
                </w:tcPr>
                <w:p w14:paraId="377CE0CA">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NBC-350F</w:t>
                  </w:r>
                </w:p>
              </w:tc>
              <w:tc>
                <w:tcPr>
                  <w:tcW w:w="1091" w:type="dxa"/>
                  <w:noWrap w:val="0"/>
                  <w:vAlign w:val="center"/>
                </w:tcPr>
                <w:p w14:paraId="7CCCA098">
                  <w:pPr>
                    <w:jc w:val="center"/>
                    <w:rPr>
                      <w:rFonts w:ascii="Times New Roman" w:hAnsi="Times New Roman" w:eastAsia="宋体" w:cs="Times New Roman"/>
                      <w:color w:val="auto"/>
                      <w:kern w:val="2"/>
                      <w:sz w:val="18"/>
                      <w:szCs w:val="18"/>
                      <w:lang w:val="en-US" w:eastAsia="zh-CN" w:bidi="ar-SA"/>
                    </w:rPr>
                  </w:pPr>
                  <w:r>
                    <w:rPr>
                      <w:color w:val="auto"/>
                      <w:sz w:val="18"/>
                      <w:szCs w:val="18"/>
                    </w:rPr>
                    <w:t>20</w:t>
                  </w:r>
                </w:p>
              </w:tc>
              <w:tc>
                <w:tcPr>
                  <w:tcW w:w="1562" w:type="dxa"/>
                  <w:noWrap w:val="0"/>
                  <w:vAlign w:val="center"/>
                </w:tcPr>
                <w:p w14:paraId="12D5068F">
                  <w:pPr>
                    <w:jc w:val="center"/>
                    <w:rPr>
                      <w:rFonts w:ascii="Times New Roman" w:hAnsi="Times New Roman" w:cs="Times New Roman"/>
                      <w:sz w:val="18"/>
                      <w:szCs w:val="18"/>
                      <w:highlight w:val="none"/>
                    </w:rPr>
                  </w:pPr>
                  <w:r>
                    <w:rPr>
                      <w:rFonts w:hint="eastAsia" w:cs="Times New Roman"/>
                      <w:sz w:val="18"/>
                      <w:szCs w:val="18"/>
                      <w:highlight w:val="none"/>
                      <w:lang w:eastAsia="zh-CN"/>
                    </w:rPr>
                    <w:t>新增</w:t>
                  </w:r>
                </w:p>
              </w:tc>
            </w:tr>
            <w:tr w14:paraId="1E254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AE31121">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2BBFC962">
                  <w:pPr>
                    <w:ind w:left="-88" w:leftChars="-42" w:right="-76" w:rightChars="-36"/>
                    <w:jc w:val="center"/>
                    <w:rPr>
                      <w:rFonts w:hint="eastAsia"/>
                      <w:color w:val="auto"/>
                      <w:sz w:val="18"/>
                      <w:szCs w:val="18"/>
                    </w:rPr>
                  </w:pPr>
                </w:p>
              </w:tc>
              <w:tc>
                <w:tcPr>
                  <w:tcW w:w="2126" w:type="dxa"/>
                  <w:noWrap w:val="0"/>
                  <w:vAlign w:val="center"/>
                </w:tcPr>
                <w:p w14:paraId="7A35DE3E">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激光焊接机</w:t>
                  </w:r>
                </w:p>
              </w:tc>
              <w:tc>
                <w:tcPr>
                  <w:tcW w:w="1644" w:type="dxa"/>
                  <w:noWrap w:val="0"/>
                  <w:vAlign w:val="center"/>
                </w:tcPr>
                <w:p w14:paraId="65F38DE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5026DBDD">
                  <w:pPr>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rPr>
                    <w:t>8</w:t>
                  </w:r>
                </w:p>
              </w:tc>
              <w:tc>
                <w:tcPr>
                  <w:tcW w:w="1562" w:type="dxa"/>
                  <w:noWrap w:val="0"/>
                  <w:vAlign w:val="center"/>
                </w:tcPr>
                <w:p w14:paraId="289D7519">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eastAsia="zh-CN"/>
                    </w:rPr>
                    <w:t>新增</w:t>
                  </w:r>
                </w:p>
              </w:tc>
            </w:tr>
            <w:tr w14:paraId="7C242E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42A64DC">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4C3E256B">
                  <w:pPr>
                    <w:ind w:left="-88" w:leftChars="-42" w:right="-76" w:rightChars="-36"/>
                    <w:jc w:val="center"/>
                    <w:rPr>
                      <w:rFonts w:hint="eastAsia"/>
                      <w:color w:val="auto"/>
                      <w:sz w:val="18"/>
                      <w:szCs w:val="18"/>
                    </w:rPr>
                  </w:pPr>
                </w:p>
              </w:tc>
              <w:tc>
                <w:tcPr>
                  <w:tcW w:w="2126" w:type="dxa"/>
                  <w:noWrap w:val="0"/>
                  <w:vAlign w:val="center"/>
                </w:tcPr>
                <w:p w14:paraId="324B7F88">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烘干机</w:t>
                  </w:r>
                </w:p>
              </w:tc>
              <w:tc>
                <w:tcPr>
                  <w:tcW w:w="1644" w:type="dxa"/>
                  <w:noWrap w:val="0"/>
                  <w:vAlign w:val="center"/>
                </w:tcPr>
                <w:p w14:paraId="61A3EECB">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ZYHC-30</w:t>
                  </w:r>
                </w:p>
              </w:tc>
              <w:tc>
                <w:tcPr>
                  <w:tcW w:w="1091" w:type="dxa"/>
                  <w:noWrap w:val="0"/>
                  <w:vAlign w:val="center"/>
                </w:tcPr>
                <w:p w14:paraId="5E0FBF87">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w:t>
                  </w:r>
                </w:p>
              </w:tc>
              <w:tc>
                <w:tcPr>
                  <w:tcW w:w="1562" w:type="dxa"/>
                  <w:noWrap w:val="0"/>
                  <w:vAlign w:val="center"/>
                </w:tcPr>
                <w:p w14:paraId="6F690354">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eastAsia="zh-CN"/>
                    </w:rPr>
                    <w:t>新增，</w:t>
                  </w:r>
                  <w:r>
                    <w:rPr>
                      <w:rFonts w:hint="eastAsia" w:cs="Times New Roman"/>
                      <w:sz w:val="18"/>
                      <w:szCs w:val="18"/>
                      <w:highlight w:val="none"/>
                      <w:lang w:val="en-US" w:eastAsia="zh-CN"/>
                    </w:rPr>
                    <w:t>电</w:t>
                  </w:r>
                </w:p>
              </w:tc>
            </w:tr>
            <w:tr w14:paraId="41EB0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1EC9FF0">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50593F69">
                  <w:pPr>
                    <w:ind w:left="-88" w:leftChars="-42" w:right="-76" w:rightChars="-36"/>
                    <w:jc w:val="center"/>
                    <w:rPr>
                      <w:rFonts w:hint="eastAsia"/>
                      <w:color w:val="auto"/>
                      <w:sz w:val="18"/>
                      <w:szCs w:val="18"/>
                    </w:rPr>
                  </w:pPr>
                </w:p>
              </w:tc>
              <w:tc>
                <w:tcPr>
                  <w:tcW w:w="2126" w:type="dxa"/>
                  <w:noWrap w:val="0"/>
                  <w:vAlign w:val="center"/>
                </w:tcPr>
                <w:p w14:paraId="2EDC4304">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氩弧焊机</w:t>
                  </w:r>
                </w:p>
              </w:tc>
              <w:tc>
                <w:tcPr>
                  <w:tcW w:w="1644" w:type="dxa"/>
                  <w:noWrap w:val="0"/>
                  <w:vAlign w:val="center"/>
                </w:tcPr>
                <w:p w14:paraId="2A70AB89">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WS250S</w:t>
                  </w:r>
                </w:p>
              </w:tc>
              <w:tc>
                <w:tcPr>
                  <w:tcW w:w="1091" w:type="dxa"/>
                  <w:noWrap w:val="0"/>
                  <w:vAlign w:val="center"/>
                </w:tcPr>
                <w:p w14:paraId="07DFB8E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20</w:t>
                  </w:r>
                </w:p>
              </w:tc>
              <w:tc>
                <w:tcPr>
                  <w:tcW w:w="1562" w:type="dxa"/>
                  <w:noWrap w:val="0"/>
                  <w:vAlign w:val="center"/>
                </w:tcPr>
                <w:p w14:paraId="30D94D76">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eastAsia="zh-CN"/>
                    </w:rPr>
                    <w:t>新增</w:t>
                  </w:r>
                </w:p>
              </w:tc>
            </w:tr>
            <w:tr w14:paraId="295C3A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619ADE7">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6A0ADCF9">
                  <w:pPr>
                    <w:ind w:left="-88" w:leftChars="-42" w:right="-76" w:rightChars="-36"/>
                    <w:jc w:val="center"/>
                    <w:rPr>
                      <w:rFonts w:hint="eastAsia"/>
                      <w:color w:val="auto"/>
                      <w:sz w:val="18"/>
                      <w:szCs w:val="18"/>
                    </w:rPr>
                  </w:pPr>
                </w:p>
              </w:tc>
              <w:tc>
                <w:tcPr>
                  <w:tcW w:w="2126" w:type="dxa"/>
                  <w:noWrap w:val="0"/>
                  <w:vAlign w:val="center"/>
                </w:tcPr>
                <w:p w14:paraId="7FB1C526">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不锈钢自动焊机</w:t>
                  </w:r>
                </w:p>
              </w:tc>
              <w:tc>
                <w:tcPr>
                  <w:tcW w:w="1644" w:type="dxa"/>
                  <w:noWrap w:val="0"/>
                  <w:vAlign w:val="center"/>
                </w:tcPr>
                <w:p w14:paraId="270422A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Pvtse：MIG-350</w:t>
                  </w:r>
                </w:p>
              </w:tc>
              <w:tc>
                <w:tcPr>
                  <w:tcW w:w="1091" w:type="dxa"/>
                  <w:noWrap w:val="0"/>
                  <w:vAlign w:val="center"/>
                </w:tcPr>
                <w:p w14:paraId="4C16B333">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8</w:t>
                  </w:r>
                </w:p>
              </w:tc>
              <w:tc>
                <w:tcPr>
                  <w:tcW w:w="1562" w:type="dxa"/>
                  <w:noWrap w:val="0"/>
                  <w:vAlign w:val="center"/>
                </w:tcPr>
                <w:p w14:paraId="38CF0F2E">
                  <w:pPr>
                    <w:jc w:val="center"/>
                    <w:rPr>
                      <w:rFonts w:hint="default" w:ascii="Times New Roman" w:hAnsi="Times New Roman" w:eastAsia="宋体" w:cs="Times New Roman"/>
                      <w:sz w:val="18"/>
                      <w:szCs w:val="18"/>
                      <w:highlight w:val="none"/>
                      <w:lang w:val="en-US" w:eastAsia="zh-CN"/>
                    </w:rPr>
                  </w:pPr>
                  <w:r>
                    <w:rPr>
                      <w:rFonts w:hint="eastAsia" w:cs="Times New Roman"/>
                      <w:sz w:val="18"/>
                      <w:szCs w:val="18"/>
                      <w:highlight w:val="none"/>
                      <w:lang w:eastAsia="zh-CN"/>
                    </w:rPr>
                    <w:t>新增</w:t>
                  </w:r>
                </w:p>
              </w:tc>
            </w:tr>
            <w:tr w14:paraId="6ABA1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B21A973">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2BB4A761">
                  <w:pPr>
                    <w:ind w:left="-88" w:leftChars="-42" w:right="-76" w:rightChars="-36"/>
                    <w:jc w:val="center"/>
                    <w:rPr>
                      <w:rFonts w:hint="eastAsia"/>
                      <w:color w:val="auto"/>
                      <w:sz w:val="18"/>
                      <w:szCs w:val="18"/>
                    </w:rPr>
                  </w:pPr>
                </w:p>
              </w:tc>
              <w:tc>
                <w:tcPr>
                  <w:tcW w:w="2126" w:type="dxa"/>
                  <w:noWrap w:val="0"/>
                  <w:vAlign w:val="center"/>
                </w:tcPr>
                <w:p w14:paraId="0A2A35B6">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焊接操作机</w:t>
                  </w:r>
                </w:p>
              </w:tc>
              <w:tc>
                <w:tcPr>
                  <w:tcW w:w="1644" w:type="dxa"/>
                  <w:noWrap w:val="0"/>
                  <w:vAlign w:val="center"/>
                </w:tcPr>
                <w:p w14:paraId="302E924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CZ-3×3</w:t>
                  </w:r>
                </w:p>
              </w:tc>
              <w:tc>
                <w:tcPr>
                  <w:tcW w:w="1091" w:type="dxa"/>
                  <w:noWrap w:val="0"/>
                  <w:vAlign w:val="center"/>
                </w:tcPr>
                <w:p w14:paraId="6DAB2AB4">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10</w:t>
                  </w:r>
                </w:p>
              </w:tc>
              <w:tc>
                <w:tcPr>
                  <w:tcW w:w="1562" w:type="dxa"/>
                  <w:noWrap w:val="0"/>
                  <w:vAlign w:val="center"/>
                </w:tcPr>
                <w:p w14:paraId="7B68FFD0">
                  <w:pPr>
                    <w:jc w:val="center"/>
                    <w:rPr>
                      <w:rFonts w:hint="eastAsia" w:eastAsia="宋体"/>
                      <w:sz w:val="18"/>
                      <w:szCs w:val="18"/>
                      <w:highlight w:val="none"/>
                      <w:lang w:eastAsia="zh-CN"/>
                    </w:rPr>
                  </w:pPr>
                  <w:r>
                    <w:rPr>
                      <w:rFonts w:hint="eastAsia" w:cs="Times New Roman"/>
                      <w:sz w:val="18"/>
                      <w:szCs w:val="18"/>
                      <w:highlight w:val="none"/>
                      <w:lang w:eastAsia="zh-CN"/>
                    </w:rPr>
                    <w:t>新增</w:t>
                  </w:r>
                </w:p>
              </w:tc>
            </w:tr>
            <w:tr w14:paraId="428407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43BF608">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40D4C8CD">
                  <w:pPr>
                    <w:ind w:left="-88" w:leftChars="-42" w:right="-76" w:rightChars="-36"/>
                    <w:jc w:val="center"/>
                    <w:rPr>
                      <w:rFonts w:hint="eastAsia"/>
                      <w:color w:val="auto"/>
                      <w:sz w:val="18"/>
                      <w:szCs w:val="18"/>
                    </w:rPr>
                  </w:pPr>
                </w:p>
              </w:tc>
              <w:tc>
                <w:tcPr>
                  <w:tcW w:w="2126" w:type="dxa"/>
                  <w:noWrap w:val="0"/>
                  <w:vAlign w:val="center"/>
                </w:tcPr>
                <w:p w14:paraId="294DE598">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机械手</w:t>
                  </w:r>
                </w:p>
              </w:tc>
              <w:tc>
                <w:tcPr>
                  <w:tcW w:w="1644" w:type="dxa"/>
                  <w:noWrap w:val="0"/>
                  <w:vAlign w:val="center"/>
                </w:tcPr>
                <w:p w14:paraId="34AB6236">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1BC51644">
                  <w:pPr>
                    <w:jc w:val="center"/>
                    <w:rPr>
                      <w:rFonts w:ascii="Times New Roman" w:hAnsi="Times New Roman" w:eastAsia="宋体" w:cs="Times New Roman"/>
                      <w:color w:val="auto"/>
                      <w:kern w:val="2"/>
                      <w:sz w:val="18"/>
                      <w:szCs w:val="18"/>
                      <w:lang w:val="en-US" w:eastAsia="zh-CN" w:bidi="ar-SA"/>
                    </w:rPr>
                  </w:pPr>
                  <w:r>
                    <w:rPr>
                      <w:rFonts w:hint="eastAsia"/>
                      <w:color w:val="auto"/>
                      <w:sz w:val="18"/>
                      <w:szCs w:val="18"/>
                    </w:rPr>
                    <w:t>30</w:t>
                  </w:r>
                </w:p>
              </w:tc>
              <w:tc>
                <w:tcPr>
                  <w:tcW w:w="1562" w:type="dxa"/>
                  <w:noWrap w:val="0"/>
                  <w:vAlign w:val="center"/>
                </w:tcPr>
                <w:p w14:paraId="117444B8">
                  <w:pPr>
                    <w:jc w:val="center"/>
                    <w:rPr>
                      <w:sz w:val="18"/>
                      <w:szCs w:val="18"/>
                      <w:highlight w:val="none"/>
                    </w:rPr>
                  </w:pPr>
                  <w:r>
                    <w:rPr>
                      <w:rFonts w:hint="eastAsia" w:cs="Times New Roman"/>
                      <w:sz w:val="18"/>
                      <w:szCs w:val="18"/>
                      <w:highlight w:val="none"/>
                      <w:lang w:eastAsia="zh-CN"/>
                    </w:rPr>
                    <w:t>新增</w:t>
                  </w:r>
                </w:p>
              </w:tc>
            </w:tr>
            <w:tr w14:paraId="2ED27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A02CC80">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6A64B06B">
                  <w:pPr>
                    <w:ind w:left="-88" w:leftChars="-42" w:right="-76" w:rightChars="-36"/>
                    <w:jc w:val="center"/>
                    <w:rPr>
                      <w:rFonts w:hint="eastAsia"/>
                      <w:color w:val="auto"/>
                      <w:sz w:val="18"/>
                      <w:szCs w:val="18"/>
                    </w:rPr>
                  </w:pPr>
                </w:p>
              </w:tc>
              <w:tc>
                <w:tcPr>
                  <w:tcW w:w="2126" w:type="dxa"/>
                  <w:noWrap w:val="0"/>
                  <w:vAlign w:val="center"/>
                </w:tcPr>
                <w:p w14:paraId="07AB2CC6">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电动试压泵</w:t>
                  </w:r>
                </w:p>
              </w:tc>
              <w:tc>
                <w:tcPr>
                  <w:tcW w:w="1644" w:type="dxa"/>
                  <w:noWrap w:val="0"/>
                  <w:vAlign w:val="center"/>
                </w:tcPr>
                <w:p w14:paraId="6C6CC796">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4D-SBⅡ-6.3</w:t>
                  </w:r>
                </w:p>
              </w:tc>
              <w:tc>
                <w:tcPr>
                  <w:tcW w:w="1091" w:type="dxa"/>
                  <w:noWrap w:val="0"/>
                  <w:vAlign w:val="center"/>
                </w:tcPr>
                <w:p w14:paraId="1586C9F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w:t>
                  </w:r>
                </w:p>
              </w:tc>
              <w:tc>
                <w:tcPr>
                  <w:tcW w:w="1562" w:type="dxa"/>
                  <w:noWrap w:val="0"/>
                  <w:vAlign w:val="center"/>
                </w:tcPr>
                <w:p w14:paraId="485EAC4D">
                  <w:pPr>
                    <w:jc w:val="center"/>
                    <w:rPr>
                      <w:sz w:val="18"/>
                      <w:szCs w:val="18"/>
                      <w:highlight w:val="none"/>
                    </w:rPr>
                  </w:pPr>
                  <w:r>
                    <w:rPr>
                      <w:rFonts w:hint="eastAsia" w:cs="Times New Roman"/>
                      <w:sz w:val="18"/>
                      <w:szCs w:val="18"/>
                      <w:highlight w:val="none"/>
                      <w:lang w:eastAsia="zh-CN"/>
                    </w:rPr>
                    <w:t>新增</w:t>
                  </w:r>
                </w:p>
              </w:tc>
            </w:tr>
            <w:tr w14:paraId="6B655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7C90CFA">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0A06983F">
                  <w:pPr>
                    <w:ind w:left="-88" w:leftChars="-42" w:right="-76" w:rightChars="-36"/>
                    <w:jc w:val="center"/>
                    <w:rPr>
                      <w:rFonts w:hint="eastAsia"/>
                      <w:color w:val="auto"/>
                      <w:sz w:val="18"/>
                      <w:szCs w:val="18"/>
                    </w:rPr>
                  </w:pPr>
                </w:p>
              </w:tc>
              <w:tc>
                <w:tcPr>
                  <w:tcW w:w="2126" w:type="dxa"/>
                  <w:noWrap w:val="0"/>
                  <w:vAlign w:val="center"/>
                </w:tcPr>
                <w:p w14:paraId="3F832324">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电动试压泵</w:t>
                  </w:r>
                </w:p>
              </w:tc>
              <w:tc>
                <w:tcPr>
                  <w:tcW w:w="1644" w:type="dxa"/>
                  <w:noWrap w:val="0"/>
                  <w:vAlign w:val="center"/>
                </w:tcPr>
                <w:p w14:paraId="66476119">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4DSB-2.5</w:t>
                  </w:r>
                </w:p>
              </w:tc>
              <w:tc>
                <w:tcPr>
                  <w:tcW w:w="1091" w:type="dxa"/>
                  <w:noWrap w:val="0"/>
                  <w:vAlign w:val="center"/>
                </w:tcPr>
                <w:p w14:paraId="3BB43D68">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w:t>
                  </w:r>
                </w:p>
              </w:tc>
              <w:tc>
                <w:tcPr>
                  <w:tcW w:w="1562" w:type="dxa"/>
                  <w:noWrap w:val="0"/>
                  <w:vAlign w:val="center"/>
                </w:tcPr>
                <w:p w14:paraId="00740180">
                  <w:pPr>
                    <w:jc w:val="center"/>
                    <w:rPr>
                      <w:sz w:val="18"/>
                      <w:szCs w:val="18"/>
                      <w:highlight w:val="none"/>
                    </w:rPr>
                  </w:pPr>
                  <w:r>
                    <w:rPr>
                      <w:rFonts w:hint="eastAsia" w:cs="Times New Roman"/>
                      <w:sz w:val="18"/>
                      <w:szCs w:val="18"/>
                      <w:highlight w:val="none"/>
                      <w:lang w:eastAsia="zh-CN"/>
                    </w:rPr>
                    <w:t>新增</w:t>
                  </w:r>
                </w:p>
              </w:tc>
            </w:tr>
            <w:tr w14:paraId="6EEC2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B1C7CAE">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2473ADE6">
                  <w:pPr>
                    <w:ind w:left="-88" w:leftChars="-42" w:right="-76" w:rightChars="-36"/>
                    <w:jc w:val="center"/>
                    <w:rPr>
                      <w:rFonts w:hint="eastAsia"/>
                      <w:color w:val="auto"/>
                      <w:sz w:val="18"/>
                      <w:szCs w:val="18"/>
                      <w:lang w:eastAsia="zh-CN"/>
                    </w:rPr>
                  </w:pPr>
                </w:p>
              </w:tc>
              <w:tc>
                <w:tcPr>
                  <w:tcW w:w="2126" w:type="dxa"/>
                  <w:noWrap w:val="0"/>
                  <w:vAlign w:val="center"/>
                </w:tcPr>
                <w:p w14:paraId="23D69476">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油压机</w:t>
                  </w:r>
                </w:p>
              </w:tc>
              <w:tc>
                <w:tcPr>
                  <w:tcW w:w="1644" w:type="dxa"/>
                  <w:noWrap w:val="0"/>
                  <w:vAlign w:val="center"/>
                </w:tcPr>
                <w:p w14:paraId="3F1B4D3E">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5吨</w:t>
                  </w:r>
                </w:p>
              </w:tc>
              <w:tc>
                <w:tcPr>
                  <w:tcW w:w="1091" w:type="dxa"/>
                  <w:noWrap w:val="0"/>
                  <w:vAlign w:val="center"/>
                </w:tcPr>
                <w:p w14:paraId="3F12A958">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1562" w:type="dxa"/>
                  <w:noWrap w:val="0"/>
                  <w:vAlign w:val="center"/>
                </w:tcPr>
                <w:p w14:paraId="6C53CC97">
                  <w:pPr>
                    <w:jc w:val="center"/>
                    <w:rPr>
                      <w:rFonts w:hint="eastAsia" w:eastAsia="宋体"/>
                      <w:sz w:val="18"/>
                      <w:szCs w:val="18"/>
                      <w:highlight w:val="none"/>
                      <w:lang w:eastAsia="zh-CN"/>
                    </w:rPr>
                  </w:pPr>
                  <w:r>
                    <w:rPr>
                      <w:rFonts w:hint="eastAsia" w:cs="Times New Roman"/>
                      <w:sz w:val="18"/>
                      <w:szCs w:val="18"/>
                      <w:highlight w:val="none"/>
                      <w:lang w:eastAsia="zh-CN"/>
                    </w:rPr>
                    <w:t>新增</w:t>
                  </w:r>
                </w:p>
              </w:tc>
            </w:tr>
            <w:tr w14:paraId="46BF3C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2B49E3D">
                  <w:pPr>
                    <w:numPr>
                      <w:ilvl w:val="0"/>
                      <w:numId w:val="19"/>
                    </w:numPr>
                    <w:ind w:left="425" w:leftChars="0" w:hanging="425" w:firstLineChars="0"/>
                    <w:jc w:val="center"/>
                    <w:textAlignment w:val="center"/>
                    <w:rPr>
                      <w:rFonts w:ascii="Times New Roman"/>
                      <w:sz w:val="18"/>
                      <w:szCs w:val="18"/>
                      <w:highlight w:val="none"/>
                    </w:rPr>
                  </w:pPr>
                </w:p>
              </w:tc>
              <w:tc>
                <w:tcPr>
                  <w:tcW w:w="1337" w:type="dxa"/>
                  <w:vMerge w:val="continue"/>
                  <w:noWrap w:val="0"/>
                  <w:vAlign w:val="center"/>
                </w:tcPr>
                <w:p w14:paraId="7DA198D1">
                  <w:pPr>
                    <w:ind w:left="-88" w:leftChars="-42" w:right="-76" w:rightChars="-36"/>
                    <w:jc w:val="center"/>
                    <w:rPr>
                      <w:rFonts w:hint="eastAsia"/>
                      <w:color w:val="auto"/>
                      <w:sz w:val="18"/>
                      <w:szCs w:val="18"/>
                      <w:lang w:eastAsia="zh-CN"/>
                    </w:rPr>
                  </w:pPr>
                </w:p>
              </w:tc>
              <w:tc>
                <w:tcPr>
                  <w:tcW w:w="2126" w:type="dxa"/>
                  <w:noWrap w:val="0"/>
                  <w:vAlign w:val="center"/>
                </w:tcPr>
                <w:p w14:paraId="471A420E">
                  <w:pPr>
                    <w:ind w:left="-88" w:leftChars="-42" w:right="-76" w:rightChars="-36"/>
                    <w:jc w:val="center"/>
                    <w:rPr>
                      <w:rFonts w:hint="eastAsia" w:ascii="宋体" w:hAnsi="宋体" w:eastAsia="宋体" w:cs="Times New Roman"/>
                      <w:color w:val="auto"/>
                      <w:kern w:val="2"/>
                      <w:sz w:val="18"/>
                      <w:szCs w:val="18"/>
                      <w:lang w:val="en-US" w:eastAsia="zh-CN" w:bidi="ar-SA"/>
                    </w:rPr>
                  </w:pPr>
                  <w:r>
                    <w:rPr>
                      <w:rFonts w:hint="eastAsia"/>
                      <w:color w:val="auto"/>
                      <w:sz w:val="18"/>
                      <w:szCs w:val="18"/>
                      <w:lang w:eastAsia="zh-CN"/>
                    </w:rPr>
                    <w:t>油压机</w:t>
                  </w:r>
                </w:p>
              </w:tc>
              <w:tc>
                <w:tcPr>
                  <w:tcW w:w="1644" w:type="dxa"/>
                  <w:noWrap w:val="0"/>
                  <w:vAlign w:val="center"/>
                </w:tcPr>
                <w:p w14:paraId="4B112BDD">
                  <w:pPr>
                    <w:jc w:val="center"/>
                    <w:rPr>
                      <w:rFonts w:hint="eastAsia" w:ascii="宋体" w:hAnsi="宋体" w:eastAsia="宋体" w:cs="Times New Roman"/>
                      <w:color w:val="auto"/>
                      <w:kern w:val="2"/>
                      <w:sz w:val="18"/>
                      <w:szCs w:val="18"/>
                      <w:lang w:val="en-US" w:eastAsia="zh-CN" w:bidi="ar-SA"/>
                    </w:rPr>
                  </w:pPr>
                  <w:r>
                    <w:rPr>
                      <w:rFonts w:hint="eastAsia"/>
                      <w:color w:val="auto"/>
                      <w:sz w:val="18"/>
                      <w:szCs w:val="18"/>
                      <w:lang w:val="en-US" w:eastAsia="zh-CN"/>
                    </w:rPr>
                    <w:t>10吨</w:t>
                  </w:r>
                </w:p>
              </w:tc>
              <w:tc>
                <w:tcPr>
                  <w:tcW w:w="1091" w:type="dxa"/>
                  <w:noWrap w:val="0"/>
                  <w:vAlign w:val="center"/>
                </w:tcPr>
                <w:p w14:paraId="750276B3">
                  <w:pPr>
                    <w:jc w:val="center"/>
                    <w:rPr>
                      <w:rFonts w:hint="eastAsia" w:ascii="宋体" w:hAnsi="宋体" w:eastAsia="宋体" w:cs="Times New Roman"/>
                      <w:color w:val="auto"/>
                      <w:kern w:val="2"/>
                      <w:sz w:val="18"/>
                      <w:szCs w:val="18"/>
                      <w:lang w:val="en-US" w:eastAsia="zh-CN" w:bidi="ar-SA"/>
                    </w:rPr>
                  </w:pPr>
                  <w:r>
                    <w:rPr>
                      <w:rFonts w:hint="eastAsia"/>
                      <w:color w:val="auto"/>
                      <w:sz w:val="18"/>
                      <w:szCs w:val="18"/>
                      <w:lang w:val="en-US" w:eastAsia="zh-CN"/>
                    </w:rPr>
                    <w:t>1</w:t>
                  </w:r>
                </w:p>
              </w:tc>
              <w:tc>
                <w:tcPr>
                  <w:tcW w:w="1562" w:type="dxa"/>
                  <w:noWrap w:val="0"/>
                  <w:vAlign w:val="center"/>
                </w:tcPr>
                <w:p w14:paraId="2CBDC215">
                  <w:pPr>
                    <w:jc w:val="center"/>
                    <w:rPr>
                      <w:sz w:val="18"/>
                      <w:szCs w:val="18"/>
                      <w:highlight w:val="none"/>
                    </w:rPr>
                  </w:pPr>
                  <w:r>
                    <w:rPr>
                      <w:rFonts w:hint="eastAsia" w:cs="Times New Roman"/>
                      <w:sz w:val="18"/>
                      <w:szCs w:val="18"/>
                      <w:highlight w:val="none"/>
                      <w:lang w:eastAsia="zh-CN"/>
                    </w:rPr>
                    <w:t>新增</w:t>
                  </w:r>
                </w:p>
              </w:tc>
            </w:tr>
            <w:tr w14:paraId="3C110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85F58E9">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1C553ACA">
                  <w:pPr>
                    <w:ind w:left="-88" w:leftChars="-42" w:right="-76" w:rightChars="-36"/>
                    <w:jc w:val="center"/>
                    <w:rPr>
                      <w:rFonts w:hint="eastAsia"/>
                      <w:color w:val="auto"/>
                      <w:sz w:val="18"/>
                      <w:szCs w:val="18"/>
                    </w:rPr>
                  </w:pPr>
                </w:p>
              </w:tc>
              <w:tc>
                <w:tcPr>
                  <w:tcW w:w="2126" w:type="dxa"/>
                  <w:noWrap w:val="0"/>
                  <w:vAlign w:val="center"/>
                </w:tcPr>
                <w:p w14:paraId="452838B9">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超声波测厚仪</w:t>
                  </w:r>
                </w:p>
              </w:tc>
              <w:tc>
                <w:tcPr>
                  <w:tcW w:w="1644" w:type="dxa"/>
                  <w:noWrap w:val="0"/>
                  <w:vAlign w:val="center"/>
                </w:tcPr>
                <w:p w14:paraId="3C4F5B3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TT100</w:t>
                  </w:r>
                </w:p>
              </w:tc>
              <w:tc>
                <w:tcPr>
                  <w:tcW w:w="1091" w:type="dxa"/>
                  <w:noWrap w:val="0"/>
                  <w:vAlign w:val="center"/>
                </w:tcPr>
                <w:p w14:paraId="2FB23E60">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w:t>
                  </w:r>
                </w:p>
              </w:tc>
              <w:tc>
                <w:tcPr>
                  <w:tcW w:w="1562" w:type="dxa"/>
                  <w:noWrap w:val="0"/>
                  <w:vAlign w:val="center"/>
                </w:tcPr>
                <w:p w14:paraId="035BF516">
                  <w:pPr>
                    <w:jc w:val="center"/>
                    <w:rPr>
                      <w:sz w:val="18"/>
                      <w:szCs w:val="18"/>
                      <w:highlight w:val="none"/>
                    </w:rPr>
                  </w:pPr>
                  <w:r>
                    <w:rPr>
                      <w:rFonts w:hint="eastAsia" w:cs="Times New Roman"/>
                      <w:sz w:val="18"/>
                      <w:szCs w:val="18"/>
                      <w:highlight w:val="none"/>
                      <w:lang w:eastAsia="zh-CN"/>
                    </w:rPr>
                    <w:t>新增</w:t>
                  </w:r>
                </w:p>
              </w:tc>
            </w:tr>
            <w:tr w14:paraId="11DD1F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ACD76E7">
                  <w:pPr>
                    <w:numPr>
                      <w:ilvl w:val="0"/>
                      <w:numId w:val="19"/>
                    </w:numPr>
                    <w:ind w:left="425" w:leftChars="0" w:hanging="425" w:firstLineChars="0"/>
                    <w:jc w:val="center"/>
                    <w:textAlignment w:val="center"/>
                    <w:rPr>
                      <w:rFonts w:hint="eastAsia" w:ascii="Times New Roman"/>
                      <w:sz w:val="18"/>
                      <w:szCs w:val="18"/>
                      <w:highlight w:val="none"/>
                    </w:rPr>
                  </w:pPr>
                </w:p>
              </w:tc>
              <w:tc>
                <w:tcPr>
                  <w:tcW w:w="1337" w:type="dxa"/>
                  <w:vMerge w:val="continue"/>
                  <w:noWrap w:val="0"/>
                  <w:vAlign w:val="center"/>
                </w:tcPr>
                <w:p w14:paraId="582FA8DD">
                  <w:pPr>
                    <w:ind w:left="-88" w:leftChars="-42" w:right="-76" w:rightChars="-36"/>
                    <w:jc w:val="center"/>
                    <w:rPr>
                      <w:rFonts w:hint="eastAsia"/>
                      <w:color w:val="auto"/>
                      <w:sz w:val="18"/>
                      <w:szCs w:val="18"/>
                    </w:rPr>
                  </w:pPr>
                </w:p>
              </w:tc>
              <w:tc>
                <w:tcPr>
                  <w:tcW w:w="2126" w:type="dxa"/>
                  <w:noWrap w:val="0"/>
                  <w:vAlign w:val="center"/>
                </w:tcPr>
                <w:p w14:paraId="34D7297B">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超声波探伤仪</w:t>
                  </w:r>
                </w:p>
              </w:tc>
              <w:tc>
                <w:tcPr>
                  <w:tcW w:w="1644" w:type="dxa"/>
                  <w:noWrap w:val="0"/>
                  <w:vAlign w:val="center"/>
                </w:tcPr>
                <w:p w14:paraId="761FAB0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CTS-22</w:t>
                  </w:r>
                </w:p>
              </w:tc>
              <w:tc>
                <w:tcPr>
                  <w:tcW w:w="1091" w:type="dxa"/>
                  <w:noWrap w:val="0"/>
                  <w:vAlign w:val="center"/>
                </w:tcPr>
                <w:p w14:paraId="15E9E65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w:t>
                  </w:r>
                </w:p>
              </w:tc>
              <w:tc>
                <w:tcPr>
                  <w:tcW w:w="1562" w:type="dxa"/>
                  <w:noWrap w:val="0"/>
                  <w:vAlign w:val="center"/>
                </w:tcPr>
                <w:p w14:paraId="7D83A84C">
                  <w:pPr>
                    <w:jc w:val="center"/>
                    <w:rPr>
                      <w:sz w:val="18"/>
                      <w:szCs w:val="18"/>
                      <w:highlight w:val="none"/>
                    </w:rPr>
                  </w:pPr>
                  <w:r>
                    <w:rPr>
                      <w:rFonts w:hint="eastAsia" w:cs="Times New Roman"/>
                      <w:sz w:val="18"/>
                      <w:szCs w:val="18"/>
                      <w:highlight w:val="none"/>
                      <w:lang w:eastAsia="zh-CN"/>
                    </w:rPr>
                    <w:t>新增</w:t>
                  </w:r>
                </w:p>
              </w:tc>
            </w:tr>
            <w:tr w14:paraId="4422F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79B5120">
                  <w:pPr>
                    <w:numPr>
                      <w:ilvl w:val="0"/>
                      <w:numId w:val="19"/>
                    </w:numPr>
                    <w:ind w:left="425" w:leftChars="0" w:hanging="425" w:firstLineChars="0"/>
                    <w:jc w:val="center"/>
                    <w:textAlignment w:val="center"/>
                    <w:rPr>
                      <w:rFonts w:hint="default" w:ascii="Times New Roman" w:eastAsia="宋体"/>
                      <w:sz w:val="18"/>
                      <w:szCs w:val="18"/>
                      <w:highlight w:val="none"/>
                      <w:lang w:val="en-US" w:eastAsia="zh-CN"/>
                    </w:rPr>
                  </w:pPr>
                </w:p>
              </w:tc>
              <w:tc>
                <w:tcPr>
                  <w:tcW w:w="1337" w:type="dxa"/>
                  <w:vMerge w:val="continue"/>
                  <w:noWrap w:val="0"/>
                  <w:vAlign w:val="center"/>
                </w:tcPr>
                <w:p w14:paraId="5FFFBBAB">
                  <w:pPr>
                    <w:ind w:left="-88" w:leftChars="-42" w:right="-76" w:rightChars="-36"/>
                    <w:jc w:val="center"/>
                    <w:rPr>
                      <w:rFonts w:hint="eastAsia"/>
                      <w:color w:val="auto"/>
                      <w:sz w:val="18"/>
                      <w:szCs w:val="18"/>
                    </w:rPr>
                  </w:pPr>
                </w:p>
              </w:tc>
              <w:tc>
                <w:tcPr>
                  <w:tcW w:w="2126" w:type="dxa"/>
                  <w:noWrap w:val="0"/>
                  <w:vAlign w:val="center"/>
                </w:tcPr>
                <w:p w14:paraId="5CE550CE">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多用磁粉探伤仪</w:t>
                  </w:r>
                </w:p>
              </w:tc>
              <w:tc>
                <w:tcPr>
                  <w:tcW w:w="1644" w:type="dxa"/>
                  <w:noWrap w:val="0"/>
                  <w:vAlign w:val="center"/>
                </w:tcPr>
                <w:p w14:paraId="7042502F">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CDX-Ⅲ型</w:t>
                  </w:r>
                </w:p>
              </w:tc>
              <w:tc>
                <w:tcPr>
                  <w:tcW w:w="1091" w:type="dxa"/>
                  <w:noWrap w:val="0"/>
                  <w:vAlign w:val="center"/>
                </w:tcPr>
                <w:p w14:paraId="3C80EF17">
                  <w:pPr>
                    <w:jc w:val="center"/>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3</w:t>
                  </w:r>
                </w:p>
              </w:tc>
              <w:tc>
                <w:tcPr>
                  <w:tcW w:w="1562" w:type="dxa"/>
                  <w:noWrap w:val="0"/>
                  <w:vAlign w:val="center"/>
                </w:tcPr>
                <w:p w14:paraId="6DF678DA">
                  <w:pPr>
                    <w:jc w:val="center"/>
                    <w:rPr>
                      <w:rFonts w:hint="eastAsia" w:ascii="Times New Roman" w:hAnsi="Times New Roman" w:eastAsia="宋体" w:cs="Times New Roman"/>
                      <w:sz w:val="18"/>
                      <w:szCs w:val="18"/>
                      <w:highlight w:val="none"/>
                      <w:lang w:val="en-US" w:eastAsia="zh-CN"/>
                    </w:rPr>
                  </w:pPr>
                  <w:r>
                    <w:rPr>
                      <w:rFonts w:hint="eastAsia" w:cs="Times New Roman"/>
                      <w:sz w:val="18"/>
                      <w:szCs w:val="18"/>
                      <w:highlight w:val="none"/>
                      <w:lang w:eastAsia="zh-CN"/>
                    </w:rPr>
                    <w:t>新增</w:t>
                  </w:r>
                </w:p>
              </w:tc>
            </w:tr>
            <w:tr w14:paraId="4F311B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668030B">
                  <w:pPr>
                    <w:numPr>
                      <w:ilvl w:val="0"/>
                      <w:numId w:val="19"/>
                    </w:numPr>
                    <w:ind w:left="425" w:leftChars="0" w:hanging="425" w:firstLineChars="0"/>
                    <w:jc w:val="center"/>
                    <w:textAlignment w:val="center"/>
                    <w:rPr>
                      <w:rFonts w:hint="default" w:ascii="Times New Roman"/>
                      <w:sz w:val="18"/>
                      <w:szCs w:val="18"/>
                      <w:highlight w:val="none"/>
                      <w:lang w:val="en-US" w:eastAsia="zh-CN"/>
                    </w:rPr>
                  </w:pPr>
                </w:p>
              </w:tc>
              <w:tc>
                <w:tcPr>
                  <w:tcW w:w="1337" w:type="dxa"/>
                  <w:vMerge w:val="continue"/>
                  <w:noWrap w:val="0"/>
                  <w:vAlign w:val="center"/>
                </w:tcPr>
                <w:p w14:paraId="09979721">
                  <w:pPr>
                    <w:ind w:left="-88" w:leftChars="-42" w:right="-76" w:rightChars="-36"/>
                    <w:jc w:val="center"/>
                    <w:rPr>
                      <w:rFonts w:hint="eastAsia"/>
                      <w:color w:val="auto"/>
                      <w:sz w:val="18"/>
                      <w:szCs w:val="18"/>
                      <w:highlight w:val="none"/>
                    </w:rPr>
                  </w:pPr>
                </w:p>
              </w:tc>
              <w:tc>
                <w:tcPr>
                  <w:tcW w:w="2126" w:type="dxa"/>
                  <w:noWrap w:val="0"/>
                  <w:vAlign w:val="center"/>
                </w:tcPr>
                <w:p w14:paraId="565C63B7">
                  <w:pPr>
                    <w:ind w:left="-88" w:leftChars="-42" w:right="-76" w:rightChars="-36"/>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X射线探伤机</w:t>
                  </w:r>
                </w:p>
              </w:tc>
              <w:tc>
                <w:tcPr>
                  <w:tcW w:w="1644" w:type="dxa"/>
                  <w:noWrap w:val="0"/>
                  <w:vAlign w:val="center"/>
                </w:tcPr>
                <w:p w14:paraId="2F798580">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w:t>
                  </w:r>
                </w:p>
              </w:tc>
              <w:tc>
                <w:tcPr>
                  <w:tcW w:w="1091" w:type="dxa"/>
                  <w:noWrap w:val="0"/>
                  <w:vAlign w:val="center"/>
                </w:tcPr>
                <w:p w14:paraId="49C79584">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2</w:t>
                  </w:r>
                </w:p>
              </w:tc>
              <w:tc>
                <w:tcPr>
                  <w:tcW w:w="1562" w:type="dxa"/>
                  <w:vMerge w:val="restart"/>
                  <w:noWrap w:val="0"/>
                  <w:vAlign w:val="center"/>
                </w:tcPr>
                <w:p w14:paraId="127C656F">
                  <w:pPr>
                    <w:jc w:val="center"/>
                    <w:rPr>
                      <w:rFonts w:hint="eastAsia" w:ascii="Times New Roman" w:hAnsi="Times New Roman" w:cs="Times New Roman"/>
                      <w:sz w:val="18"/>
                      <w:szCs w:val="18"/>
                      <w:highlight w:val="none"/>
                      <w:lang w:val="en-US" w:eastAsia="zh-CN"/>
                    </w:rPr>
                  </w:pPr>
                  <w:r>
                    <w:rPr>
                      <w:rFonts w:hint="eastAsia" w:cs="Times New Roman"/>
                      <w:sz w:val="18"/>
                      <w:szCs w:val="18"/>
                      <w:highlight w:val="none"/>
                      <w:lang w:eastAsia="zh-CN"/>
                    </w:rPr>
                    <w:t>新增，本项目不含该辐射内容，辐射需另行委托评价</w:t>
                  </w:r>
                </w:p>
              </w:tc>
            </w:tr>
            <w:tr w14:paraId="40082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B09CFF3">
                  <w:pPr>
                    <w:numPr>
                      <w:ilvl w:val="0"/>
                      <w:numId w:val="19"/>
                    </w:numPr>
                    <w:ind w:left="425" w:leftChars="0" w:hanging="425" w:firstLineChars="0"/>
                    <w:jc w:val="center"/>
                    <w:textAlignment w:val="center"/>
                    <w:rPr>
                      <w:rFonts w:hint="default" w:ascii="Times New Roman"/>
                      <w:sz w:val="18"/>
                      <w:szCs w:val="18"/>
                      <w:highlight w:val="none"/>
                      <w:lang w:val="en-US" w:eastAsia="zh-CN"/>
                    </w:rPr>
                  </w:pPr>
                </w:p>
              </w:tc>
              <w:tc>
                <w:tcPr>
                  <w:tcW w:w="1337" w:type="dxa"/>
                  <w:vMerge w:val="continue"/>
                  <w:noWrap w:val="0"/>
                  <w:vAlign w:val="center"/>
                </w:tcPr>
                <w:p w14:paraId="7222702E">
                  <w:pPr>
                    <w:ind w:left="-88" w:leftChars="-42" w:right="-76" w:rightChars="-36"/>
                    <w:jc w:val="center"/>
                    <w:rPr>
                      <w:rFonts w:hint="eastAsia"/>
                      <w:color w:val="auto"/>
                      <w:sz w:val="18"/>
                      <w:szCs w:val="18"/>
                      <w:highlight w:val="none"/>
                    </w:rPr>
                  </w:pPr>
                </w:p>
              </w:tc>
              <w:tc>
                <w:tcPr>
                  <w:tcW w:w="2126" w:type="dxa"/>
                  <w:noWrap w:val="0"/>
                  <w:vAlign w:val="center"/>
                </w:tcPr>
                <w:p w14:paraId="1C794213">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X射线探伤机</w:t>
                  </w:r>
                </w:p>
              </w:tc>
              <w:tc>
                <w:tcPr>
                  <w:tcW w:w="1644" w:type="dxa"/>
                  <w:noWrap w:val="0"/>
                  <w:vAlign w:val="center"/>
                </w:tcPr>
                <w:p w14:paraId="64C02413">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w:t>
                  </w:r>
                </w:p>
              </w:tc>
              <w:tc>
                <w:tcPr>
                  <w:tcW w:w="1091" w:type="dxa"/>
                  <w:noWrap w:val="0"/>
                  <w:vAlign w:val="center"/>
                </w:tcPr>
                <w:p w14:paraId="617CC65F">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2</w:t>
                  </w:r>
                </w:p>
              </w:tc>
              <w:tc>
                <w:tcPr>
                  <w:tcW w:w="1562" w:type="dxa"/>
                  <w:vMerge w:val="continue"/>
                  <w:noWrap w:val="0"/>
                  <w:vAlign w:val="center"/>
                </w:tcPr>
                <w:p w14:paraId="5A4C2F16">
                  <w:pPr>
                    <w:jc w:val="center"/>
                    <w:rPr>
                      <w:rFonts w:hint="eastAsia" w:cs="Times New Roman"/>
                      <w:sz w:val="18"/>
                      <w:szCs w:val="18"/>
                      <w:highlight w:val="none"/>
                      <w:lang w:val="en-US" w:eastAsia="zh-CN"/>
                    </w:rPr>
                  </w:pPr>
                </w:p>
              </w:tc>
            </w:tr>
            <w:tr w14:paraId="181E7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3B94BA4">
                  <w:pPr>
                    <w:numPr>
                      <w:ilvl w:val="0"/>
                      <w:numId w:val="19"/>
                    </w:numPr>
                    <w:ind w:left="425" w:leftChars="0" w:hanging="425" w:firstLineChars="0"/>
                    <w:jc w:val="center"/>
                    <w:textAlignment w:val="center"/>
                    <w:rPr>
                      <w:rFonts w:hint="default"/>
                      <w:sz w:val="18"/>
                      <w:szCs w:val="18"/>
                      <w:highlight w:val="none"/>
                      <w:lang w:val="en-US" w:eastAsia="zh-CN"/>
                    </w:rPr>
                  </w:pPr>
                </w:p>
              </w:tc>
              <w:tc>
                <w:tcPr>
                  <w:tcW w:w="1337" w:type="dxa"/>
                  <w:vMerge w:val="continue"/>
                  <w:noWrap w:val="0"/>
                  <w:vAlign w:val="center"/>
                </w:tcPr>
                <w:p w14:paraId="76DF5D47">
                  <w:pPr>
                    <w:ind w:left="-88" w:leftChars="-42" w:right="-76" w:rightChars="-36"/>
                    <w:jc w:val="center"/>
                    <w:rPr>
                      <w:rFonts w:hint="eastAsia"/>
                      <w:color w:val="auto"/>
                      <w:sz w:val="18"/>
                      <w:szCs w:val="18"/>
                      <w:highlight w:val="none"/>
                    </w:rPr>
                  </w:pPr>
                </w:p>
              </w:tc>
              <w:tc>
                <w:tcPr>
                  <w:tcW w:w="2126" w:type="dxa"/>
                  <w:noWrap w:val="0"/>
                  <w:vAlign w:val="center"/>
                </w:tcPr>
                <w:p w14:paraId="07DC8584">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焊烟净化器</w:t>
                  </w:r>
                </w:p>
              </w:tc>
              <w:tc>
                <w:tcPr>
                  <w:tcW w:w="1644" w:type="dxa"/>
                  <w:noWrap w:val="0"/>
                  <w:vAlign w:val="center"/>
                </w:tcPr>
                <w:p w14:paraId="2A4E0703">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ZH-SH3000</w:t>
                  </w:r>
                </w:p>
              </w:tc>
              <w:tc>
                <w:tcPr>
                  <w:tcW w:w="1091" w:type="dxa"/>
                  <w:noWrap w:val="0"/>
                  <w:vAlign w:val="center"/>
                </w:tcPr>
                <w:p w14:paraId="4691D2D6">
                  <w:pPr>
                    <w:jc w:val="center"/>
                    <w:rPr>
                      <w:rFonts w:hint="default"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40</w:t>
                  </w:r>
                </w:p>
              </w:tc>
              <w:tc>
                <w:tcPr>
                  <w:tcW w:w="1562" w:type="dxa"/>
                  <w:noWrap w:val="0"/>
                  <w:vAlign w:val="center"/>
                </w:tcPr>
                <w:p w14:paraId="557C5D4D">
                  <w:pPr>
                    <w:jc w:val="center"/>
                    <w:rPr>
                      <w:rFonts w:hint="eastAsia"/>
                      <w:sz w:val="18"/>
                      <w:szCs w:val="18"/>
                      <w:highlight w:val="none"/>
                      <w:lang w:eastAsia="zh-CN"/>
                    </w:rPr>
                  </w:pPr>
                  <w:r>
                    <w:rPr>
                      <w:rFonts w:hint="eastAsia" w:cs="Times New Roman"/>
                      <w:sz w:val="18"/>
                      <w:szCs w:val="18"/>
                      <w:highlight w:val="none"/>
                      <w:lang w:eastAsia="zh-CN"/>
                    </w:rPr>
                    <w:t>新增</w:t>
                  </w:r>
                </w:p>
              </w:tc>
            </w:tr>
            <w:tr w14:paraId="36272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896055F">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2F746672">
                  <w:pPr>
                    <w:ind w:left="-88" w:leftChars="-42" w:right="-76" w:rightChars="-36"/>
                    <w:jc w:val="center"/>
                    <w:rPr>
                      <w:rFonts w:hint="eastAsia"/>
                      <w:color w:val="auto"/>
                      <w:sz w:val="18"/>
                      <w:szCs w:val="18"/>
                      <w:highlight w:val="none"/>
                      <w:lang w:eastAsia="zh-CN"/>
                    </w:rPr>
                  </w:pPr>
                </w:p>
              </w:tc>
              <w:tc>
                <w:tcPr>
                  <w:tcW w:w="2126" w:type="dxa"/>
                  <w:noWrap w:val="0"/>
                  <w:vAlign w:val="center"/>
                </w:tcPr>
                <w:p w14:paraId="6A7B7625">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空气</w:t>
                  </w:r>
                  <w:r>
                    <w:rPr>
                      <w:rFonts w:hint="eastAsia"/>
                      <w:color w:val="auto"/>
                      <w:sz w:val="18"/>
                      <w:szCs w:val="18"/>
                      <w:highlight w:val="none"/>
                    </w:rPr>
                    <w:t>喷漆</w:t>
                  </w:r>
                  <w:r>
                    <w:rPr>
                      <w:rFonts w:hint="eastAsia"/>
                      <w:color w:val="auto"/>
                      <w:sz w:val="18"/>
                      <w:szCs w:val="18"/>
                      <w:highlight w:val="none"/>
                      <w:lang w:eastAsia="zh-CN"/>
                    </w:rPr>
                    <w:t>系统</w:t>
                  </w:r>
                </w:p>
              </w:tc>
              <w:tc>
                <w:tcPr>
                  <w:tcW w:w="1644" w:type="dxa"/>
                  <w:noWrap w:val="0"/>
                  <w:vAlign w:val="center"/>
                </w:tcPr>
                <w:p w14:paraId="7C000EEB">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PUQIN-8000</w:t>
                  </w:r>
                </w:p>
              </w:tc>
              <w:tc>
                <w:tcPr>
                  <w:tcW w:w="1091" w:type="dxa"/>
                  <w:noWrap w:val="0"/>
                  <w:vAlign w:val="center"/>
                </w:tcPr>
                <w:p w14:paraId="499ED740">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w:t>
                  </w:r>
                </w:p>
              </w:tc>
              <w:tc>
                <w:tcPr>
                  <w:tcW w:w="1562" w:type="dxa"/>
                  <w:noWrap w:val="0"/>
                  <w:vAlign w:val="center"/>
                </w:tcPr>
                <w:p w14:paraId="2D4A1998">
                  <w:pPr>
                    <w:jc w:val="center"/>
                    <w:rPr>
                      <w:rFonts w:hint="default"/>
                      <w:sz w:val="18"/>
                      <w:szCs w:val="18"/>
                      <w:highlight w:val="none"/>
                      <w:lang w:val="en-US" w:eastAsia="zh-CN"/>
                    </w:rPr>
                  </w:pPr>
                  <w:r>
                    <w:rPr>
                      <w:rFonts w:hint="eastAsia"/>
                      <w:sz w:val="18"/>
                      <w:szCs w:val="18"/>
                      <w:highlight w:val="none"/>
                      <w:lang w:val="en-US" w:eastAsia="zh-CN"/>
                    </w:rPr>
                    <w:t>新增，喷漆房，2台喷涂机</w:t>
                  </w:r>
                </w:p>
              </w:tc>
            </w:tr>
            <w:tr w14:paraId="643A8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AAC7C2E">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4EA90C41">
                  <w:pPr>
                    <w:ind w:left="-88" w:leftChars="-42" w:right="-76" w:rightChars="-36"/>
                    <w:jc w:val="center"/>
                    <w:rPr>
                      <w:rFonts w:hint="eastAsia"/>
                      <w:color w:val="auto"/>
                      <w:sz w:val="18"/>
                      <w:szCs w:val="18"/>
                      <w:highlight w:val="none"/>
                    </w:rPr>
                  </w:pPr>
                </w:p>
              </w:tc>
              <w:tc>
                <w:tcPr>
                  <w:tcW w:w="2126" w:type="dxa"/>
                  <w:noWrap w:val="0"/>
                  <w:vAlign w:val="center"/>
                </w:tcPr>
                <w:p w14:paraId="3AB63228">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钻床</w:t>
                  </w:r>
                </w:p>
              </w:tc>
              <w:tc>
                <w:tcPr>
                  <w:tcW w:w="1644" w:type="dxa"/>
                  <w:noWrap w:val="0"/>
                  <w:vAlign w:val="center"/>
                </w:tcPr>
                <w:p w14:paraId="514F9559">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eastAsia="zh-CN"/>
                    </w:rPr>
                    <w:t>－</w:t>
                  </w:r>
                </w:p>
              </w:tc>
              <w:tc>
                <w:tcPr>
                  <w:tcW w:w="1091" w:type="dxa"/>
                  <w:noWrap w:val="0"/>
                  <w:vAlign w:val="center"/>
                </w:tcPr>
                <w:p w14:paraId="280DEBA4">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8</w:t>
                  </w:r>
                </w:p>
              </w:tc>
              <w:tc>
                <w:tcPr>
                  <w:tcW w:w="1562" w:type="dxa"/>
                  <w:noWrap w:val="0"/>
                  <w:vAlign w:val="center"/>
                </w:tcPr>
                <w:p w14:paraId="6471246F">
                  <w:pPr>
                    <w:jc w:val="center"/>
                    <w:rPr>
                      <w:rFonts w:hint="eastAsia"/>
                      <w:color w:val="auto"/>
                      <w:sz w:val="18"/>
                      <w:szCs w:val="18"/>
                      <w:highlight w:val="none"/>
                      <w:lang w:eastAsia="zh-CN"/>
                    </w:rPr>
                  </w:pPr>
                  <w:r>
                    <w:rPr>
                      <w:rFonts w:hint="eastAsia" w:cs="Times New Roman"/>
                      <w:color w:val="auto"/>
                      <w:sz w:val="18"/>
                      <w:szCs w:val="18"/>
                      <w:highlight w:val="none"/>
                      <w:lang w:eastAsia="zh-CN"/>
                    </w:rPr>
                    <w:t>新增</w:t>
                  </w:r>
                </w:p>
              </w:tc>
            </w:tr>
            <w:tr w14:paraId="4E58CB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4C1D42F">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0E13B2AE">
                  <w:pPr>
                    <w:ind w:left="-88" w:leftChars="-42" w:right="-76" w:rightChars="-36"/>
                    <w:jc w:val="center"/>
                    <w:rPr>
                      <w:rFonts w:hint="eastAsia"/>
                      <w:color w:val="auto"/>
                      <w:sz w:val="18"/>
                      <w:szCs w:val="18"/>
                    </w:rPr>
                  </w:pPr>
                </w:p>
              </w:tc>
              <w:tc>
                <w:tcPr>
                  <w:tcW w:w="2126" w:type="dxa"/>
                  <w:noWrap w:val="0"/>
                  <w:vAlign w:val="center"/>
                </w:tcPr>
                <w:p w14:paraId="0E295A83">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加工中心</w:t>
                  </w:r>
                </w:p>
              </w:tc>
              <w:tc>
                <w:tcPr>
                  <w:tcW w:w="1644" w:type="dxa"/>
                  <w:noWrap w:val="0"/>
                  <w:vAlign w:val="center"/>
                </w:tcPr>
                <w:p w14:paraId="0A3A9B32">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225B3957">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w:t>
                  </w:r>
                </w:p>
              </w:tc>
              <w:tc>
                <w:tcPr>
                  <w:tcW w:w="1562" w:type="dxa"/>
                  <w:noWrap w:val="0"/>
                  <w:vAlign w:val="center"/>
                </w:tcPr>
                <w:p w14:paraId="1F2B3EB0">
                  <w:pPr>
                    <w:jc w:val="center"/>
                    <w:rPr>
                      <w:rFonts w:hint="eastAsia"/>
                      <w:sz w:val="18"/>
                      <w:szCs w:val="18"/>
                      <w:highlight w:val="none"/>
                      <w:lang w:eastAsia="zh-CN"/>
                    </w:rPr>
                  </w:pPr>
                  <w:r>
                    <w:rPr>
                      <w:rFonts w:hint="eastAsia" w:cs="Times New Roman"/>
                      <w:sz w:val="18"/>
                      <w:szCs w:val="18"/>
                      <w:highlight w:val="none"/>
                      <w:lang w:eastAsia="zh-CN"/>
                    </w:rPr>
                    <w:t>新增</w:t>
                  </w:r>
                </w:p>
              </w:tc>
            </w:tr>
            <w:tr w14:paraId="00CFFE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CAF081A">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0754147E">
                  <w:pPr>
                    <w:ind w:left="-88" w:leftChars="-42" w:right="-76" w:rightChars="-36"/>
                    <w:jc w:val="center"/>
                    <w:rPr>
                      <w:rFonts w:hint="eastAsia"/>
                      <w:color w:val="auto"/>
                      <w:sz w:val="18"/>
                      <w:szCs w:val="18"/>
                    </w:rPr>
                  </w:pPr>
                </w:p>
              </w:tc>
              <w:tc>
                <w:tcPr>
                  <w:tcW w:w="2126" w:type="dxa"/>
                  <w:noWrap w:val="0"/>
                  <w:vAlign w:val="center"/>
                </w:tcPr>
                <w:p w14:paraId="7AA645F7">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车床</w:t>
                  </w:r>
                </w:p>
              </w:tc>
              <w:tc>
                <w:tcPr>
                  <w:tcW w:w="1644" w:type="dxa"/>
                  <w:noWrap w:val="0"/>
                  <w:vAlign w:val="center"/>
                </w:tcPr>
                <w:p w14:paraId="3E5DE456">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6CF57CCA">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w:t>
                  </w:r>
                </w:p>
              </w:tc>
              <w:tc>
                <w:tcPr>
                  <w:tcW w:w="1562" w:type="dxa"/>
                  <w:noWrap w:val="0"/>
                  <w:vAlign w:val="center"/>
                </w:tcPr>
                <w:p w14:paraId="48225B82">
                  <w:pPr>
                    <w:jc w:val="center"/>
                    <w:rPr>
                      <w:rFonts w:hint="eastAsia"/>
                      <w:color w:val="auto"/>
                      <w:sz w:val="18"/>
                      <w:szCs w:val="18"/>
                      <w:highlight w:val="none"/>
                      <w:lang w:eastAsia="zh-CN"/>
                    </w:rPr>
                  </w:pPr>
                  <w:r>
                    <w:rPr>
                      <w:rFonts w:hint="eastAsia" w:cs="Times New Roman"/>
                      <w:color w:val="auto"/>
                      <w:sz w:val="18"/>
                      <w:szCs w:val="18"/>
                      <w:highlight w:val="none"/>
                      <w:lang w:eastAsia="zh-CN"/>
                    </w:rPr>
                    <w:t>新增</w:t>
                  </w:r>
                </w:p>
              </w:tc>
            </w:tr>
            <w:tr w14:paraId="47D4C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6488543">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4A6F0BF9">
                  <w:pPr>
                    <w:ind w:left="-88" w:leftChars="-42" w:right="-76" w:rightChars="-36"/>
                    <w:jc w:val="center"/>
                    <w:rPr>
                      <w:rFonts w:hint="eastAsia"/>
                      <w:color w:val="auto"/>
                      <w:sz w:val="18"/>
                      <w:szCs w:val="18"/>
                    </w:rPr>
                  </w:pPr>
                </w:p>
              </w:tc>
              <w:tc>
                <w:tcPr>
                  <w:tcW w:w="2126" w:type="dxa"/>
                  <w:noWrap w:val="0"/>
                  <w:vAlign w:val="center"/>
                </w:tcPr>
                <w:p w14:paraId="565A7BE8">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铣</w:t>
                  </w:r>
                  <w:r>
                    <w:rPr>
                      <w:rFonts w:hint="eastAsia"/>
                      <w:color w:val="auto"/>
                      <w:sz w:val="18"/>
                      <w:szCs w:val="18"/>
                      <w:lang w:eastAsia="zh-CN"/>
                    </w:rPr>
                    <w:t>床</w:t>
                  </w:r>
                </w:p>
              </w:tc>
              <w:tc>
                <w:tcPr>
                  <w:tcW w:w="1644" w:type="dxa"/>
                  <w:noWrap w:val="0"/>
                  <w:vAlign w:val="center"/>
                </w:tcPr>
                <w:p w14:paraId="5B7C88E2">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279CDA8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w:t>
                  </w:r>
                </w:p>
              </w:tc>
              <w:tc>
                <w:tcPr>
                  <w:tcW w:w="1562" w:type="dxa"/>
                  <w:noWrap w:val="0"/>
                  <w:vAlign w:val="center"/>
                </w:tcPr>
                <w:p w14:paraId="37AF06ED">
                  <w:pPr>
                    <w:jc w:val="center"/>
                    <w:rPr>
                      <w:rFonts w:hint="eastAsia"/>
                      <w:color w:val="auto"/>
                      <w:sz w:val="18"/>
                      <w:szCs w:val="18"/>
                      <w:highlight w:val="none"/>
                      <w:lang w:eastAsia="zh-CN"/>
                    </w:rPr>
                  </w:pPr>
                  <w:r>
                    <w:rPr>
                      <w:rFonts w:hint="eastAsia" w:cs="Times New Roman"/>
                      <w:color w:val="auto"/>
                      <w:sz w:val="18"/>
                      <w:szCs w:val="18"/>
                      <w:highlight w:val="none"/>
                      <w:lang w:eastAsia="zh-CN"/>
                    </w:rPr>
                    <w:t>新增</w:t>
                  </w:r>
                </w:p>
              </w:tc>
            </w:tr>
            <w:tr w14:paraId="311F3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4ECC411">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65702AA7">
                  <w:pPr>
                    <w:ind w:left="-88" w:leftChars="-42" w:right="-76" w:rightChars="-36"/>
                    <w:jc w:val="center"/>
                    <w:rPr>
                      <w:rFonts w:hint="eastAsia"/>
                      <w:color w:val="auto"/>
                      <w:sz w:val="18"/>
                      <w:szCs w:val="18"/>
                      <w:lang w:eastAsia="zh-CN"/>
                    </w:rPr>
                  </w:pPr>
                </w:p>
              </w:tc>
              <w:tc>
                <w:tcPr>
                  <w:tcW w:w="2126" w:type="dxa"/>
                  <w:noWrap w:val="0"/>
                  <w:vAlign w:val="center"/>
                </w:tcPr>
                <w:p w14:paraId="6FD8FB86">
                  <w:pPr>
                    <w:ind w:left="-88" w:leftChars="-42" w:right="-76" w:rightChars="-36"/>
                    <w:jc w:val="center"/>
                    <w:rPr>
                      <w:rFonts w:hint="eastAsia" w:eastAsia="宋体"/>
                      <w:color w:val="auto"/>
                      <w:sz w:val="18"/>
                      <w:szCs w:val="18"/>
                      <w:lang w:eastAsia="zh-CN"/>
                    </w:rPr>
                  </w:pPr>
                  <w:r>
                    <w:rPr>
                      <w:rFonts w:hint="eastAsia"/>
                      <w:color w:val="auto"/>
                      <w:sz w:val="18"/>
                      <w:szCs w:val="18"/>
                      <w:lang w:eastAsia="zh-CN"/>
                    </w:rPr>
                    <w:t>磨床</w:t>
                  </w:r>
                </w:p>
              </w:tc>
              <w:tc>
                <w:tcPr>
                  <w:tcW w:w="1644" w:type="dxa"/>
                  <w:noWrap w:val="0"/>
                  <w:vAlign w:val="center"/>
                </w:tcPr>
                <w:p w14:paraId="31DF88DC">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736D64CF">
                  <w:pPr>
                    <w:jc w:val="center"/>
                    <w:rPr>
                      <w:rFonts w:hint="eastAsia" w:eastAsia="宋体"/>
                      <w:color w:val="auto"/>
                      <w:sz w:val="18"/>
                      <w:szCs w:val="18"/>
                      <w:lang w:val="en-US" w:eastAsia="zh-CN"/>
                    </w:rPr>
                  </w:pPr>
                  <w:r>
                    <w:rPr>
                      <w:rFonts w:hint="eastAsia"/>
                      <w:color w:val="auto"/>
                      <w:sz w:val="18"/>
                      <w:szCs w:val="18"/>
                      <w:lang w:val="en-US" w:eastAsia="zh-CN"/>
                    </w:rPr>
                    <w:t>2</w:t>
                  </w:r>
                </w:p>
              </w:tc>
              <w:tc>
                <w:tcPr>
                  <w:tcW w:w="1562" w:type="dxa"/>
                  <w:noWrap w:val="0"/>
                  <w:vAlign w:val="center"/>
                </w:tcPr>
                <w:p w14:paraId="3CE9D074">
                  <w:pPr>
                    <w:jc w:val="center"/>
                    <w:rPr>
                      <w:rFonts w:hint="eastAsia"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1F89C7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8ABB88B">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2764B2EB">
                  <w:pPr>
                    <w:ind w:left="-88" w:leftChars="-42" w:right="-76" w:rightChars="-36"/>
                    <w:jc w:val="center"/>
                    <w:rPr>
                      <w:rFonts w:hint="eastAsia"/>
                      <w:color w:val="auto"/>
                      <w:sz w:val="18"/>
                      <w:szCs w:val="18"/>
                      <w:lang w:eastAsia="zh-CN"/>
                    </w:rPr>
                  </w:pPr>
                </w:p>
              </w:tc>
              <w:tc>
                <w:tcPr>
                  <w:tcW w:w="2126" w:type="dxa"/>
                  <w:noWrap w:val="0"/>
                  <w:vAlign w:val="center"/>
                </w:tcPr>
                <w:p w14:paraId="45A9FB06">
                  <w:pPr>
                    <w:ind w:left="-88" w:leftChars="-42" w:right="-76" w:rightChars="-36"/>
                    <w:jc w:val="center"/>
                    <w:rPr>
                      <w:rFonts w:hint="eastAsia"/>
                      <w:color w:val="auto"/>
                      <w:sz w:val="18"/>
                      <w:szCs w:val="18"/>
                      <w:lang w:eastAsia="zh-CN"/>
                    </w:rPr>
                  </w:pPr>
                  <w:r>
                    <w:rPr>
                      <w:rFonts w:hint="eastAsia"/>
                      <w:color w:val="auto"/>
                      <w:sz w:val="18"/>
                      <w:szCs w:val="18"/>
                      <w:lang w:eastAsia="zh-CN"/>
                    </w:rPr>
                    <w:t>刨床</w:t>
                  </w:r>
                </w:p>
              </w:tc>
              <w:tc>
                <w:tcPr>
                  <w:tcW w:w="1644" w:type="dxa"/>
                  <w:noWrap w:val="0"/>
                  <w:vAlign w:val="center"/>
                </w:tcPr>
                <w:p w14:paraId="05A6C30B">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5FF7651A">
                  <w:pPr>
                    <w:jc w:val="center"/>
                    <w:rPr>
                      <w:rFonts w:hint="default"/>
                      <w:color w:val="auto"/>
                      <w:sz w:val="18"/>
                      <w:szCs w:val="18"/>
                      <w:lang w:val="en-US" w:eastAsia="zh-CN"/>
                    </w:rPr>
                  </w:pPr>
                  <w:r>
                    <w:rPr>
                      <w:rFonts w:hint="eastAsia"/>
                      <w:color w:val="auto"/>
                      <w:sz w:val="18"/>
                      <w:szCs w:val="18"/>
                      <w:lang w:val="en-US" w:eastAsia="zh-CN"/>
                    </w:rPr>
                    <w:t>4</w:t>
                  </w:r>
                </w:p>
              </w:tc>
              <w:tc>
                <w:tcPr>
                  <w:tcW w:w="1562" w:type="dxa"/>
                  <w:noWrap w:val="0"/>
                  <w:vAlign w:val="center"/>
                </w:tcPr>
                <w:p w14:paraId="44BA60A5">
                  <w:pPr>
                    <w:jc w:val="center"/>
                    <w:rPr>
                      <w:rFonts w:hint="eastAsia"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7796C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00AF11B">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4C7DB7BB">
                  <w:pPr>
                    <w:ind w:left="-88" w:leftChars="-42" w:right="-76" w:rightChars="-36"/>
                    <w:jc w:val="center"/>
                    <w:rPr>
                      <w:rFonts w:hint="eastAsia"/>
                      <w:color w:val="auto"/>
                      <w:sz w:val="18"/>
                      <w:szCs w:val="18"/>
                      <w:lang w:eastAsia="zh-CN"/>
                    </w:rPr>
                  </w:pPr>
                </w:p>
              </w:tc>
              <w:tc>
                <w:tcPr>
                  <w:tcW w:w="2126" w:type="dxa"/>
                  <w:noWrap w:val="0"/>
                  <w:vAlign w:val="center"/>
                </w:tcPr>
                <w:p w14:paraId="32EAB531">
                  <w:pPr>
                    <w:ind w:left="-88" w:leftChars="-42" w:right="-76" w:rightChars="-36"/>
                    <w:jc w:val="center"/>
                    <w:rPr>
                      <w:rFonts w:hint="eastAsia"/>
                      <w:color w:val="auto"/>
                      <w:sz w:val="18"/>
                      <w:szCs w:val="18"/>
                      <w:lang w:eastAsia="zh-CN"/>
                    </w:rPr>
                  </w:pPr>
                  <w:r>
                    <w:rPr>
                      <w:rFonts w:hint="eastAsia"/>
                      <w:color w:val="auto"/>
                      <w:sz w:val="18"/>
                      <w:szCs w:val="18"/>
                      <w:lang w:eastAsia="zh-CN"/>
                    </w:rPr>
                    <w:t>镗床</w:t>
                  </w:r>
                </w:p>
              </w:tc>
              <w:tc>
                <w:tcPr>
                  <w:tcW w:w="1644" w:type="dxa"/>
                  <w:noWrap w:val="0"/>
                  <w:vAlign w:val="center"/>
                </w:tcPr>
                <w:p w14:paraId="0C00C363">
                  <w:pPr>
                    <w:jc w:val="center"/>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5BE0266A">
                  <w:pPr>
                    <w:jc w:val="center"/>
                    <w:rPr>
                      <w:rFonts w:hint="default"/>
                      <w:color w:val="auto"/>
                      <w:sz w:val="18"/>
                      <w:szCs w:val="18"/>
                      <w:lang w:val="en-US" w:eastAsia="zh-CN"/>
                    </w:rPr>
                  </w:pPr>
                  <w:r>
                    <w:rPr>
                      <w:rFonts w:hint="eastAsia"/>
                      <w:color w:val="auto"/>
                      <w:sz w:val="18"/>
                      <w:szCs w:val="18"/>
                      <w:lang w:val="en-US" w:eastAsia="zh-CN"/>
                    </w:rPr>
                    <w:t>1</w:t>
                  </w:r>
                </w:p>
              </w:tc>
              <w:tc>
                <w:tcPr>
                  <w:tcW w:w="1562" w:type="dxa"/>
                  <w:noWrap w:val="0"/>
                  <w:vAlign w:val="center"/>
                </w:tcPr>
                <w:p w14:paraId="4AE109E3">
                  <w:pPr>
                    <w:jc w:val="center"/>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新增</w:t>
                  </w:r>
                </w:p>
              </w:tc>
            </w:tr>
            <w:tr w14:paraId="4E434B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14CC2C8">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73CF1E91">
                  <w:pPr>
                    <w:ind w:left="-88" w:leftChars="-42" w:right="-76" w:rightChars="-36"/>
                    <w:jc w:val="center"/>
                    <w:rPr>
                      <w:rFonts w:hint="eastAsia"/>
                      <w:color w:val="auto"/>
                      <w:sz w:val="18"/>
                      <w:szCs w:val="18"/>
                    </w:rPr>
                  </w:pPr>
                </w:p>
              </w:tc>
              <w:tc>
                <w:tcPr>
                  <w:tcW w:w="2126" w:type="dxa"/>
                  <w:noWrap w:val="0"/>
                  <w:vAlign w:val="center"/>
                </w:tcPr>
                <w:p w14:paraId="171C2B4E">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自动盘管机</w:t>
                  </w:r>
                </w:p>
              </w:tc>
              <w:tc>
                <w:tcPr>
                  <w:tcW w:w="1644" w:type="dxa"/>
                  <w:noWrap w:val="0"/>
                  <w:vAlign w:val="center"/>
                </w:tcPr>
                <w:p w14:paraId="0FB5FD7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36930ECF">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w:t>
                  </w:r>
                </w:p>
              </w:tc>
              <w:tc>
                <w:tcPr>
                  <w:tcW w:w="1562" w:type="dxa"/>
                  <w:noWrap w:val="0"/>
                  <w:vAlign w:val="center"/>
                </w:tcPr>
                <w:p w14:paraId="58A7DEC2">
                  <w:pPr>
                    <w:jc w:val="center"/>
                    <w:rPr>
                      <w:rFonts w:hint="eastAsia"/>
                      <w:sz w:val="18"/>
                      <w:szCs w:val="18"/>
                      <w:highlight w:val="none"/>
                      <w:lang w:eastAsia="zh-CN"/>
                    </w:rPr>
                  </w:pPr>
                  <w:r>
                    <w:rPr>
                      <w:rFonts w:hint="eastAsia" w:cs="Times New Roman"/>
                      <w:sz w:val="18"/>
                      <w:szCs w:val="18"/>
                      <w:highlight w:val="none"/>
                      <w:lang w:eastAsia="zh-CN"/>
                    </w:rPr>
                    <w:t>新增</w:t>
                  </w:r>
                </w:p>
              </w:tc>
            </w:tr>
            <w:tr w14:paraId="40126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5A47ED4">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7FC3B6C7">
                  <w:pPr>
                    <w:ind w:left="-88" w:leftChars="-42" w:right="-76" w:rightChars="-36"/>
                    <w:jc w:val="center"/>
                    <w:rPr>
                      <w:rFonts w:hint="eastAsia"/>
                      <w:color w:val="auto"/>
                      <w:sz w:val="18"/>
                      <w:szCs w:val="18"/>
                    </w:rPr>
                  </w:pPr>
                </w:p>
              </w:tc>
              <w:tc>
                <w:tcPr>
                  <w:tcW w:w="2126" w:type="dxa"/>
                  <w:noWrap w:val="0"/>
                  <w:vAlign w:val="center"/>
                </w:tcPr>
                <w:p w14:paraId="411EA7E2">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自动弯管机</w:t>
                  </w:r>
                </w:p>
              </w:tc>
              <w:tc>
                <w:tcPr>
                  <w:tcW w:w="1644" w:type="dxa"/>
                  <w:noWrap w:val="0"/>
                  <w:vAlign w:val="center"/>
                </w:tcPr>
                <w:p w14:paraId="44BE741C">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61560E39">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w:t>
                  </w:r>
                </w:p>
              </w:tc>
              <w:tc>
                <w:tcPr>
                  <w:tcW w:w="1562" w:type="dxa"/>
                  <w:noWrap w:val="0"/>
                  <w:vAlign w:val="center"/>
                </w:tcPr>
                <w:p w14:paraId="5CD4BF1A">
                  <w:pPr>
                    <w:jc w:val="center"/>
                    <w:rPr>
                      <w:rFonts w:hint="eastAsia"/>
                      <w:sz w:val="18"/>
                      <w:szCs w:val="18"/>
                      <w:highlight w:val="none"/>
                      <w:lang w:eastAsia="zh-CN"/>
                    </w:rPr>
                  </w:pPr>
                  <w:r>
                    <w:rPr>
                      <w:rFonts w:hint="eastAsia" w:cs="Times New Roman"/>
                      <w:sz w:val="18"/>
                      <w:szCs w:val="18"/>
                      <w:highlight w:val="none"/>
                      <w:lang w:eastAsia="zh-CN"/>
                    </w:rPr>
                    <w:t>新增</w:t>
                  </w:r>
                </w:p>
              </w:tc>
            </w:tr>
            <w:tr w14:paraId="77492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9793F31">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7F1F9E7A">
                  <w:pPr>
                    <w:ind w:left="-88" w:leftChars="-42" w:right="-76" w:rightChars="-36"/>
                    <w:jc w:val="center"/>
                    <w:rPr>
                      <w:rFonts w:hint="eastAsia"/>
                      <w:color w:val="auto"/>
                      <w:sz w:val="18"/>
                      <w:szCs w:val="18"/>
                    </w:rPr>
                  </w:pPr>
                </w:p>
              </w:tc>
              <w:tc>
                <w:tcPr>
                  <w:tcW w:w="2126" w:type="dxa"/>
                  <w:noWrap w:val="0"/>
                  <w:vAlign w:val="center"/>
                </w:tcPr>
                <w:p w14:paraId="5EC632D9">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五轴切管机</w:t>
                  </w:r>
                </w:p>
              </w:tc>
              <w:tc>
                <w:tcPr>
                  <w:tcW w:w="1644" w:type="dxa"/>
                  <w:noWrap w:val="0"/>
                  <w:vAlign w:val="center"/>
                </w:tcPr>
                <w:p w14:paraId="5973F694">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182BB24D">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115162C6">
                  <w:pPr>
                    <w:jc w:val="center"/>
                    <w:rPr>
                      <w:rFonts w:hint="eastAsia"/>
                      <w:sz w:val="18"/>
                      <w:szCs w:val="18"/>
                      <w:highlight w:val="none"/>
                      <w:lang w:eastAsia="zh-CN"/>
                    </w:rPr>
                  </w:pPr>
                  <w:r>
                    <w:rPr>
                      <w:rFonts w:hint="eastAsia" w:cs="Times New Roman"/>
                      <w:sz w:val="18"/>
                      <w:szCs w:val="18"/>
                      <w:highlight w:val="none"/>
                      <w:lang w:eastAsia="zh-CN"/>
                    </w:rPr>
                    <w:t>新增</w:t>
                  </w:r>
                </w:p>
              </w:tc>
            </w:tr>
            <w:tr w14:paraId="21512D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93CD8C9">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5975BC64">
                  <w:pPr>
                    <w:ind w:left="-88" w:leftChars="-42" w:right="-76" w:rightChars="-36"/>
                    <w:jc w:val="center"/>
                    <w:rPr>
                      <w:rFonts w:hint="eastAsia"/>
                      <w:color w:val="auto"/>
                      <w:sz w:val="18"/>
                      <w:szCs w:val="18"/>
                    </w:rPr>
                  </w:pPr>
                </w:p>
              </w:tc>
              <w:tc>
                <w:tcPr>
                  <w:tcW w:w="2126" w:type="dxa"/>
                  <w:noWrap w:val="0"/>
                  <w:vAlign w:val="center"/>
                </w:tcPr>
                <w:p w14:paraId="6C08DE5E">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玻璃钢筒体缠绕机</w:t>
                  </w:r>
                </w:p>
              </w:tc>
              <w:tc>
                <w:tcPr>
                  <w:tcW w:w="1644" w:type="dxa"/>
                  <w:noWrap w:val="0"/>
                  <w:vAlign w:val="center"/>
                </w:tcPr>
                <w:p w14:paraId="1C4A0878">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60FFDCC6">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4</w:t>
                  </w:r>
                </w:p>
              </w:tc>
              <w:tc>
                <w:tcPr>
                  <w:tcW w:w="1562" w:type="dxa"/>
                  <w:noWrap w:val="0"/>
                  <w:vAlign w:val="center"/>
                </w:tcPr>
                <w:p w14:paraId="01D556CB">
                  <w:pPr>
                    <w:jc w:val="center"/>
                    <w:rPr>
                      <w:rFonts w:hint="eastAsia"/>
                      <w:color w:val="auto"/>
                      <w:sz w:val="18"/>
                      <w:szCs w:val="18"/>
                      <w:highlight w:val="none"/>
                      <w:lang w:eastAsia="zh-CN"/>
                    </w:rPr>
                  </w:pPr>
                  <w:r>
                    <w:rPr>
                      <w:rFonts w:hint="eastAsia" w:cs="Times New Roman"/>
                      <w:color w:val="auto"/>
                      <w:sz w:val="18"/>
                      <w:szCs w:val="18"/>
                      <w:highlight w:val="none"/>
                      <w:lang w:eastAsia="zh-CN"/>
                    </w:rPr>
                    <w:t>新增</w:t>
                  </w:r>
                </w:p>
              </w:tc>
            </w:tr>
            <w:tr w14:paraId="19EC4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483C26E">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6C862C79">
                  <w:pPr>
                    <w:ind w:left="-88" w:leftChars="-42" w:right="-76" w:rightChars="-36"/>
                    <w:jc w:val="center"/>
                    <w:rPr>
                      <w:rFonts w:hint="eastAsia"/>
                      <w:color w:val="auto"/>
                      <w:sz w:val="18"/>
                      <w:szCs w:val="18"/>
                    </w:rPr>
                  </w:pPr>
                </w:p>
              </w:tc>
              <w:tc>
                <w:tcPr>
                  <w:tcW w:w="2126" w:type="dxa"/>
                  <w:noWrap w:val="0"/>
                  <w:vAlign w:val="center"/>
                </w:tcPr>
                <w:p w14:paraId="58F82EFE">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PPH缠绕一体化成型机</w:t>
                  </w:r>
                </w:p>
              </w:tc>
              <w:tc>
                <w:tcPr>
                  <w:tcW w:w="1644" w:type="dxa"/>
                  <w:noWrap w:val="0"/>
                  <w:vAlign w:val="center"/>
                </w:tcPr>
                <w:p w14:paraId="4D9F9040">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77B33C49">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w:t>
                  </w:r>
                </w:p>
              </w:tc>
              <w:tc>
                <w:tcPr>
                  <w:tcW w:w="1562" w:type="dxa"/>
                  <w:noWrap w:val="0"/>
                  <w:vAlign w:val="center"/>
                </w:tcPr>
                <w:p w14:paraId="6CE686DD">
                  <w:pPr>
                    <w:jc w:val="center"/>
                    <w:rPr>
                      <w:rFonts w:hint="eastAsia"/>
                      <w:color w:val="auto"/>
                      <w:sz w:val="18"/>
                      <w:szCs w:val="18"/>
                      <w:highlight w:val="none"/>
                      <w:lang w:eastAsia="zh-CN"/>
                    </w:rPr>
                  </w:pPr>
                  <w:r>
                    <w:rPr>
                      <w:rFonts w:hint="eastAsia" w:cs="Times New Roman"/>
                      <w:color w:val="auto"/>
                      <w:sz w:val="18"/>
                      <w:szCs w:val="18"/>
                      <w:highlight w:val="none"/>
                      <w:lang w:eastAsia="zh-CN"/>
                    </w:rPr>
                    <w:t>新增</w:t>
                  </w:r>
                </w:p>
              </w:tc>
            </w:tr>
            <w:tr w14:paraId="5D9CEF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68A5209">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094BC4F7">
                  <w:pPr>
                    <w:ind w:left="-88" w:leftChars="-42" w:right="-76" w:rightChars="-36"/>
                    <w:jc w:val="center"/>
                    <w:rPr>
                      <w:rFonts w:hint="eastAsia"/>
                      <w:color w:val="auto"/>
                      <w:sz w:val="18"/>
                      <w:szCs w:val="18"/>
                    </w:rPr>
                  </w:pPr>
                </w:p>
              </w:tc>
              <w:tc>
                <w:tcPr>
                  <w:tcW w:w="2126" w:type="dxa"/>
                  <w:noWrap w:val="0"/>
                  <w:vAlign w:val="center"/>
                </w:tcPr>
                <w:p w14:paraId="4AB68963">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卧式动平衡机</w:t>
                  </w:r>
                </w:p>
              </w:tc>
              <w:tc>
                <w:tcPr>
                  <w:tcW w:w="1644" w:type="dxa"/>
                  <w:noWrap w:val="0"/>
                  <w:vAlign w:val="center"/>
                </w:tcPr>
                <w:p w14:paraId="262522C7">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YYQ-160A</w:t>
                  </w:r>
                </w:p>
              </w:tc>
              <w:tc>
                <w:tcPr>
                  <w:tcW w:w="1091" w:type="dxa"/>
                  <w:noWrap w:val="0"/>
                  <w:vAlign w:val="center"/>
                </w:tcPr>
                <w:p w14:paraId="4AB920E2">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2</w:t>
                  </w:r>
                </w:p>
              </w:tc>
              <w:tc>
                <w:tcPr>
                  <w:tcW w:w="1562" w:type="dxa"/>
                  <w:noWrap w:val="0"/>
                  <w:vAlign w:val="center"/>
                </w:tcPr>
                <w:p w14:paraId="599C26C0">
                  <w:pPr>
                    <w:jc w:val="center"/>
                    <w:rPr>
                      <w:rFonts w:hint="eastAsia"/>
                      <w:color w:val="auto"/>
                      <w:sz w:val="18"/>
                      <w:szCs w:val="18"/>
                      <w:highlight w:val="none"/>
                      <w:lang w:eastAsia="zh-CN"/>
                    </w:rPr>
                  </w:pPr>
                  <w:r>
                    <w:rPr>
                      <w:rFonts w:hint="eastAsia" w:cs="Times New Roman"/>
                      <w:color w:val="auto"/>
                      <w:sz w:val="18"/>
                      <w:szCs w:val="18"/>
                      <w:highlight w:val="none"/>
                      <w:lang w:eastAsia="zh-CN"/>
                    </w:rPr>
                    <w:t>新增</w:t>
                  </w:r>
                </w:p>
              </w:tc>
            </w:tr>
            <w:tr w14:paraId="41820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9F44676">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287B27E4">
                  <w:pPr>
                    <w:ind w:left="-88" w:leftChars="-42" w:right="-76" w:rightChars="-36"/>
                    <w:jc w:val="center"/>
                    <w:rPr>
                      <w:rFonts w:hint="eastAsia"/>
                      <w:color w:val="auto"/>
                      <w:sz w:val="18"/>
                      <w:szCs w:val="18"/>
                      <w:lang w:eastAsia="zh-CN"/>
                    </w:rPr>
                  </w:pPr>
                </w:p>
              </w:tc>
              <w:tc>
                <w:tcPr>
                  <w:tcW w:w="2126" w:type="dxa"/>
                  <w:noWrap w:val="0"/>
                  <w:vAlign w:val="center"/>
                </w:tcPr>
                <w:p w14:paraId="64DF8088">
                  <w:pPr>
                    <w:ind w:left="-88" w:leftChars="-42" w:right="-76" w:rightChars="-36"/>
                    <w:jc w:val="center"/>
                    <w:rPr>
                      <w:rFonts w:hint="eastAsia" w:eastAsia="宋体"/>
                      <w:color w:val="auto"/>
                      <w:sz w:val="18"/>
                      <w:szCs w:val="18"/>
                      <w:lang w:eastAsia="zh-CN"/>
                    </w:rPr>
                  </w:pPr>
                  <w:r>
                    <w:rPr>
                      <w:rFonts w:hint="eastAsia"/>
                      <w:color w:val="auto"/>
                      <w:sz w:val="18"/>
                      <w:szCs w:val="18"/>
                      <w:lang w:eastAsia="zh-CN"/>
                    </w:rPr>
                    <w:t>湿式喷砂机</w:t>
                  </w:r>
                </w:p>
              </w:tc>
              <w:tc>
                <w:tcPr>
                  <w:tcW w:w="1644" w:type="dxa"/>
                  <w:noWrap w:val="0"/>
                  <w:vAlign w:val="center"/>
                </w:tcPr>
                <w:p w14:paraId="25679890">
                  <w:pPr>
                    <w:jc w:val="center"/>
                    <w:rPr>
                      <w:rFonts w:hint="eastAsia" w:eastAsia="宋体"/>
                      <w:color w:val="auto"/>
                      <w:sz w:val="18"/>
                      <w:szCs w:val="18"/>
                      <w:lang w:eastAsia="zh-CN"/>
                    </w:rPr>
                  </w:pPr>
                  <w:r>
                    <w:rPr>
                      <w:rFonts w:hint="eastAsia"/>
                      <w:color w:val="auto"/>
                      <w:sz w:val="18"/>
                      <w:szCs w:val="18"/>
                      <w:lang w:eastAsia="zh-CN"/>
                    </w:rPr>
                    <w:t>－</w:t>
                  </w:r>
                </w:p>
              </w:tc>
              <w:tc>
                <w:tcPr>
                  <w:tcW w:w="1091" w:type="dxa"/>
                  <w:noWrap w:val="0"/>
                  <w:vAlign w:val="center"/>
                </w:tcPr>
                <w:p w14:paraId="718318DE">
                  <w:pPr>
                    <w:jc w:val="center"/>
                    <w:rPr>
                      <w:rFonts w:hint="default"/>
                      <w:color w:val="auto"/>
                      <w:sz w:val="18"/>
                      <w:szCs w:val="18"/>
                      <w:lang w:val="en-US" w:eastAsia="zh-CN"/>
                    </w:rPr>
                  </w:pPr>
                  <w:r>
                    <w:rPr>
                      <w:rFonts w:hint="eastAsia"/>
                      <w:color w:val="auto"/>
                      <w:sz w:val="18"/>
                      <w:szCs w:val="18"/>
                      <w:lang w:val="en-US" w:eastAsia="zh-CN"/>
                    </w:rPr>
                    <w:t>2</w:t>
                  </w:r>
                </w:p>
              </w:tc>
              <w:tc>
                <w:tcPr>
                  <w:tcW w:w="1562" w:type="dxa"/>
                  <w:noWrap w:val="0"/>
                  <w:vAlign w:val="center"/>
                </w:tcPr>
                <w:p w14:paraId="4C6F59D3">
                  <w:pPr>
                    <w:jc w:val="center"/>
                    <w:rPr>
                      <w:rFonts w:hint="eastAsia" w:eastAsia="宋体" w:cs="Times New Roman"/>
                      <w:color w:val="auto"/>
                      <w:sz w:val="18"/>
                      <w:szCs w:val="18"/>
                      <w:highlight w:val="none"/>
                      <w:lang w:eastAsia="zh-CN"/>
                    </w:rPr>
                  </w:pPr>
                  <w:r>
                    <w:rPr>
                      <w:rFonts w:hint="eastAsia" w:cs="Times New Roman"/>
                      <w:color w:val="auto"/>
                      <w:sz w:val="18"/>
                      <w:szCs w:val="18"/>
                      <w:highlight w:val="none"/>
                      <w:lang w:eastAsia="zh-CN"/>
                    </w:rPr>
                    <w:t>新增</w:t>
                  </w:r>
                </w:p>
              </w:tc>
            </w:tr>
            <w:tr w14:paraId="7EAE6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940EEC8">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2F1E8FC2">
                  <w:pPr>
                    <w:ind w:left="-88" w:leftChars="-42" w:right="-76" w:rightChars="-36"/>
                    <w:jc w:val="center"/>
                    <w:rPr>
                      <w:rFonts w:hint="eastAsia"/>
                      <w:color w:val="auto"/>
                      <w:sz w:val="18"/>
                      <w:szCs w:val="18"/>
                    </w:rPr>
                  </w:pPr>
                </w:p>
              </w:tc>
              <w:tc>
                <w:tcPr>
                  <w:tcW w:w="2126" w:type="dxa"/>
                  <w:noWrap w:val="0"/>
                  <w:vAlign w:val="center"/>
                </w:tcPr>
                <w:p w14:paraId="7B909133">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水泵试验中心</w:t>
                  </w:r>
                </w:p>
              </w:tc>
              <w:tc>
                <w:tcPr>
                  <w:tcW w:w="1644" w:type="dxa"/>
                  <w:noWrap w:val="0"/>
                  <w:vAlign w:val="center"/>
                </w:tcPr>
                <w:p w14:paraId="62650B20">
                  <w:pPr>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46863BB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29042790">
                  <w:pPr>
                    <w:jc w:val="center"/>
                    <w:rPr>
                      <w:rFonts w:hint="eastAsia"/>
                      <w:sz w:val="18"/>
                      <w:szCs w:val="18"/>
                      <w:highlight w:val="none"/>
                      <w:lang w:eastAsia="zh-CN"/>
                    </w:rPr>
                  </w:pPr>
                  <w:r>
                    <w:rPr>
                      <w:rFonts w:hint="eastAsia" w:cs="Times New Roman"/>
                      <w:sz w:val="18"/>
                      <w:szCs w:val="18"/>
                      <w:highlight w:val="none"/>
                      <w:lang w:eastAsia="zh-CN"/>
                    </w:rPr>
                    <w:t>新增</w:t>
                  </w:r>
                </w:p>
              </w:tc>
            </w:tr>
            <w:tr w14:paraId="57CA29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5D4FD29">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61D6EA45">
                  <w:pPr>
                    <w:ind w:left="-88" w:leftChars="-42" w:right="-76" w:rightChars="-36"/>
                    <w:jc w:val="center"/>
                    <w:rPr>
                      <w:rFonts w:hint="eastAsia"/>
                      <w:color w:val="auto"/>
                      <w:sz w:val="18"/>
                      <w:szCs w:val="18"/>
                    </w:rPr>
                  </w:pPr>
                </w:p>
              </w:tc>
              <w:tc>
                <w:tcPr>
                  <w:tcW w:w="2126" w:type="dxa"/>
                  <w:noWrap w:val="0"/>
                  <w:vAlign w:val="center"/>
                </w:tcPr>
                <w:p w14:paraId="62864819">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交流耐压测试仪</w:t>
                  </w:r>
                </w:p>
              </w:tc>
              <w:tc>
                <w:tcPr>
                  <w:tcW w:w="1644" w:type="dxa"/>
                  <w:noWrap w:val="0"/>
                  <w:vAlign w:val="center"/>
                </w:tcPr>
                <w:p w14:paraId="790A2834">
                  <w:pPr>
                    <w:ind w:left="-88" w:leftChars="-42" w:right="-76" w:rightChars="-36"/>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77567DBF">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w:t>
                  </w:r>
                </w:p>
              </w:tc>
              <w:tc>
                <w:tcPr>
                  <w:tcW w:w="1562" w:type="dxa"/>
                  <w:noWrap w:val="0"/>
                  <w:vAlign w:val="center"/>
                </w:tcPr>
                <w:p w14:paraId="3EEE91A9">
                  <w:pPr>
                    <w:jc w:val="center"/>
                    <w:rPr>
                      <w:rFonts w:hint="eastAsia"/>
                      <w:sz w:val="18"/>
                      <w:szCs w:val="18"/>
                      <w:highlight w:val="none"/>
                      <w:lang w:eastAsia="zh-CN"/>
                    </w:rPr>
                  </w:pPr>
                  <w:r>
                    <w:rPr>
                      <w:rFonts w:hint="eastAsia" w:cs="Times New Roman"/>
                      <w:sz w:val="18"/>
                      <w:szCs w:val="18"/>
                      <w:highlight w:val="none"/>
                      <w:lang w:eastAsia="zh-CN"/>
                    </w:rPr>
                    <w:t>新增</w:t>
                  </w:r>
                </w:p>
              </w:tc>
            </w:tr>
            <w:tr w14:paraId="1CC2A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F49D91C">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7498E150">
                  <w:pPr>
                    <w:ind w:left="-88" w:leftChars="-42" w:right="-76" w:rightChars="-36"/>
                    <w:jc w:val="center"/>
                    <w:rPr>
                      <w:rFonts w:hint="eastAsia"/>
                      <w:color w:val="auto"/>
                      <w:sz w:val="18"/>
                      <w:szCs w:val="18"/>
                    </w:rPr>
                  </w:pPr>
                </w:p>
              </w:tc>
              <w:tc>
                <w:tcPr>
                  <w:tcW w:w="2126" w:type="dxa"/>
                  <w:noWrap w:val="0"/>
                  <w:vAlign w:val="center"/>
                </w:tcPr>
                <w:p w14:paraId="27B0F1D7">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接地电阻测试仪</w:t>
                  </w:r>
                </w:p>
              </w:tc>
              <w:tc>
                <w:tcPr>
                  <w:tcW w:w="1644" w:type="dxa"/>
                  <w:noWrap w:val="0"/>
                  <w:vAlign w:val="center"/>
                </w:tcPr>
                <w:p w14:paraId="1593935E">
                  <w:pPr>
                    <w:ind w:left="-88" w:leftChars="-42" w:right="-76" w:rightChars="-36"/>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noWrap w:val="0"/>
                  <w:vAlign w:val="center"/>
                </w:tcPr>
                <w:p w14:paraId="55AC94C7">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w:t>
                  </w:r>
                </w:p>
              </w:tc>
              <w:tc>
                <w:tcPr>
                  <w:tcW w:w="1562" w:type="dxa"/>
                  <w:noWrap w:val="0"/>
                  <w:vAlign w:val="center"/>
                </w:tcPr>
                <w:p w14:paraId="020FE089">
                  <w:pPr>
                    <w:jc w:val="center"/>
                    <w:rPr>
                      <w:rFonts w:hint="eastAsia"/>
                      <w:sz w:val="18"/>
                      <w:szCs w:val="18"/>
                      <w:highlight w:val="none"/>
                      <w:lang w:eastAsia="zh-CN"/>
                    </w:rPr>
                  </w:pPr>
                  <w:r>
                    <w:rPr>
                      <w:rFonts w:hint="eastAsia" w:cs="Times New Roman"/>
                      <w:sz w:val="18"/>
                      <w:szCs w:val="18"/>
                      <w:highlight w:val="none"/>
                      <w:lang w:eastAsia="zh-CN"/>
                    </w:rPr>
                    <w:t>新增</w:t>
                  </w:r>
                </w:p>
              </w:tc>
            </w:tr>
            <w:tr w14:paraId="2182E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7736D66">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5E8E50A2">
                  <w:pPr>
                    <w:ind w:left="-88" w:leftChars="-42" w:right="-76" w:rightChars="-36"/>
                    <w:jc w:val="center"/>
                    <w:rPr>
                      <w:rFonts w:hint="eastAsia"/>
                      <w:color w:val="auto"/>
                      <w:sz w:val="18"/>
                      <w:szCs w:val="18"/>
                    </w:rPr>
                  </w:pPr>
                </w:p>
              </w:tc>
              <w:tc>
                <w:tcPr>
                  <w:tcW w:w="2126" w:type="dxa"/>
                  <w:noWrap w:val="0"/>
                  <w:vAlign w:val="center"/>
                </w:tcPr>
                <w:p w14:paraId="77F4F895">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阻性负载箱</w:t>
                  </w:r>
                </w:p>
              </w:tc>
              <w:tc>
                <w:tcPr>
                  <w:tcW w:w="1644" w:type="dxa"/>
                  <w:noWrap w:val="0"/>
                  <w:vAlign w:val="center"/>
                </w:tcPr>
                <w:p w14:paraId="1DA95F8E">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50kw</w:t>
                  </w:r>
                </w:p>
              </w:tc>
              <w:tc>
                <w:tcPr>
                  <w:tcW w:w="1091" w:type="dxa"/>
                  <w:noWrap w:val="0"/>
                  <w:vAlign w:val="center"/>
                </w:tcPr>
                <w:p w14:paraId="15348109">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2801BEA4">
                  <w:pPr>
                    <w:jc w:val="center"/>
                    <w:rPr>
                      <w:rFonts w:hint="eastAsia"/>
                      <w:sz w:val="18"/>
                      <w:szCs w:val="18"/>
                      <w:highlight w:val="none"/>
                      <w:lang w:eastAsia="zh-CN"/>
                    </w:rPr>
                  </w:pPr>
                  <w:r>
                    <w:rPr>
                      <w:rFonts w:hint="eastAsia" w:cs="Times New Roman"/>
                      <w:sz w:val="18"/>
                      <w:szCs w:val="18"/>
                      <w:highlight w:val="none"/>
                      <w:lang w:eastAsia="zh-CN"/>
                    </w:rPr>
                    <w:t>新增</w:t>
                  </w:r>
                </w:p>
              </w:tc>
            </w:tr>
            <w:tr w14:paraId="620B3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0097580">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7AAE8715">
                  <w:pPr>
                    <w:ind w:left="-88" w:leftChars="-42" w:right="-76" w:rightChars="-36"/>
                    <w:jc w:val="center"/>
                    <w:rPr>
                      <w:rFonts w:hint="eastAsia"/>
                      <w:color w:val="auto"/>
                      <w:sz w:val="18"/>
                      <w:szCs w:val="18"/>
                    </w:rPr>
                  </w:pPr>
                </w:p>
              </w:tc>
              <w:tc>
                <w:tcPr>
                  <w:tcW w:w="2126" w:type="dxa"/>
                  <w:noWrap w:val="0"/>
                  <w:vAlign w:val="center"/>
                </w:tcPr>
                <w:p w14:paraId="511858BA">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阻性负载箱</w:t>
                  </w:r>
                </w:p>
              </w:tc>
              <w:tc>
                <w:tcPr>
                  <w:tcW w:w="1644" w:type="dxa"/>
                  <w:noWrap w:val="0"/>
                  <w:vAlign w:val="center"/>
                </w:tcPr>
                <w:p w14:paraId="67C4C03A">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315kw</w:t>
                  </w:r>
                </w:p>
              </w:tc>
              <w:tc>
                <w:tcPr>
                  <w:tcW w:w="1091" w:type="dxa"/>
                  <w:noWrap w:val="0"/>
                  <w:vAlign w:val="center"/>
                </w:tcPr>
                <w:p w14:paraId="2A997C08">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4C73311D">
                  <w:pPr>
                    <w:jc w:val="center"/>
                    <w:rPr>
                      <w:rFonts w:hint="eastAsia"/>
                      <w:sz w:val="18"/>
                      <w:szCs w:val="18"/>
                      <w:highlight w:val="none"/>
                      <w:lang w:eastAsia="zh-CN"/>
                    </w:rPr>
                  </w:pPr>
                  <w:r>
                    <w:rPr>
                      <w:rFonts w:hint="eastAsia" w:cs="Times New Roman"/>
                      <w:sz w:val="18"/>
                      <w:szCs w:val="18"/>
                      <w:highlight w:val="none"/>
                      <w:lang w:eastAsia="zh-CN"/>
                    </w:rPr>
                    <w:t>新增</w:t>
                  </w:r>
                </w:p>
              </w:tc>
            </w:tr>
            <w:tr w14:paraId="7BE02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A0363CC">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53A7EB8E">
                  <w:pPr>
                    <w:ind w:left="-88" w:leftChars="-42" w:right="-76" w:rightChars="-36"/>
                    <w:jc w:val="center"/>
                    <w:rPr>
                      <w:rFonts w:hint="eastAsia"/>
                      <w:color w:val="auto"/>
                      <w:sz w:val="18"/>
                      <w:szCs w:val="18"/>
                    </w:rPr>
                  </w:pPr>
                </w:p>
              </w:tc>
              <w:tc>
                <w:tcPr>
                  <w:tcW w:w="2126" w:type="dxa"/>
                  <w:noWrap w:val="0"/>
                  <w:vAlign w:val="center"/>
                </w:tcPr>
                <w:p w14:paraId="3D00D7E2">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交流调压器</w:t>
                  </w:r>
                </w:p>
              </w:tc>
              <w:tc>
                <w:tcPr>
                  <w:tcW w:w="1644" w:type="dxa"/>
                  <w:noWrap w:val="0"/>
                  <w:vAlign w:val="center"/>
                </w:tcPr>
                <w:p w14:paraId="47EDFBE0">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0-430V</w:t>
                  </w:r>
                </w:p>
              </w:tc>
              <w:tc>
                <w:tcPr>
                  <w:tcW w:w="1091" w:type="dxa"/>
                  <w:noWrap w:val="0"/>
                  <w:vAlign w:val="center"/>
                </w:tcPr>
                <w:p w14:paraId="313E9C6B">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4EB49B1C">
                  <w:pPr>
                    <w:jc w:val="center"/>
                    <w:rPr>
                      <w:rFonts w:hint="eastAsia"/>
                      <w:sz w:val="18"/>
                      <w:szCs w:val="18"/>
                      <w:highlight w:val="none"/>
                      <w:lang w:eastAsia="zh-CN"/>
                    </w:rPr>
                  </w:pPr>
                  <w:r>
                    <w:rPr>
                      <w:rFonts w:hint="eastAsia" w:cs="Times New Roman"/>
                      <w:sz w:val="18"/>
                      <w:szCs w:val="18"/>
                      <w:highlight w:val="none"/>
                      <w:lang w:eastAsia="zh-CN"/>
                    </w:rPr>
                    <w:t>新增</w:t>
                  </w:r>
                </w:p>
              </w:tc>
            </w:tr>
            <w:tr w14:paraId="1D380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4294349">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07AC2522">
                  <w:pPr>
                    <w:ind w:left="-88" w:leftChars="-42" w:right="-76" w:rightChars="-36"/>
                    <w:jc w:val="center"/>
                    <w:rPr>
                      <w:rFonts w:hint="eastAsia"/>
                      <w:color w:val="auto"/>
                      <w:sz w:val="18"/>
                      <w:szCs w:val="18"/>
                    </w:rPr>
                  </w:pPr>
                </w:p>
              </w:tc>
              <w:tc>
                <w:tcPr>
                  <w:tcW w:w="2126" w:type="dxa"/>
                  <w:noWrap w:val="0"/>
                  <w:vAlign w:val="center"/>
                </w:tcPr>
                <w:p w14:paraId="0991BD85">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积分球</w:t>
                  </w:r>
                </w:p>
              </w:tc>
              <w:tc>
                <w:tcPr>
                  <w:tcW w:w="1644" w:type="dxa"/>
                  <w:noWrap w:val="0"/>
                  <w:vAlign w:val="center"/>
                </w:tcPr>
                <w:p w14:paraId="603A1DDC">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1.5 米</w:t>
                  </w:r>
                </w:p>
              </w:tc>
              <w:tc>
                <w:tcPr>
                  <w:tcW w:w="1091" w:type="dxa"/>
                  <w:noWrap w:val="0"/>
                  <w:vAlign w:val="center"/>
                </w:tcPr>
                <w:p w14:paraId="2A69A74A">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6695E78B">
                  <w:pPr>
                    <w:jc w:val="center"/>
                    <w:rPr>
                      <w:rFonts w:hint="eastAsia"/>
                      <w:sz w:val="18"/>
                      <w:szCs w:val="18"/>
                      <w:highlight w:val="none"/>
                      <w:lang w:eastAsia="zh-CN"/>
                    </w:rPr>
                  </w:pPr>
                  <w:r>
                    <w:rPr>
                      <w:rFonts w:hint="eastAsia" w:cs="Times New Roman"/>
                      <w:sz w:val="18"/>
                      <w:szCs w:val="18"/>
                      <w:highlight w:val="none"/>
                      <w:lang w:eastAsia="zh-CN"/>
                    </w:rPr>
                    <w:t>新增</w:t>
                  </w:r>
                </w:p>
              </w:tc>
            </w:tr>
            <w:tr w14:paraId="5EE29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833B536">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53C4D31B">
                  <w:pPr>
                    <w:ind w:left="-88" w:leftChars="-42" w:right="-76" w:rightChars="-36"/>
                    <w:jc w:val="center"/>
                    <w:rPr>
                      <w:rFonts w:hint="eastAsia"/>
                      <w:color w:val="auto"/>
                      <w:sz w:val="18"/>
                      <w:szCs w:val="18"/>
                    </w:rPr>
                  </w:pPr>
                </w:p>
              </w:tc>
              <w:tc>
                <w:tcPr>
                  <w:tcW w:w="2126" w:type="dxa"/>
                  <w:noWrap w:val="0"/>
                  <w:vAlign w:val="center"/>
                </w:tcPr>
                <w:p w14:paraId="17A5B0E9">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LED 光电性能分析仪</w:t>
                  </w:r>
                </w:p>
              </w:tc>
              <w:tc>
                <w:tcPr>
                  <w:tcW w:w="1644" w:type="dxa"/>
                  <w:noWrap w:val="0"/>
                  <w:vAlign w:val="center"/>
                </w:tcPr>
                <w:p w14:paraId="14C7FED4">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HP821</w:t>
                  </w:r>
                </w:p>
              </w:tc>
              <w:tc>
                <w:tcPr>
                  <w:tcW w:w="1091" w:type="dxa"/>
                  <w:noWrap w:val="0"/>
                  <w:vAlign w:val="center"/>
                </w:tcPr>
                <w:p w14:paraId="36FFD1BA">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088EFB95">
                  <w:pPr>
                    <w:jc w:val="center"/>
                    <w:rPr>
                      <w:rFonts w:hint="eastAsia"/>
                      <w:sz w:val="18"/>
                      <w:szCs w:val="18"/>
                      <w:highlight w:val="none"/>
                      <w:lang w:eastAsia="zh-CN"/>
                    </w:rPr>
                  </w:pPr>
                  <w:r>
                    <w:rPr>
                      <w:rFonts w:hint="eastAsia" w:cs="Times New Roman"/>
                      <w:sz w:val="18"/>
                      <w:szCs w:val="18"/>
                      <w:highlight w:val="none"/>
                      <w:lang w:eastAsia="zh-CN"/>
                    </w:rPr>
                    <w:t>新增</w:t>
                  </w:r>
                </w:p>
              </w:tc>
            </w:tr>
            <w:tr w14:paraId="3234E0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7531C4B">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3A228889">
                  <w:pPr>
                    <w:ind w:left="-88" w:leftChars="-42" w:right="-76" w:rightChars="-36"/>
                    <w:jc w:val="center"/>
                    <w:rPr>
                      <w:rFonts w:hint="eastAsia"/>
                      <w:color w:val="auto"/>
                      <w:sz w:val="18"/>
                      <w:szCs w:val="18"/>
                    </w:rPr>
                  </w:pPr>
                </w:p>
              </w:tc>
              <w:tc>
                <w:tcPr>
                  <w:tcW w:w="2126" w:type="dxa"/>
                  <w:noWrap w:val="0"/>
                  <w:vAlign w:val="center"/>
                </w:tcPr>
                <w:p w14:paraId="31BFB398">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DC24V/36V 1.4KW 负载箱</w:t>
                  </w:r>
                </w:p>
              </w:tc>
              <w:tc>
                <w:tcPr>
                  <w:tcW w:w="1644" w:type="dxa"/>
                  <w:noWrap w:val="0"/>
                  <w:vAlign w:val="center"/>
                </w:tcPr>
                <w:p w14:paraId="46CDCEF7">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XH-II</w:t>
                  </w:r>
                </w:p>
              </w:tc>
              <w:tc>
                <w:tcPr>
                  <w:tcW w:w="1091" w:type="dxa"/>
                  <w:noWrap w:val="0"/>
                  <w:vAlign w:val="center"/>
                </w:tcPr>
                <w:p w14:paraId="66F6EA0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7F486CC8">
                  <w:pPr>
                    <w:jc w:val="center"/>
                    <w:rPr>
                      <w:rFonts w:hint="eastAsia"/>
                      <w:sz w:val="18"/>
                      <w:szCs w:val="18"/>
                      <w:highlight w:val="none"/>
                      <w:lang w:eastAsia="zh-CN"/>
                    </w:rPr>
                  </w:pPr>
                  <w:r>
                    <w:rPr>
                      <w:rFonts w:hint="eastAsia" w:cs="Times New Roman"/>
                      <w:sz w:val="18"/>
                      <w:szCs w:val="18"/>
                      <w:highlight w:val="none"/>
                      <w:lang w:eastAsia="zh-CN"/>
                    </w:rPr>
                    <w:t>新增</w:t>
                  </w:r>
                </w:p>
              </w:tc>
            </w:tr>
            <w:tr w14:paraId="438C10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79134D64">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17057324">
                  <w:pPr>
                    <w:ind w:left="-88" w:leftChars="-42" w:right="-76" w:rightChars="-36"/>
                    <w:jc w:val="center"/>
                    <w:rPr>
                      <w:rFonts w:hint="eastAsia"/>
                      <w:color w:val="auto"/>
                      <w:sz w:val="18"/>
                      <w:szCs w:val="18"/>
                    </w:rPr>
                  </w:pPr>
                </w:p>
              </w:tc>
              <w:tc>
                <w:tcPr>
                  <w:tcW w:w="2126" w:type="dxa"/>
                  <w:noWrap w:val="0"/>
                  <w:vAlign w:val="center"/>
                </w:tcPr>
                <w:p w14:paraId="7179BD99">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高低温湿热箱</w:t>
                  </w:r>
                </w:p>
              </w:tc>
              <w:tc>
                <w:tcPr>
                  <w:tcW w:w="1644" w:type="dxa"/>
                  <w:noWrap w:val="0"/>
                  <w:vAlign w:val="center"/>
                </w:tcPr>
                <w:p w14:paraId="7C8B9602">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w:t>
                  </w:r>
                </w:p>
              </w:tc>
              <w:tc>
                <w:tcPr>
                  <w:tcW w:w="1091" w:type="dxa"/>
                  <w:noWrap w:val="0"/>
                  <w:vAlign w:val="center"/>
                </w:tcPr>
                <w:p w14:paraId="54DA7C05">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1562" w:type="dxa"/>
                  <w:noWrap w:val="0"/>
                  <w:vAlign w:val="center"/>
                </w:tcPr>
                <w:p w14:paraId="1D23FDCC">
                  <w:pPr>
                    <w:jc w:val="center"/>
                    <w:rPr>
                      <w:rFonts w:hint="eastAsia"/>
                      <w:color w:val="auto"/>
                      <w:sz w:val="18"/>
                      <w:szCs w:val="18"/>
                      <w:highlight w:val="none"/>
                      <w:lang w:eastAsia="zh-CN"/>
                    </w:rPr>
                  </w:pPr>
                  <w:r>
                    <w:rPr>
                      <w:rFonts w:hint="eastAsia" w:cs="Times New Roman"/>
                      <w:color w:val="auto"/>
                      <w:sz w:val="18"/>
                      <w:szCs w:val="18"/>
                      <w:highlight w:val="none"/>
                      <w:lang w:eastAsia="zh-CN"/>
                    </w:rPr>
                    <w:t>新增</w:t>
                  </w:r>
                </w:p>
              </w:tc>
            </w:tr>
            <w:tr w14:paraId="5919FA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4B590BA">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704AE270">
                  <w:pPr>
                    <w:jc w:val="center"/>
                    <w:rPr>
                      <w:rFonts w:hint="eastAsia" w:cs="Times New Roman"/>
                      <w:sz w:val="18"/>
                      <w:szCs w:val="18"/>
                      <w:highlight w:val="none"/>
                      <w:lang w:val="en-US" w:eastAsia="zh-CN"/>
                    </w:rPr>
                  </w:pPr>
                </w:p>
              </w:tc>
              <w:tc>
                <w:tcPr>
                  <w:tcW w:w="2126" w:type="dxa"/>
                  <w:noWrap w:val="0"/>
                  <w:vAlign w:val="center"/>
                </w:tcPr>
                <w:p w14:paraId="6F8A350D">
                  <w:pPr>
                    <w:jc w:val="center"/>
                    <w:rPr>
                      <w:rFonts w:hint="eastAsia" w:cs="Times New Roman"/>
                      <w:sz w:val="18"/>
                      <w:szCs w:val="18"/>
                      <w:highlight w:val="none"/>
                      <w:lang w:val="en-US" w:eastAsia="zh-CN"/>
                    </w:rPr>
                  </w:pPr>
                  <w:r>
                    <w:rPr>
                      <w:rFonts w:hint="eastAsia" w:cs="Times New Roman"/>
                      <w:sz w:val="18"/>
                      <w:szCs w:val="18"/>
                      <w:highlight w:val="none"/>
                      <w:lang w:val="en-US" w:eastAsia="zh-CN"/>
                    </w:rPr>
                    <w:t>手持式切割机</w:t>
                  </w:r>
                </w:p>
              </w:tc>
              <w:tc>
                <w:tcPr>
                  <w:tcW w:w="1644" w:type="dxa"/>
                  <w:noWrap w:val="0"/>
                  <w:vAlign w:val="center"/>
                </w:tcPr>
                <w:p w14:paraId="07481C6B">
                  <w:pPr>
                    <w:jc w:val="center"/>
                    <w:rPr>
                      <w:rFonts w:hint="default" w:cs="Times New Roman"/>
                      <w:sz w:val="18"/>
                      <w:szCs w:val="18"/>
                      <w:highlight w:val="none"/>
                      <w:lang w:val="en-US" w:eastAsia="zh-CN"/>
                    </w:rPr>
                  </w:pPr>
                  <w:r>
                    <w:rPr>
                      <w:rFonts w:hint="eastAsia" w:cs="Times New Roman"/>
                      <w:sz w:val="18"/>
                      <w:szCs w:val="18"/>
                      <w:highlight w:val="none"/>
                      <w:lang w:val="en-US" w:eastAsia="zh-CN"/>
                    </w:rPr>
                    <w:t>--</w:t>
                  </w:r>
                </w:p>
              </w:tc>
              <w:tc>
                <w:tcPr>
                  <w:tcW w:w="1091" w:type="dxa"/>
                  <w:noWrap w:val="0"/>
                  <w:vAlign w:val="center"/>
                </w:tcPr>
                <w:p w14:paraId="69839E1F">
                  <w:pPr>
                    <w:jc w:val="center"/>
                    <w:rPr>
                      <w:rFonts w:hint="default" w:cs="Times New Roman"/>
                      <w:sz w:val="18"/>
                      <w:szCs w:val="18"/>
                      <w:highlight w:val="none"/>
                      <w:lang w:val="en-US" w:eastAsia="zh-CN"/>
                    </w:rPr>
                  </w:pPr>
                  <w:r>
                    <w:rPr>
                      <w:rFonts w:hint="eastAsia" w:cs="Times New Roman"/>
                      <w:sz w:val="18"/>
                      <w:szCs w:val="18"/>
                      <w:highlight w:val="none"/>
                      <w:lang w:val="en-US" w:eastAsia="zh-CN"/>
                    </w:rPr>
                    <w:t>10</w:t>
                  </w:r>
                </w:p>
              </w:tc>
              <w:tc>
                <w:tcPr>
                  <w:tcW w:w="1562" w:type="dxa"/>
                  <w:noWrap w:val="0"/>
                  <w:vAlign w:val="center"/>
                </w:tcPr>
                <w:p w14:paraId="5647D044">
                  <w:pPr>
                    <w:jc w:val="center"/>
                    <w:rPr>
                      <w:rFonts w:hint="eastAsia"/>
                      <w:sz w:val="18"/>
                      <w:szCs w:val="18"/>
                      <w:highlight w:val="none"/>
                      <w:lang w:eastAsia="zh-CN"/>
                    </w:rPr>
                  </w:pPr>
                  <w:r>
                    <w:rPr>
                      <w:rFonts w:hint="eastAsia" w:cs="Times New Roman"/>
                      <w:sz w:val="18"/>
                      <w:szCs w:val="18"/>
                      <w:highlight w:val="none"/>
                      <w:lang w:eastAsia="zh-CN"/>
                    </w:rPr>
                    <w:t>新增</w:t>
                  </w:r>
                </w:p>
              </w:tc>
            </w:tr>
            <w:tr w14:paraId="632E62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9C1F9F5">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2D249255">
                  <w:pPr>
                    <w:jc w:val="center"/>
                    <w:rPr>
                      <w:rFonts w:hint="eastAsia" w:ascii="Times New Roman" w:hAnsi="Times New Roman" w:eastAsia="宋体" w:cs="Times New Roman"/>
                      <w:bCs/>
                      <w:color w:val="auto"/>
                      <w:kern w:val="24"/>
                      <w:sz w:val="18"/>
                      <w:szCs w:val="18"/>
                      <w:highlight w:val="none"/>
                      <w:lang w:val="en-US" w:eastAsia="zh-CN"/>
                    </w:rPr>
                  </w:pPr>
                </w:p>
              </w:tc>
              <w:tc>
                <w:tcPr>
                  <w:tcW w:w="2126" w:type="dxa"/>
                  <w:noWrap w:val="0"/>
                  <w:vAlign w:val="center"/>
                </w:tcPr>
                <w:p w14:paraId="52CCB0D4">
                  <w:pPr>
                    <w:jc w:val="center"/>
                    <w:rPr>
                      <w:rFonts w:hint="eastAsia" w:cs="Times New Roman"/>
                      <w:sz w:val="18"/>
                      <w:szCs w:val="18"/>
                      <w:highlight w:val="none"/>
                      <w:lang w:val="en-US" w:eastAsia="zh-CN"/>
                    </w:rPr>
                  </w:pPr>
                  <w:r>
                    <w:rPr>
                      <w:rFonts w:hint="eastAsia" w:ascii="Times New Roman" w:hAnsi="Times New Roman" w:eastAsia="宋体" w:cs="Times New Roman"/>
                      <w:bCs/>
                      <w:color w:val="auto"/>
                      <w:kern w:val="24"/>
                      <w:sz w:val="18"/>
                      <w:szCs w:val="18"/>
                      <w:highlight w:val="none"/>
                      <w:lang w:val="en-US" w:eastAsia="zh-CN"/>
                    </w:rPr>
                    <w:t>浸漆罐</w:t>
                  </w:r>
                </w:p>
              </w:tc>
              <w:tc>
                <w:tcPr>
                  <w:tcW w:w="1644" w:type="dxa"/>
                  <w:noWrap w:val="0"/>
                  <w:vAlign w:val="center"/>
                </w:tcPr>
                <w:p w14:paraId="19EB0678">
                  <w:pPr>
                    <w:jc w:val="center"/>
                    <w:rPr>
                      <w:rFonts w:hint="eastAsia" w:cs="Times New Roman"/>
                      <w:sz w:val="18"/>
                      <w:szCs w:val="18"/>
                      <w:highlight w:val="none"/>
                      <w:lang w:val="en-US" w:eastAsia="zh-CN"/>
                    </w:rPr>
                  </w:pPr>
                  <w:r>
                    <w:rPr>
                      <w:rFonts w:hint="eastAsia" w:cs="Times New Roman"/>
                      <w:sz w:val="18"/>
                      <w:szCs w:val="18"/>
                      <w:highlight w:val="none"/>
                      <w:lang w:val="en-US" w:eastAsia="zh-CN"/>
                    </w:rPr>
                    <w:t>--</w:t>
                  </w:r>
                </w:p>
              </w:tc>
              <w:tc>
                <w:tcPr>
                  <w:tcW w:w="1091" w:type="dxa"/>
                  <w:noWrap w:val="0"/>
                  <w:vAlign w:val="center"/>
                </w:tcPr>
                <w:p w14:paraId="1DF05753">
                  <w:pPr>
                    <w:jc w:val="center"/>
                    <w:rPr>
                      <w:rFonts w:hint="default" w:cs="Times New Roman"/>
                      <w:sz w:val="18"/>
                      <w:szCs w:val="18"/>
                      <w:highlight w:val="none"/>
                      <w:lang w:val="en-US" w:eastAsia="zh-CN"/>
                    </w:rPr>
                  </w:pPr>
                  <w:r>
                    <w:rPr>
                      <w:rFonts w:hint="eastAsia" w:cs="Times New Roman"/>
                      <w:sz w:val="18"/>
                      <w:szCs w:val="18"/>
                      <w:highlight w:val="none"/>
                      <w:lang w:val="en-US" w:eastAsia="zh-CN"/>
                    </w:rPr>
                    <w:t>1</w:t>
                  </w:r>
                </w:p>
              </w:tc>
              <w:tc>
                <w:tcPr>
                  <w:tcW w:w="1562" w:type="dxa"/>
                  <w:noWrap w:val="0"/>
                  <w:vAlign w:val="center"/>
                </w:tcPr>
                <w:p w14:paraId="630DC720">
                  <w:pPr>
                    <w:jc w:val="center"/>
                    <w:rPr>
                      <w:rFonts w:hint="eastAsia" w:cs="Times New Roman"/>
                      <w:sz w:val="18"/>
                      <w:szCs w:val="18"/>
                      <w:highlight w:val="none"/>
                      <w:lang w:eastAsia="zh-CN"/>
                    </w:rPr>
                  </w:pPr>
                  <w:r>
                    <w:rPr>
                      <w:rFonts w:hint="eastAsia" w:cs="Times New Roman"/>
                      <w:sz w:val="18"/>
                      <w:szCs w:val="18"/>
                      <w:highlight w:val="none"/>
                      <w:lang w:eastAsia="zh-CN"/>
                    </w:rPr>
                    <w:t>新增</w:t>
                  </w:r>
                </w:p>
              </w:tc>
            </w:tr>
            <w:tr w14:paraId="25A9E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D6BCE23">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355ED30B">
                  <w:pPr>
                    <w:jc w:val="center"/>
                    <w:rPr>
                      <w:rFonts w:hint="eastAsia" w:ascii="Times New Roman" w:hAnsi="Times New Roman" w:eastAsia="宋体" w:cs="Times New Roman"/>
                      <w:bCs/>
                      <w:color w:val="auto"/>
                      <w:kern w:val="24"/>
                      <w:sz w:val="18"/>
                      <w:szCs w:val="18"/>
                      <w:highlight w:val="none"/>
                      <w:lang w:val="en-US" w:eastAsia="zh-CN"/>
                    </w:rPr>
                  </w:pPr>
                </w:p>
              </w:tc>
              <w:tc>
                <w:tcPr>
                  <w:tcW w:w="2126" w:type="dxa"/>
                  <w:noWrap w:val="0"/>
                  <w:vAlign w:val="center"/>
                </w:tcPr>
                <w:p w14:paraId="658DBBF5">
                  <w:pPr>
                    <w:jc w:val="center"/>
                    <w:rPr>
                      <w:rFonts w:hint="eastAsia" w:cs="Times New Roman"/>
                      <w:sz w:val="18"/>
                      <w:szCs w:val="18"/>
                      <w:highlight w:val="none"/>
                      <w:lang w:val="en-US" w:eastAsia="zh-CN"/>
                    </w:rPr>
                  </w:pPr>
                  <w:r>
                    <w:rPr>
                      <w:rFonts w:hint="eastAsia" w:ascii="Times New Roman" w:hAnsi="Times New Roman" w:eastAsia="宋体" w:cs="Times New Roman"/>
                      <w:bCs/>
                      <w:color w:val="auto"/>
                      <w:kern w:val="24"/>
                      <w:sz w:val="18"/>
                      <w:szCs w:val="18"/>
                      <w:highlight w:val="none"/>
                      <w:lang w:val="en-US" w:eastAsia="zh-CN"/>
                    </w:rPr>
                    <w:t>储漆罐</w:t>
                  </w:r>
                </w:p>
              </w:tc>
              <w:tc>
                <w:tcPr>
                  <w:tcW w:w="1644" w:type="dxa"/>
                  <w:noWrap w:val="0"/>
                  <w:vAlign w:val="center"/>
                </w:tcPr>
                <w:p w14:paraId="12664E7C">
                  <w:pPr>
                    <w:jc w:val="center"/>
                    <w:rPr>
                      <w:rFonts w:hint="eastAsia" w:cs="Times New Roman"/>
                      <w:sz w:val="18"/>
                      <w:szCs w:val="18"/>
                      <w:highlight w:val="none"/>
                      <w:lang w:val="en-US" w:eastAsia="zh-CN"/>
                    </w:rPr>
                  </w:pPr>
                  <w:r>
                    <w:rPr>
                      <w:rFonts w:hint="eastAsia" w:cs="Times New Roman"/>
                      <w:sz w:val="18"/>
                      <w:szCs w:val="18"/>
                      <w:highlight w:val="none"/>
                      <w:lang w:val="en-US" w:eastAsia="zh-CN"/>
                    </w:rPr>
                    <w:t>--</w:t>
                  </w:r>
                </w:p>
              </w:tc>
              <w:tc>
                <w:tcPr>
                  <w:tcW w:w="1091" w:type="dxa"/>
                  <w:noWrap w:val="0"/>
                  <w:vAlign w:val="center"/>
                </w:tcPr>
                <w:p w14:paraId="5D270805">
                  <w:pPr>
                    <w:jc w:val="center"/>
                    <w:rPr>
                      <w:rFonts w:hint="default" w:cs="Times New Roman"/>
                      <w:sz w:val="18"/>
                      <w:szCs w:val="18"/>
                      <w:highlight w:val="none"/>
                      <w:lang w:val="en-US" w:eastAsia="zh-CN"/>
                    </w:rPr>
                  </w:pPr>
                  <w:r>
                    <w:rPr>
                      <w:rFonts w:hint="eastAsia" w:cs="Times New Roman"/>
                      <w:sz w:val="18"/>
                      <w:szCs w:val="18"/>
                      <w:highlight w:val="none"/>
                      <w:lang w:val="en-US" w:eastAsia="zh-CN"/>
                    </w:rPr>
                    <w:t>1</w:t>
                  </w:r>
                </w:p>
              </w:tc>
              <w:tc>
                <w:tcPr>
                  <w:tcW w:w="1562" w:type="dxa"/>
                  <w:noWrap w:val="0"/>
                  <w:vAlign w:val="center"/>
                </w:tcPr>
                <w:p w14:paraId="604C86D3">
                  <w:pPr>
                    <w:jc w:val="center"/>
                    <w:rPr>
                      <w:rFonts w:hint="eastAsia" w:cs="Times New Roman"/>
                      <w:sz w:val="18"/>
                      <w:szCs w:val="18"/>
                      <w:highlight w:val="none"/>
                      <w:lang w:eastAsia="zh-CN"/>
                    </w:rPr>
                  </w:pPr>
                  <w:r>
                    <w:rPr>
                      <w:rFonts w:hint="eastAsia" w:cs="Times New Roman"/>
                      <w:sz w:val="18"/>
                      <w:szCs w:val="18"/>
                      <w:highlight w:val="none"/>
                      <w:lang w:eastAsia="zh-CN"/>
                    </w:rPr>
                    <w:t>新增</w:t>
                  </w:r>
                </w:p>
              </w:tc>
            </w:tr>
            <w:tr w14:paraId="1F196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87EA0C2">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54E92386">
                  <w:pPr>
                    <w:jc w:val="center"/>
                    <w:rPr>
                      <w:rFonts w:hint="eastAsia" w:ascii="Times New Roman" w:hAnsi="Times New Roman" w:eastAsia="宋体" w:cs="Times New Roman"/>
                      <w:bCs/>
                      <w:color w:val="auto"/>
                      <w:kern w:val="24"/>
                      <w:sz w:val="18"/>
                      <w:szCs w:val="18"/>
                      <w:highlight w:val="none"/>
                      <w:lang w:val="en-US" w:eastAsia="zh-CN"/>
                    </w:rPr>
                  </w:pPr>
                </w:p>
              </w:tc>
              <w:tc>
                <w:tcPr>
                  <w:tcW w:w="2126" w:type="dxa"/>
                  <w:noWrap w:val="0"/>
                  <w:vAlign w:val="center"/>
                </w:tcPr>
                <w:p w14:paraId="682A5372">
                  <w:pPr>
                    <w:jc w:val="center"/>
                    <w:rPr>
                      <w:rFonts w:hint="eastAsia" w:cs="Times New Roman"/>
                      <w:sz w:val="18"/>
                      <w:szCs w:val="18"/>
                      <w:highlight w:val="none"/>
                      <w:lang w:val="en-US" w:eastAsia="zh-CN"/>
                    </w:rPr>
                  </w:pPr>
                  <w:r>
                    <w:rPr>
                      <w:rFonts w:hint="eastAsia" w:ascii="Times New Roman" w:hAnsi="Times New Roman" w:eastAsia="宋体" w:cs="Times New Roman"/>
                      <w:bCs/>
                      <w:color w:val="auto"/>
                      <w:kern w:val="24"/>
                      <w:sz w:val="18"/>
                      <w:szCs w:val="18"/>
                      <w:highlight w:val="none"/>
                      <w:lang w:val="en-US" w:eastAsia="zh-CN"/>
                    </w:rPr>
                    <w:t>电烘</w:t>
                  </w:r>
                  <w:r>
                    <w:rPr>
                      <w:rFonts w:hint="eastAsia" w:cs="Times New Roman"/>
                      <w:bCs/>
                      <w:color w:val="auto"/>
                      <w:kern w:val="24"/>
                      <w:sz w:val="18"/>
                      <w:szCs w:val="18"/>
                      <w:highlight w:val="none"/>
                      <w:lang w:val="en-US" w:eastAsia="zh-CN"/>
                    </w:rPr>
                    <w:t>干</w:t>
                  </w:r>
                  <w:r>
                    <w:rPr>
                      <w:rFonts w:hint="eastAsia" w:ascii="Times New Roman" w:hAnsi="Times New Roman" w:eastAsia="宋体" w:cs="Times New Roman"/>
                      <w:bCs/>
                      <w:color w:val="auto"/>
                      <w:kern w:val="24"/>
                      <w:sz w:val="18"/>
                      <w:szCs w:val="18"/>
                      <w:highlight w:val="none"/>
                      <w:lang w:val="en-US" w:eastAsia="zh-CN"/>
                    </w:rPr>
                    <w:t>箱</w:t>
                  </w:r>
                </w:p>
              </w:tc>
              <w:tc>
                <w:tcPr>
                  <w:tcW w:w="1644" w:type="dxa"/>
                  <w:noWrap w:val="0"/>
                  <w:vAlign w:val="center"/>
                </w:tcPr>
                <w:p w14:paraId="35B6ECDE">
                  <w:pPr>
                    <w:jc w:val="center"/>
                    <w:rPr>
                      <w:rFonts w:hint="eastAsia" w:cs="Times New Roman"/>
                      <w:sz w:val="18"/>
                      <w:szCs w:val="18"/>
                      <w:highlight w:val="none"/>
                      <w:lang w:val="en-US" w:eastAsia="zh-CN"/>
                    </w:rPr>
                  </w:pPr>
                  <w:r>
                    <w:rPr>
                      <w:rFonts w:hint="eastAsia" w:cs="Times New Roman"/>
                      <w:sz w:val="18"/>
                      <w:szCs w:val="18"/>
                      <w:highlight w:val="none"/>
                      <w:lang w:val="en-US" w:eastAsia="zh-CN"/>
                    </w:rPr>
                    <w:t>--</w:t>
                  </w:r>
                </w:p>
              </w:tc>
              <w:tc>
                <w:tcPr>
                  <w:tcW w:w="1091" w:type="dxa"/>
                  <w:noWrap w:val="0"/>
                  <w:vAlign w:val="center"/>
                </w:tcPr>
                <w:p w14:paraId="190774FC">
                  <w:pPr>
                    <w:jc w:val="center"/>
                    <w:rPr>
                      <w:rFonts w:hint="default" w:cs="Times New Roman"/>
                      <w:sz w:val="18"/>
                      <w:szCs w:val="18"/>
                      <w:highlight w:val="none"/>
                      <w:lang w:val="en-US" w:eastAsia="zh-CN"/>
                    </w:rPr>
                  </w:pPr>
                  <w:r>
                    <w:rPr>
                      <w:rFonts w:hint="eastAsia" w:cs="Times New Roman"/>
                      <w:sz w:val="18"/>
                      <w:szCs w:val="18"/>
                      <w:highlight w:val="none"/>
                      <w:lang w:val="en-US" w:eastAsia="zh-CN"/>
                    </w:rPr>
                    <w:t>1</w:t>
                  </w:r>
                </w:p>
              </w:tc>
              <w:tc>
                <w:tcPr>
                  <w:tcW w:w="1562" w:type="dxa"/>
                  <w:noWrap w:val="0"/>
                  <w:vAlign w:val="center"/>
                </w:tcPr>
                <w:p w14:paraId="1A6485B7">
                  <w:pPr>
                    <w:jc w:val="center"/>
                    <w:rPr>
                      <w:rFonts w:hint="eastAsia" w:cs="Times New Roman"/>
                      <w:sz w:val="18"/>
                      <w:szCs w:val="18"/>
                      <w:highlight w:val="none"/>
                      <w:lang w:eastAsia="zh-CN"/>
                    </w:rPr>
                  </w:pPr>
                  <w:r>
                    <w:rPr>
                      <w:rFonts w:hint="eastAsia" w:cs="Times New Roman"/>
                      <w:sz w:val="18"/>
                      <w:szCs w:val="18"/>
                      <w:highlight w:val="none"/>
                      <w:lang w:eastAsia="zh-CN"/>
                    </w:rPr>
                    <w:t>新增</w:t>
                  </w:r>
                </w:p>
              </w:tc>
            </w:tr>
            <w:tr w14:paraId="53392F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7597977">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0A2ADE9B">
                  <w:pPr>
                    <w:jc w:val="center"/>
                    <w:rPr>
                      <w:rFonts w:hint="eastAsia" w:cs="Times New Roman"/>
                      <w:bCs/>
                      <w:color w:val="auto"/>
                      <w:kern w:val="24"/>
                      <w:sz w:val="18"/>
                      <w:szCs w:val="18"/>
                      <w:highlight w:val="none"/>
                      <w:lang w:val="en-US" w:eastAsia="zh-CN"/>
                    </w:rPr>
                  </w:pPr>
                </w:p>
              </w:tc>
              <w:tc>
                <w:tcPr>
                  <w:tcW w:w="2126" w:type="dxa"/>
                  <w:noWrap w:val="0"/>
                  <w:vAlign w:val="center"/>
                </w:tcPr>
                <w:p w14:paraId="085DEE3D">
                  <w:pPr>
                    <w:jc w:val="center"/>
                    <w:rPr>
                      <w:rFonts w:hint="default" w:ascii="Times New Roman" w:hAnsi="Times New Roman" w:eastAsia="宋体" w:cs="Times New Roman"/>
                      <w:bCs/>
                      <w:color w:val="auto"/>
                      <w:kern w:val="24"/>
                      <w:sz w:val="18"/>
                      <w:szCs w:val="18"/>
                      <w:highlight w:val="none"/>
                      <w:lang w:val="en-US" w:eastAsia="zh-CN"/>
                    </w:rPr>
                  </w:pPr>
                  <w:r>
                    <w:rPr>
                      <w:rFonts w:hint="eastAsia" w:cs="Times New Roman"/>
                      <w:bCs/>
                      <w:color w:val="auto"/>
                      <w:kern w:val="24"/>
                      <w:sz w:val="18"/>
                      <w:szCs w:val="18"/>
                      <w:highlight w:val="none"/>
                      <w:lang w:val="en-US" w:eastAsia="zh-CN"/>
                    </w:rPr>
                    <w:t>喷塑房</w:t>
                  </w:r>
                </w:p>
              </w:tc>
              <w:tc>
                <w:tcPr>
                  <w:tcW w:w="1644" w:type="dxa"/>
                  <w:noWrap w:val="0"/>
                  <w:vAlign w:val="center"/>
                </w:tcPr>
                <w:p w14:paraId="36EC76A1">
                  <w:pPr>
                    <w:jc w:val="center"/>
                    <w:rPr>
                      <w:rFonts w:hint="eastAsia" w:cs="Times New Roman"/>
                      <w:sz w:val="18"/>
                      <w:szCs w:val="18"/>
                      <w:highlight w:val="none"/>
                      <w:lang w:val="en-US" w:eastAsia="zh-CN"/>
                    </w:rPr>
                  </w:pPr>
                  <w:r>
                    <w:rPr>
                      <w:rFonts w:hint="eastAsia" w:cs="Times New Roman"/>
                      <w:sz w:val="18"/>
                      <w:szCs w:val="18"/>
                      <w:highlight w:val="none"/>
                      <w:lang w:val="en-US" w:eastAsia="zh-CN"/>
                    </w:rPr>
                    <w:t>--</w:t>
                  </w:r>
                </w:p>
              </w:tc>
              <w:tc>
                <w:tcPr>
                  <w:tcW w:w="1091" w:type="dxa"/>
                  <w:noWrap w:val="0"/>
                  <w:vAlign w:val="center"/>
                </w:tcPr>
                <w:p w14:paraId="388DF827">
                  <w:pPr>
                    <w:jc w:val="center"/>
                    <w:rPr>
                      <w:rFonts w:hint="default" w:cs="Times New Roman"/>
                      <w:sz w:val="18"/>
                      <w:szCs w:val="18"/>
                      <w:highlight w:val="none"/>
                      <w:lang w:val="en-US" w:eastAsia="zh-CN"/>
                    </w:rPr>
                  </w:pPr>
                  <w:r>
                    <w:rPr>
                      <w:rFonts w:hint="eastAsia" w:cs="Times New Roman"/>
                      <w:sz w:val="18"/>
                      <w:szCs w:val="18"/>
                      <w:highlight w:val="none"/>
                      <w:lang w:val="en-US" w:eastAsia="zh-CN"/>
                    </w:rPr>
                    <w:t>1</w:t>
                  </w:r>
                </w:p>
              </w:tc>
              <w:tc>
                <w:tcPr>
                  <w:tcW w:w="1562" w:type="dxa"/>
                  <w:noWrap w:val="0"/>
                  <w:vAlign w:val="center"/>
                </w:tcPr>
                <w:p w14:paraId="1E233A8E">
                  <w:pPr>
                    <w:jc w:val="center"/>
                    <w:rPr>
                      <w:rFonts w:hint="default" w:cs="Times New Roman"/>
                      <w:sz w:val="18"/>
                      <w:szCs w:val="18"/>
                      <w:highlight w:val="none"/>
                      <w:lang w:val="en-US" w:eastAsia="zh-CN"/>
                    </w:rPr>
                  </w:pPr>
                  <w:r>
                    <w:rPr>
                      <w:rFonts w:hint="eastAsia" w:cs="Times New Roman"/>
                      <w:sz w:val="18"/>
                      <w:szCs w:val="18"/>
                      <w:highlight w:val="none"/>
                      <w:lang w:val="en-US" w:eastAsia="zh-CN"/>
                    </w:rPr>
                    <w:t>新增，配套喷塑机1套</w:t>
                  </w:r>
                </w:p>
              </w:tc>
            </w:tr>
            <w:tr w14:paraId="60CF9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8C7CE46">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1F3285E7">
                  <w:pPr>
                    <w:jc w:val="center"/>
                    <w:rPr>
                      <w:rFonts w:hint="eastAsia" w:cs="Times New Roman"/>
                      <w:bCs/>
                      <w:color w:val="auto"/>
                      <w:kern w:val="24"/>
                      <w:sz w:val="18"/>
                      <w:szCs w:val="18"/>
                      <w:highlight w:val="none"/>
                      <w:lang w:val="en-US" w:eastAsia="zh-CN"/>
                    </w:rPr>
                  </w:pPr>
                </w:p>
              </w:tc>
              <w:tc>
                <w:tcPr>
                  <w:tcW w:w="2126" w:type="dxa"/>
                  <w:noWrap w:val="0"/>
                  <w:vAlign w:val="center"/>
                </w:tcPr>
                <w:p w14:paraId="75DF44CF">
                  <w:pPr>
                    <w:jc w:val="center"/>
                    <w:rPr>
                      <w:rFonts w:hint="default" w:ascii="Times New Roman" w:hAnsi="Times New Roman" w:eastAsia="宋体" w:cs="Times New Roman"/>
                      <w:bCs/>
                      <w:color w:val="auto"/>
                      <w:kern w:val="24"/>
                      <w:sz w:val="18"/>
                      <w:szCs w:val="18"/>
                      <w:highlight w:val="none"/>
                      <w:lang w:val="en-US" w:eastAsia="zh-CN"/>
                    </w:rPr>
                  </w:pPr>
                  <w:r>
                    <w:rPr>
                      <w:rFonts w:hint="eastAsia" w:cs="Times New Roman"/>
                      <w:bCs/>
                      <w:color w:val="auto"/>
                      <w:kern w:val="24"/>
                      <w:sz w:val="18"/>
                      <w:szCs w:val="18"/>
                      <w:highlight w:val="none"/>
                      <w:lang w:val="en-US" w:eastAsia="zh-CN"/>
                    </w:rPr>
                    <w:t>电固化炉</w:t>
                  </w:r>
                </w:p>
              </w:tc>
              <w:tc>
                <w:tcPr>
                  <w:tcW w:w="1644" w:type="dxa"/>
                  <w:noWrap w:val="0"/>
                  <w:vAlign w:val="center"/>
                </w:tcPr>
                <w:p w14:paraId="3828A535">
                  <w:pPr>
                    <w:jc w:val="center"/>
                    <w:rPr>
                      <w:rFonts w:hint="eastAsia" w:cs="Times New Roman"/>
                      <w:sz w:val="18"/>
                      <w:szCs w:val="18"/>
                      <w:highlight w:val="none"/>
                      <w:lang w:val="en-US" w:eastAsia="zh-CN"/>
                    </w:rPr>
                  </w:pPr>
                  <w:r>
                    <w:rPr>
                      <w:rFonts w:hint="eastAsia" w:cs="Times New Roman"/>
                      <w:sz w:val="18"/>
                      <w:szCs w:val="18"/>
                      <w:highlight w:val="none"/>
                      <w:lang w:val="en-US" w:eastAsia="zh-CN"/>
                    </w:rPr>
                    <w:t>--</w:t>
                  </w:r>
                </w:p>
              </w:tc>
              <w:tc>
                <w:tcPr>
                  <w:tcW w:w="1091" w:type="dxa"/>
                  <w:noWrap w:val="0"/>
                  <w:vAlign w:val="center"/>
                </w:tcPr>
                <w:p w14:paraId="3AD0D0EE">
                  <w:pPr>
                    <w:jc w:val="center"/>
                    <w:rPr>
                      <w:rFonts w:hint="default" w:cs="Times New Roman"/>
                      <w:sz w:val="18"/>
                      <w:szCs w:val="18"/>
                      <w:highlight w:val="none"/>
                      <w:lang w:val="en-US" w:eastAsia="zh-CN"/>
                    </w:rPr>
                  </w:pPr>
                  <w:r>
                    <w:rPr>
                      <w:rFonts w:hint="eastAsia" w:cs="Times New Roman"/>
                      <w:sz w:val="18"/>
                      <w:szCs w:val="18"/>
                      <w:highlight w:val="none"/>
                      <w:lang w:val="en-US" w:eastAsia="zh-CN"/>
                    </w:rPr>
                    <w:t>1</w:t>
                  </w:r>
                </w:p>
              </w:tc>
              <w:tc>
                <w:tcPr>
                  <w:tcW w:w="1562" w:type="dxa"/>
                  <w:noWrap w:val="0"/>
                  <w:vAlign w:val="center"/>
                </w:tcPr>
                <w:p w14:paraId="6675A581">
                  <w:pPr>
                    <w:jc w:val="center"/>
                    <w:rPr>
                      <w:rFonts w:hint="default" w:cs="Times New Roman"/>
                      <w:sz w:val="18"/>
                      <w:szCs w:val="18"/>
                      <w:highlight w:val="none"/>
                      <w:lang w:val="en-US" w:eastAsia="zh-CN"/>
                    </w:rPr>
                  </w:pPr>
                  <w:r>
                    <w:rPr>
                      <w:rFonts w:hint="eastAsia" w:cs="Times New Roman"/>
                      <w:sz w:val="18"/>
                      <w:szCs w:val="18"/>
                      <w:highlight w:val="none"/>
                      <w:lang w:val="en-US" w:eastAsia="zh-CN"/>
                    </w:rPr>
                    <w:t>新增</w:t>
                  </w:r>
                </w:p>
              </w:tc>
            </w:tr>
            <w:tr w14:paraId="4F07C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4CD0623">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restart"/>
                  <w:noWrap w:val="0"/>
                  <w:vAlign w:val="center"/>
                </w:tcPr>
                <w:p w14:paraId="138FAAA6">
                  <w:pPr>
                    <w:ind w:left="-88" w:leftChars="-42" w:right="-76" w:rightChars="-36"/>
                    <w:jc w:val="center"/>
                    <w:rPr>
                      <w:rFonts w:hint="default" w:cs="Times New Roman"/>
                      <w:bCs/>
                      <w:color w:val="auto"/>
                      <w:kern w:val="24"/>
                      <w:sz w:val="18"/>
                      <w:szCs w:val="18"/>
                      <w:highlight w:val="none"/>
                      <w:lang w:val="en-US" w:eastAsia="zh-CN"/>
                    </w:rPr>
                  </w:pPr>
                  <w:r>
                    <w:rPr>
                      <w:rFonts w:hint="eastAsia" w:cs="Times New Roman"/>
                      <w:bCs/>
                      <w:color w:val="auto"/>
                      <w:kern w:val="24"/>
                      <w:sz w:val="18"/>
                      <w:szCs w:val="18"/>
                      <w:highlight w:val="none"/>
                      <w:lang w:val="en-US" w:eastAsia="zh-CN"/>
                    </w:rPr>
                    <w:t>公用单元</w:t>
                  </w:r>
                </w:p>
              </w:tc>
              <w:tc>
                <w:tcPr>
                  <w:tcW w:w="2126" w:type="dxa"/>
                  <w:noWrap w:val="0"/>
                  <w:vAlign w:val="center"/>
                </w:tcPr>
                <w:p w14:paraId="4E2C22F9">
                  <w:pPr>
                    <w:ind w:left="-88" w:leftChars="-42" w:right="-76" w:rightChars="-36"/>
                    <w:jc w:val="center"/>
                    <w:rPr>
                      <w:rFonts w:hint="eastAsia" w:cs="Times New Roman"/>
                      <w:bCs/>
                      <w:color w:val="auto"/>
                      <w:kern w:val="24"/>
                      <w:sz w:val="18"/>
                      <w:szCs w:val="18"/>
                      <w:highlight w:val="none"/>
                      <w:lang w:val="en-US" w:eastAsia="zh-CN"/>
                    </w:rPr>
                  </w:pPr>
                  <w:r>
                    <w:rPr>
                      <w:rFonts w:hint="eastAsia"/>
                      <w:color w:val="auto"/>
                      <w:sz w:val="18"/>
                      <w:szCs w:val="18"/>
                    </w:rPr>
                    <w:t>空压机</w:t>
                  </w:r>
                </w:p>
              </w:tc>
              <w:tc>
                <w:tcPr>
                  <w:tcW w:w="1644" w:type="dxa"/>
                  <w:noWrap w:val="0"/>
                  <w:vAlign w:val="center"/>
                </w:tcPr>
                <w:p w14:paraId="7E406E4C">
                  <w:pPr>
                    <w:jc w:val="center"/>
                    <w:rPr>
                      <w:rFonts w:hint="eastAsia" w:cs="Times New Roman"/>
                      <w:sz w:val="18"/>
                      <w:szCs w:val="18"/>
                      <w:highlight w:val="none"/>
                      <w:lang w:val="en-US" w:eastAsia="zh-CN"/>
                    </w:rPr>
                  </w:pPr>
                  <w:r>
                    <w:rPr>
                      <w:rFonts w:hint="eastAsia"/>
                      <w:color w:val="auto"/>
                      <w:sz w:val="18"/>
                      <w:szCs w:val="18"/>
                    </w:rPr>
                    <w:t>V-0.11/10-A</w:t>
                  </w:r>
                </w:p>
              </w:tc>
              <w:tc>
                <w:tcPr>
                  <w:tcW w:w="1091" w:type="dxa"/>
                  <w:noWrap w:val="0"/>
                  <w:vAlign w:val="center"/>
                </w:tcPr>
                <w:p w14:paraId="2BDDF854">
                  <w:pPr>
                    <w:jc w:val="center"/>
                    <w:rPr>
                      <w:rFonts w:hint="eastAsia" w:cs="Times New Roman"/>
                      <w:sz w:val="18"/>
                      <w:szCs w:val="18"/>
                      <w:highlight w:val="none"/>
                      <w:lang w:val="en-US" w:eastAsia="zh-CN"/>
                    </w:rPr>
                  </w:pPr>
                  <w:r>
                    <w:rPr>
                      <w:rFonts w:hint="eastAsia"/>
                      <w:color w:val="auto"/>
                      <w:sz w:val="18"/>
                      <w:szCs w:val="18"/>
                    </w:rPr>
                    <w:t>6</w:t>
                  </w:r>
                </w:p>
              </w:tc>
              <w:tc>
                <w:tcPr>
                  <w:tcW w:w="1562" w:type="dxa"/>
                  <w:noWrap w:val="0"/>
                  <w:vAlign w:val="center"/>
                </w:tcPr>
                <w:p w14:paraId="2F3CAF98">
                  <w:pPr>
                    <w:jc w:val="center"/>
                    <w:rPr>
                      <w:rFonts w:hint="eastAsia" w:cs="Times New Roman"/>
                      <w:sz w:val="18"/>
                      <w:szCs w:val="18"/>
                      <w:highlight w:val="none"/>
                      <w:lang w:val="en-US" w:eastAsia="zh-CN"/>
                    </w:rPr>
                  </w:pPr>
                  <w:r>
                    <w:rPr>
                      <w:rFonts w:hint="eastAsia" w:cs="Times New Roman"/>
                      <w:sz w:val="18"/>
                      <w:szCs w:val="18"/>
                      <w:highlight w:val="none"/>
                      <w:lang w:eastAsia="zh-CN"/>
                    </w:rPr>
                    <w:t>新增</w:t>
                  </w:r>
                </w:p>
              </w:tc>
            </w:tr>
            <w:tr w14:paraId="48E9E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EAA990B">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26F14C26">
                  <w:pPr>
                    <w:ind w:left="-88" w:leftChars="-42" w:right="-76" w:rightChars="-36"/>
                    <w:jc w:val="center"/>
                    <w:rPr>
                      <w:rFonts w:hint="eastAsia" w:cs="Times New Roman"/>
                      <w:bCs/>
                      <w:color w:val="auto"/>
                      <w:kern w:val="24"/>
                      <w:sz w:val="18"/>
                      <w:szCs w:val="18"/>
                      <w:highlight w:val="none"/>
                      <w:lang w:val="en-US" w:eastAsia="zh-CN"/>
                    </w:rPr>
                  </w:pPr>
                </w:p>
              </w:tc>
              <w:tc>
                <w:tcPr>
                  <w:tcW w:w="2126" w:type="dxa"/>
                  <w:noWrap w:val="0"/>
                  <w:vAlign w:val="center"/>
                </w:tcPr>
                <w:p w14:paraId="419B5D3F">
                  <w:pPr>
                    <w:ind w:left="-88" w:leftChars="-42" w:right="-76" w:rightChars="-36"/>
                    <w:jc w:val="center"/>
                    <w:rPr>
                      <w:rFonts w:hint="eastAsia" w:cs="Times New Roman"/>
                      <w:bCs/>
                      <w:color w:val="auto"/>
                      <w:kern w:val="24"/>
                      <w:sz w:val="18"/>
                      <w:szCs w:val="18"/>
                      <w:highlight w:val="none"/>
                      <w:lang w:val="en-US" w:eastAsia="zh-CN"/>
                    </w:rPr>
                  </w:pPr>
                  <w:r>
                    <w:rPr>
                      <w:rFonts w:hint="eastAsia"/>
                      <w:color w:val="auto"/>
                      <w:sz w:val="18"/>
                      <w:szCs w:val="18"/>
                    </w:rPr>
                    <w:t>空压机</w:t>
                  </w:r>
                </w:p>
              </w:tc>
              <w:tc>
                <w:tcPr>
                  <w:tcW w:w="1644" w:type="dxa"/>
                  <w:noWrap w:val="0"/>
                  <w:vAlign w:val="center"/>
                </w:tcPr>
                <w:p w14:paraId="799B060C">
                  <w:pPr>
                    <w:jc w:val="center"/>
                    <w:rPr>
                      <w:rFonts w:hint="eastAsia" w:cs="Times New Roman"/>
                      <w:sz w:val="18"/>
                      <w:szCs w:val="18"/>
                      <w:highlight w:val="none"/>
                      <w:lang w:val="en-US" w:eastAsia="zh-CN"/>
                    </w:rPr>
                  </w:pPr>
                  <w:r>
                    <w:rPr>
                      <w:rFonts w:hint="eastAsia"/>
                      <w:color w:val="auto"/>
                      <w:sz w:val="18"/>
                      <w:szCs w:val="18"/>
                      <w:lang w:val="en-US" w:eastAsia="zh-CN"/>
                    </w:rPr>
                    <w:t>--</w:t>
                  </w:r>
                </w:p>
              </w:tc>
              <w:tc>
                <w:tcPr>
                  <w:tcW w:w="1091" w:type="dxa"/>
                  <w:noWrap w:val="0"/>
                  <w:vAlign w:val="center"/>
                </w:tcPr>
                <w:p w14:paraId="5A6F4485">
                  <w:pPr>
                    <w:jc w:val="center"/>
                    <w:rPr>
                      <w:rFonts w:hint="eastAsia" w:cs="Times New Roman"/>
                      <w:sz w:val="18"/>
                      <w:szCs w:val="18"/>
                      <w:highlight w:val="none"/>
                      <w:lang w:val="en-US" w:eastAsia="zh-CN"/>
                    </w:rPr>
                  </w:pPr>
                  <w:r>
                    <w:rPr>
                      <w:color w:val="auto"/>
                      <w:sz w:val="18"/>
                      <w:szCs w:val="18"/>
                    </w:rPr>
                    <w:t>10</w:t>
                  </w:r>
                </w:p>
              </w:tc>
              <w:tc>
                <w:tcPr>
                  <w:tcW w:w="1562" w:type="dxa"/>
                  <w:noWrap w:val="0"/>
                  <w:vAlign w:val="center"/>
                </w:tcPr>
                <w:p w14:paraId="0D13FE20">
                  <w:pPr>
                    <w:jc w:val="center"/>
                    <w:rPr>
                      <w:rFonts w:hint="eastAsia" w:cs="Times New Roman"/>
                      <w:sz w:val="18"/>
                      <w:szCs w:val="18"/>
                      <w:highlight w:val="none"/>
                      <w:lang w:val="en-US" w:eastAsia="zh-CN"/>
                    </w:rPr>
                  </w:pPr>
                  <w:r>
                    <w:rPr>
                      <w:rFonts w:hint="eastAsia" w:cs="Times New Roman"/>
                      <w:sz w:val="18"/>
                      <w:szCs w:val="18"/>
                      <w:highlight w:val="none"/>
                      <w:lang w:eastAsia="zh-CN"/>
                    </w:rPr>
                    <w:t>新增，其中</w:t>
                  </w:r>
                  <w:r>
                    <w:rPr>
                      <w:rFonts w:hint="eastAsia" w:cs="Times New Roman"/>
                      <w:sz w:val="18"/>
                      <w:szCs w:val="18"/>
                      <w:highlight w:val="none"/>
                      <w:lang w:val="en-US" w:eastAsia="zh-CN"/>
                    </w:rPr>
                    <w:t>3台由老厂区搬迁</w:t>
                  </w:r>
                </w:p>
              </w:tc>
            </w:tr>
            <w:tr w14:paraId="11811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1C5BE2A">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229F455D">
                  <w:pPr>
                    <w:jc w:val="center"/>
                    <w:rPr>
                      <w:rFonts w:hint="eastAsia" w:ascii="Times New Roman" w:hAnsi="Times New Roman" w:eastAsia="宋体" w:cs="Times New Roman"/>
                      <w:bCs/>
                      <w:color w:val="auto"/>
                      <w:kern w:val="24"/>
                      <w:sz w:val="18"/>
                      <w:szCs w:val="18"/>
                      <w:highlight w:val="none"/>
                      <w:lang w:val="en-US" w:eastAsia="zh-CN" w:bidi="ar-SA"/>
                    </w:rPr>
                  </w:pPr>
                </w:p>
              </w:tc>
              <w:tc>
                <w:tcPr>
                  <w:tcW w:w="2126" w:type="dxa"/>
                  <w:shd w:val="clear" w:color="auto" w:fill="auto"/>
                  <w:noWrap w:val="0"/>
                  <w:vAlign w:val="center"/>
                </w:tcPr>
                <w:p w14:paraId="0135E30C">
                  <w:pPr>
                    <w:jc w:val="center"/>
                    <w:rPr>
                      <w:rFonts w:hint="eastAsia" w:ascii="Times New Roman" w:hAnsi="Times New Roman" w:eastAsia="宋体" w:cs="Times New Roman"/>
                      <w:bCs/>
                      <w:color w:val="auto"/>
                      <w:kern w:val="24"/>
                      <w:sz w:val="18"/>
                      <w:szCs w:val="18"/>
                      <w:highlight w:val="none"/>
                      <w:lang w:val="en-US" w:eastAsia="zh-CN" w:bidi="ar-SA"/>
                    </w:rPr>
                  </w:pPr>
                  <w:r>
                    <w:rPr>
                      <w:rFonts w:hint="eastAsia" w:ascii="Times New Roman" w:hAnsi="Times New Roman" w:eastAsia="宋体" w:cs="Times New Roman"/>
                      <w:bCs/>
                      <w:color w:val="auto"/>
                      <w:kern w:val="24"/>
                      <w:sz w:val="18"/>
                      <w:szCs w:val="18"/>
                      <w:highlight w:val="none"/>
                      <w:lang w:val="en-US" w:eastAsia="zh-CN"/>
                    </w:rPr>
                    <w:t>真空泵</w:t>
                  </w:r>
                </w:p>
              </w:tc>
              <w:tc>
                <w:tcPr>
                  <w:tcW w:w="1644" w:type="dxa"/>
                  <w:shd w:val="clear" w:color="auto" w:fill="auto"/>
                  <w:noWrap w:val="0"/>
                  <w:vAlign w:val="center"/>
                </w:tcPr>
                <w:p w14:paraId="7696533D">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w:t>
                  </w:r>
                </w:p>
              </w:tc>
              <w:tc>
                <w:tcPr>
                  <w:tcW w:w="1091" w:type="dxa"/>
                  <w:shd w:val="clear" w:color="auto" w:fill="auto"/>
                  <w:noWrap w:val="0"/>
                  <w:vAlign w:val="center"/>
                </w:tcPr>
                <w:p w14:paraId="475E8598">
                  <w:pPr>
                    <w:jc w:val="center"/>
                    <w:rPr>
                      <w:rFonts w:hint="default"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1</w:t>
                  </w:r>
                </w:p>
              </w:tc>
              <w:tc>
                <w:tcPr>
                  <w:tcW w:w="1562" w:type="dxa"/>
                  <w:shd w:val="clear" w:color="auto" w:fill="auto"/>
                  <w:noWrap w:val="0"/>
                  <w:vAlign w:val="center"/>
                </w:tcPr>
                <w:p w14:paraId="01A90294">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eastAsia="zh-CN"/>
                    </w:rPr>
                    <w:t>新增</w:t>
                  </w:r>
                </w:p>
              </w:tc>
            </w:tr>
            <w:tr w14:paraId="044A4D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AB43875">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00917D35">
                  <w:pPr>
                    <w:ind w:left="-88" w:leftChars="-42" w:right="-76" w:rightChars="-36"/>
                    <w:jc w:val="center"/>
                    <w:rPr>
                      <w:rFonts w:hint="eastAsia" w:cs="Times New Roman"/>
                      <w:bCs/>
                      <w:color w:val="auto"/>
                      <w:kern w:val="24"/>
                      <w:sz w:val="18"/>
                      <w:szCs w:val="18"/>
                      <w:highlight w:val="none"/>
                      <w:lang w:val="en-US" w:eastAsia="zh-CN"/>
                    </w:rPr>
                  </w:pPr>
                </w:p>
              </w:tc>
              <w:tc>
                <w:tcPr>
                  <w:tcW w:w="2126" w:type="dxa"/>
                  <w:noWrap w:val="0"/>
                  <w:vAlign w:val="center"/>
                </w:tcPr>
                <w:p w14:paraId="0CD3EAD7">
                  <w:pPr>
                    <w:ind w:left="-88" w:leftChars="-42" w:right="-76" w:rightChars="-36"/>
                    <w:jc w:val="center"/>
                    <w:rPr>
                      <w:rFonts w:hint="eastAsia"/>
                      <w:color w:val="auto"/>
                      <w:sz w:val="18"/>
                      <w:szCs w:val="18"/>
                    </w:rPr>
                  </w:pPr>
                  <w:r>
                    <w:rPr>
                      <w:rFonts w:hint="eastAsia"/>
                      <w:color w:val="auto"/>
                      <w:sz w:val="18"/>
                      <w:szCs w:val="18"/>
                    </w:rPr>
                    <w:t>电动平板车</w:t>
                  </w:r>
                </w:p>
              </w:tc>
              <w:tc>
                <w:tcPr>
                  <w:tcW w:w="1644" w:type="dxa"/>
                  <w:noWrap w:val="0"/>
                  <w:vAlign w:val="center"/>
                </w:tcPr>
                <w:p w14:paraId="79583B92">
                  <w:pPr>
                    <w:jc w:val="center"/>
                    <w:rPr>
                      <w:rFonts w:hint="eastAsia"/>
                      <w:color w:val="auto"/>
                      <w:sz w:val="18"/>
                      <w:szCs w:val="18"/>
                      <w:lang w:val="en-US" w:eastAsia="zh-CN"/>
                    </w:rPr>
                  </w:pPr>
                  <w:r>
                    <w:rPr>
                      <w:rFonts w:hint="eastAsia"/>
                      <w:color w:val="auto"/>
                      <w:sz w:val="18"/>
                      <w:szCs w:val="18"/>
                    </w:rPr>
                    <w:t>5吨</w:t>
                  </w:r>
                </w:p>
              </w:tc>
              <w:tc>
                <w:tcPr>
                  <w:tcW w:w="1091" w:type="dxa"/>
                  <w:noWrap w:val="0"/>
                  <w:vAlign w:val="center"/>
                </w:tcPr>
                <w:p w14:paraId="20FB5C21">
                  <w:pPr>
                    <w:jc w:val="center"/>
                    <w:rPr>
                      <w:color w:val="auto"/>
                      <w:sz w:val="18"/>
                      <w:szCs w:val="18"/>
                    </w:rPr>
                  </w:pPr>
                  <w:r>
                    <w:rPr>
                      <w:rFonts w:hint="eastAsia"/>
                      <w:color w:val="auto"/>
                      <w:sz w:val="18"/>
                      <w:szCs w:val="18"/>
                    </w:rPr>
                    <w:t>2</w:t>
                  </w:r>
                </w:p>
              </w:tc>
              <w:tc>
                <w:tcPr>
                  <w:tcW w:w="1562" w:type="dxa"/>
                  <w:noWrap w:val="0"/>
                  <w:vAlign w:val="center"/>
                </w:tcPr>
                <w:p w14:paraId="614429E6">
                  <w:pPr>
                    <w:jc w:val="center"/>
                    <w:rPr>
                      <w:rFonts w:hint="eastAsia" w:cs="Times New Roman"/>
                      <w:sz w:val="18"/>
                      <w:szCs w:val="18"/>
                      <w:highlight w:val="none"/>
                      <w:lang w:eastAsia="zh-CN"/>
                    </w:rPr>
                  </w:pPr>
                  <w:r>
                    <w:rPr>
                      <w:rFonts w:hint="eastAsia" w:cs="Times New Roman"/>
                      <w:sz w:val="18"/>
                      <w:szCs w:val="18"/>
                      <w:highlight w:val="none"/>
                      <w:lang w:eastAsia="zh-CN"/>
                    </w:rPr>
                    <w:t>新增</w:t>
                  </w:r>
                </w:p>
              </w:tc>
            </w:tr>
            <w:tr w14:paraId="55E1AE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CB20A78">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1154B133">
                  <w:pPr>
                    <w:ind w:left="-88" w:leftChars="-42" w:right="-76" w:rightChars="-36"/>
                    <w:jc w:val="center"/>
                    <w:rPr>
                      <w:rFonts w:hint="eastAsia" w:cs="Times New Roman"/>
                      <w:bCs/>
                      <w:color w:val="auto"/>
                      <w:kern w:val="24"/>
                      <w:sz w:val="18"/>
                      <w:szCs w:val="18"/>
                      <w:highlight w:val="none"/>
                      <w:lang w:val="en-US" w:eastAsia="zh-CN"/>
                    </w:rPr>
                  </w:pPr>
                </w:p>
              </w:tc>
              <w:tc>
                <w:tcPr>
                  <w:tcW w:w="2126" w:type="dxa"/>
                  <w:noWrap w:val="0"/>
                  <w:vAlign w:val="center"/>
                </w:tcPr>
                <w:p w14:paraId="07A4A525">
                  <w:pPr>
                    <w:ind w:left="-88" w:leftChars="-42" w:right="-76" w:rightChars="-36"/>
                    <w:jc w:val="center"/>
                    <w:rPr>
                      <w:rFonts w:hint="eastAsia"/>
                      <w:color w:val="auto"/>
                      <w:sz w:val="18"/>
                      <w:szCs w:val="18"/>
                    </w:rPr>
                  </w:pPr>
                  <w:r>
                    <w:rPr>
                      <w:rFonts w:hint="eastAsia"/>
                      <w:color w:val="auto"/>
                      <w:sz w:val="18"/>
                      <w:szCs w:val="18"/>
                    </w:rPr>
                    <w:t>电动平板车</w:t>
                  </w:r>
                </w:p>
              </w:tc>
              <w:tc>
                <w:tcPr>
                  <w:tcW w:w="1644" w:type="dxa"/>
                  <w:noWrap w:val="0"/>
                  <w:vAlign w:val="center"/>
                </w:tcPr>
                <w:p w14:paraId="289A4553">
                  <w:pPr>
                    <w:jc w:val="center"/>
                    <w:rPr>
                      <w:rFonts w:hint="eastAsia"/>
                      <w:color w:val="auto"/>
                      <w:sz w:val="18"/>
                      <w:szCs w:val="18"/>
                      <w:lang w:val="en-US" w:eastAsia="zh-CN"/>
                    </w:rPr>
                  </w:pPr>
                  <w:r>
                    <w:rPr>
                      <w:rFonts w:hint="eastAsia"/>
                      <w:color w:val="auto"/>
                      <w:sz w:val="18"/>
                      <w:szCs w:val="18"/>
                    </w:rPr>
                    <w:t>10吨</w:t>
                  </w:r>
                </w:p>
              </w:tc>
              <w:tc>
                <w:tcPr>
                  <w:tcW w:w="1091" w:type="dxa"/>
                  <w:noWrap w:val="0"/>
                  <w:vAlign w:val="center"/>
                </w:tcPr>
                <w:p w14:paraId="37EFDCB9">
                  <w:pPr>
                    <w:jc w:val="center"/>
                    <w:rPr>
                      <w:color w:val="auto"/>
                      <w:sz w:val="18"/>
                      <w:szCs w:val="18"/>
                    </w:rPr>
                  </w:pPr>
                  <w:r>
                    <w:rPr>
                      <w:rFonts w:hint="eastAsia"/>
                      <w:color w:val="auto"/>
                      <w:sz w:val="18"/>
                      <w:szCs w:val="18"/>
                    </w:rPr>
                    <w:t>2</w:t>
                  </w:r>
                </w:p>
              </w:tc>
              <w:tc>
                <w:tcPr>
                  <w:tcW w:w="1562" w:type="dxa"/>
                  <w:noWrap w:val="0"/>
                  <w:vAlign w:val="center"/>
                </w:tcPr>
                <w:p w14:paraId="4E40E83A">
                  <w:pPr>
                    <w:jc w:val="center"/>
                    <w:rPr>
                      <w:rFonts w:hint="eastAsia" w:cs="Times New Roman"/>
                      <w:sz w:val="18"/>
                      <w:szCs w:val="18"/>
                      <w:highlight w:val="none"/>
                      <w:lang w:eastAsia="zh-CN"/>
                    </w:rPr>
                  </w:pPr>
                  <w:r>
                    <w:rPr>
                      <w:rFonts w:hint="eastAsia" w:cs="Times New Roman"/>
                      <w:sz w:val="18"/>
                      <w:szCs w:val="18"/>
                      <w:highlight w:val="none"/>
                      <w:lang w:eastAsia="zh-CN"/>
                    </w:rPr>
                    <w:t>新增</w:t>
                  </w:r>
                </w:p>
              </w:tc>
            </w:tr>
            <w:tr w14:paraId="1A6A2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39B7781">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6586D04B">
                  <w:pPr>
                    <w:ind w:left="-88" w:leftChars="-42" w:right="-76" w:rightChars="-36"/>
                    <w:jc w:val="center"/>
                    <w:rPr>
                      <w:rFonts w:hint="eastAsia" w:cs="Times New Roman"/>
                      <w:bCs/>
                      <w:color w:val="auto"/>
                      <w:kern w:val="24"/>
                      <w:sz w:val="18"/>
                      <w:szCs w:val="18"/>
                      <w:highlight w:val="none"/>
                      <w:lang w:val="en-US" w:eastAsia="zh-CN"/>
                    </w:rPr>
                  </w:pPr>
                </w:p>
              </w:tc>
              <w:tc>
                <w:tcPr>
                  <w:tcW w:w="2126" w:type="dxa"/>
                  <w:noWrap w:val="0"/>
                  <w:vAlign w:val="center"/>
                </w:tcPr>
                <w:p w14:paraId="0B90FABB">
                  <w:pPr>
                    <w:ind w:left="-88" w:leftChars="-42" w:right="-76" w:rightChars="-36"/>
                    <w:jc w:val="center"/>
                    <w:rPr>
                      <w:rFonts w:hint="eastAsia"/>
                      <w:color w:val="auto"/>
                      <w:sz w:val="18"/>
                      <w:szCs w:val="18"/>
                    </w:rPr>
                  </w:pPr>
                  <w:r>
                    <w:rPr>
                      <w:rFonts w:hint="eastAsia"/>
                      <w:color w:val="auto"/>
                      <w:sz w:val="18"/>
                      <w:szCs w:val="18"/>
                    </w:rPr>
                    <w:t>电动平板车</w:t>
                  </w:r>
                </w:p>
              </w:tc>
              <w:tc>
                <w:tcPr>
                  <w:tcW w:w="1644" w:type="dxa"/>
                  <w:noWrap w:val="0"/>
                  <w:vAlign w:val="center"/>
                </w:tcPr>
                <w:p w14:paraId="7AAF51BB">
                  <w:pPr>
                    <w:jc w:val="center"/>
                    <w:rPr>
                      <w:rFonts w:hint="eastAsia"/>
                      <w:color w:val="auto"/>
                      <w:sz w:val="18"/>
                      <w:szCs w:val="18"/>
                      <w:lang w:val="en-US" w:eastAsia="zh-CN"/>
                    </w:rPr>
                  </w:pPr>
                  <w:r>
                    <w:rPr>
                      <w:rFonts w:hint="eastAsia"/>
                      <w:color w:val="auto"/>
                      <w:sz w:val="18"/>
                      <w:szCs w:val="18"/>
                    </w:rPr>
                    <w:t>20吨</w:t>
                  </w:r>
                </w:p>
              </w:tc>
              <w:tc>
                <w:tcPr>
                  <w:tcW w:w="1091" w:type="dxa"/>
                  <w:noWrap w:val="0"/>
                  <w:vAlign w:val="center"/>
                </w:tcPr>
                <w:p w14:paraId="7F4C7299">
                  <w:pPr>
                    <w:jc w:val="center"/>
                    <w:rPr>
                      <w:color w:val="auto"/>
                      <w:sz w:val="18"/>
                      <w:szCs w:val="18"/>
                    </w:rPr>
                  </w:pPr>
                  <w:r>
                    <w:rPr>
                      <w:rFonts w:hint="eastAsia"/>
                      <w:color w:val="auto"/>
                      <w:sz w:val="18"/>
                      <w:szCs w:val="18"/>
                    </w:rPr>
                    <w:t>2</w:t>
                  </w:r>
                </w:p>
              </w:tc>
              <w:tc>
                <w:tcPr>
                  <w:tcW w:w="1562" w:type="dxa"/>
                  <w:noWrap w:val="0"/>
                  <w:vAlign w:val="center"/>
                </w:tcPr>
                <w:p w14:paraId="45A67540">
                  <w:pPr>
                    <w:jc w:val="center"/>
                    <w:rPr>
                      <w:rFonts w:hint="eastAsia" w:cs="Times New Roman"/>
                      <w:sz w:val="18"/>
                      <w:szCs w:val="18"/>
                      <w:highlight w:val="none"/>
                      <w:lang w:eastAsia="zh-CN"/>
                    </w:rPr>
                  </w:pPr>
                  <w:r>
                    <w:rPr>
                      <w:rFonts w:hint="eastAsia" w:cs="Times New Roman"/>
                      <w:sz w:val="18"/>
                      <w:szCs w:val="18"/>
                      <w:highlight w:val="none"/>
                      <w:lang w:eastAsia="zh-CN"/>
                    </w:rPr>
                    <w:t>新增</w:t>
                  </w:r>
                </w:p>
              </w:tc>
            </w:tr>
            <w:tr w14:paraId="2EB13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FD3B220">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5F41CA2A">
                  <w:pPr>
                    <w:ind w:left="-88" w:leftChars="-42" w:right="-76" w:rightChars="-36"/>
                    <w:jc w:val="center"/>
                    <w:rPr>
                      <w:rFonts w:hint="eastAsia" w:cs="Times New Roman"/>
                      <w:bCs/>
                      <w:color w:val="auto"/>
                      <w:kern w:val="24"/>
                      <w:sz w:val="18"/>
                      <w:szCs w:val="18"/>
                      <w:highlight w:val="none"/>
                      <w:lang w:val="en-US" w:eastAsia="zh-CN"/>
                    </w:rPr>
                  </w:pPr>
                </w:p>
              </w:tc>
              <w:tc>
                <w:tcPr>
                  <w:tcW w:w="2126" w:type="dxa"/>
                  <w:noWrap w:val="0"/>
                  <w:vAlign w:val="center"/>
                </w:tcPr>
                <w:p w14:paraId="711E4323">
                  <w:pPr>
                    <w:ind w:left="-88" w:leftChars="-42" w:right="-76" w:rightChars="-36"/>
                    <w:jc w:val="center"/>
                    <w:rPr>
                      <w:rFonts w:hint="eastAsia"/>
                      <w:color w:val="auto"/>
                      <w:sz w:val="18"/>
                      <w:szCs w:val="18"/>
                    </w:rPr>
                  </w:pPr>
                  <w:r>
                    <w:rPr>
                      <w:rFonts w:hint="eastAsia"/>
                      <w:color w:val="auto"/>
                      <w:sz w:val="18"/>
                      <w:szCs w:val="18"/>
                    </w:rPr>
                    <w:t>叉车</w:t>
                  </w:r>
                </w:p>
              </w:tc>
              <w:tc>
                <w:tcPr>
                  <w:tcW w:w="1644" w:type="dxa"/>
                  <w:noWrap w:val="0"/>
                  <w:vAlign w:val="center"/>
                </w:tcPr>
                <w:p w14:paraId="753035B9">
                  <w:pPr>
                    <w:jc w:val="center"/>
                    <w:rPr>
                      <w:rFonts w:hint="eastAsia"/>
                      <w:color w:val="auto"/>
                      <w:sz w:val="18"/>
                      <w:szCs w:val="18"/>
                    </w:rPr>
                  </w:pPr>
                  <w:r>
                    <w:rPr>
                      <w:rFonts w:hint="eastAsia"/>
                      <w:color w:val="auto"/>
                      <w:sz w:val="18"/>
                      <w:szCs w:val="18"/>
                    </w:rPr>
                    <w:t>5吨</w:t>
                  </w:r>
                </w:p>
              </w:tc>
              <w:tc>
                <w:tcPr>
                  <w:tcW w:w="1091" w:type="dxa"/>
                  <w:noWrap w:val="0"/>
                  <w:vAlign w:val="center"/>
                </w:tcPr>
                <w:p w14:paraId="4FF5D09A">
                  <w:pPr>
                    <w:jc w:val="center"/>
                    <w:rPr>
                      <w:rFonts w:hint="eastAsia"/>
                      <w:color w:val="auto"/>
                      <w:sz w:val="18"/>
                      <w:szCs w:val="18"/>
                    </w:rPr>
                  </w:pPr>
                  <w:r>
                    <w:rPr>
                      <w:rFonts w:hint="eastAsia"/>
                      <w:color w:val="auto"/>
                      <w:sz w:val="18"/>
                      <w:szCs w:val="18"/>
                    </w:rPr>
                    <w:t>2</w:t>
                  </w:r>
                </w:p>
              </w:tc>
              <w:tc>
                <w:tcPr>
                  <w:tcW w:w="1562" w:type="dxa"/>
                  <w:noWrap w:val="0"/>
                  <w:vAlign w:val="center"/>
                </w:tcPr>
                <w:p w14:paraId="43DED70B">
                  <w:pPr>
                    <w:jc w:val="center"/>
                    <w:rPr>
                      <w:rFonts w:hint="eastAsia" w:cs="Times New Roman"/>
                      <w:sz w:val="18"/>
                      <w:szCs w:val="18"/>
                      <w:highlight w:val="none"/>
                      <w:lang w:eastAsia="zh-CN"/>
                    </w:rPr>
                  </w:pPr>
                  <w:r>
                    <w:rPr>
                      <w:rFonts w:hint="eastAsia" w:cs="Times New Roman"/>
                      <w:sz w:val="18"/>
                      <w:szCs w:val="18"/>
                      <w:highlight w:val="none"/>
                      <w:lang w:eastAsia="zh-CN"/>
                    </w:rPr>
                    <w:t>新增</w:t>
                  </w:r>
                </w:p>
              </w:tc>
            </w:tr>
            <w:tr w14:paraId="419A6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6906FBF">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noWrap w:val="0"/>
                  <w:vAlign w:val="center"/>
                </w:tcPr>
                <w:p w14:paraId="44FE7FFA">
                  <w:pPr>
                    <w:ind w:left="-88" w:leftChars="-42" w:right="-76" w:rightChars="-36"/>
                    <w:jc w:val="center"/>
                    <w:rPr>
                      <w:rFonts w:hint="eastAsia" w:cs="Times New Roman"/>
                      <w:bCs/>
                      <w:color w:val="auto"/>
                      <w:kern w:val="24"/>
                      <w:sz w:val="18"/>
                      <w:szCs w:val="18"/>
                      <w:highlight w:val="none"/>
                      <w:lang w:val="en-US" w:eastAsia="zh-CN"/>
                    </w:rPr>
                  </w:pPr>
                </w:p>
              </w:tc>
              <w:tc>
                <w:tcPr>
                  <w:tcW w:w="2126" w:type="dxa"/>
                  <w:noWrap w:val="0"/>
                  <w:vAlign w:val="center"/>
                </w:tcPr>
                <w:p w14:paraId="5A694F99">
                  <w:pPr>
                    <w:ind w:left="-88" w:leftChars="-42" w:right="-76" w:rightChars="-36"/>
                    <w:jc w:val="center"/>
                    <w:rPr>
                      <w:rFonts w:hint="eastAsia"/>
                      <w:color w:val="auto"/>
                      <w:sz w:val="18"/>
                      <w:szCs w:val="18"/>
                    </w:rPr>
                  </w:pPr>
                  <w:r>
                    <w:rPr>
                      <w:rFonts w:hint="eastAsia"/>
                      <w:color w:val="auto"/>
                      <w:sz w:val="18"/>
                      <w:szCs w:val="18"/>
                    </w:rPr>
                    <w:t>叉车</w:t>
                  </w:r>
                </w:p>
              </w:tc>
              <w:tc>
                <w:tcPr>
                  <w:tcW w:w="1644" w:type="dxa"/>
                  <w:noWrap w:val="0"/>
                  <w:vAlign w:val="center"/>
                </w:tcPr>
                <w:p w14:paraId="32ADCD4D">
                  <w:pPr>
                    <w:jc w:val="center"/>
                    <w:rPr>
                      <w:rFonts w:hint="eastAsia"/>
                      <w:color w:val="auto"/>
                      <w:sz w:val="18"/>
                      <w:szCs w:val="18"/>
                    </w:rPr>
                  </w:pPr>
                  <w:r>
                    <w:rPr>
                      <w:rFonts w:hint="eastAsia"/>
                      <w:color w:val="auto"/>
                      <w:sz w:val="18"/>
                      <w:szCs w:val="18"/>
                    </w:rPr>
                    <w:t>10吨</w:t>
                  </w:r>
                </w:p>
              </w:tc>
              <w:tc>
                <w:tcPr>
                  <w:tcW w:w="1091" w:type="dxa"/>
                  <w:noWrap w:val="0"/>
                  <w:vAlign w:val="center"/>
                </w:tcPr>
                <w:p w14:paraId="4F3A5CC3">
                  <w:pPr>
                    <w:jc w:val="center"/>
                    <w:rPr>
                      <w:rFonts w:hint="eastAsia"/>
                      <w:color w:val="auto"/>
                      <w:sz w:val="18"/>
                      <w:szCs w:val="18"/>
                    </w:rPr>
                  </w:pPr>
                  <w:r>
                    <w:rPr>
                      <w:rFonts w:hint="eastAsia"/>
                      <w:color w:val="auto"/>
                      <w:sz w:val="18"/>
                      <w:szCs w:val="18"/>
                    </w:rPr>
                    <w:t>2</w:t>
                  </w:r>
                </w:p>
              </w:tc>
              <w:tc>
                <w:tcPr>
                  <w:tcW w:w="1562" w:type="dxa"/>
                  <w:noWrap w:val="0"/>
                  <w:vAlign w:val="center"/>
                </w:tcPr>
                <w:p w14:paraId="150B2561">
                  <w:pPr>
                    <w:jc w:val="center"/>
                    <w:rPr>
                      <w:rFonts w:hint="eastAsia" w:cs="Times New Roman"/>
                      <w:sz w:val="18"/>
                      <w:szCs w:val="18"/>
                      <w:highlight w:val="none"/>
                      <w:lang w:eastAsia="zh-CN"/>
                    </w:rPr>
                  </w:pPr>
                  <w:r>
                    <w:rPr>
                      <w:rFonts w:hint="eastAsia" w:cs="Times New Roman"/>
                      <w:sz w:val="18"/>
                      <w:szCs w:val="18"/>
                      <w:highlight w:val="none"/>
                      <w:lang w:eastAsia="zh-CN"/>
                    </w:rPr>
                    <w:t>新增</w:t>
                  </w:r>
                </w:p>
              </w:tc>
            </w:tr>
            <w:tr w14:paraId="6149A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69515F12">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04C6B39E">
                  <w:pPr>
                    <w:ind w:left="-88" w:leftChars="-42" w:right="-76" w:rightChars="-36"/>
                    <w:jc w:val="center"/>
                    <w:rPr>
                      <w:rFonts w:hint="eastAsia" w:ascii="Times New Roman" w:hAnsi="Times New Roman" w:eastAsia="宋体" w:cs="Times New Roman"/>
                      <w:color w:val="auto"/>
                      <w:kern w:val="2"/>
                      <w:sz w:val="18"/>
                      <w:szCs w:val="18"/>
                      <w:lang w:val="en-US" w:eastAsia="zh-CN" w:bidi="ar-SA"/>
                    </w:rPr>
                  </w:pPr>
                </w:p>
              </w:tc>
              <w:tc>
                <w:tcPr>
                  <w:tcW w:w="2126" w:type="dxa"/>
                  <w:shd w:val="clear" w:color="auto" w:fill="auto"/>
                  <w:noWrap w:val="0"/>
                  <w:vAlign w:val="center"/>
                </w:tcPr>
                <w:p w14:paraId="07DCDED7">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行车</w:t>
                  </w:r>
                </w:p>
              </w:tc>
              <w:tc>
                <w:tcPr>
                  <w:tcW w:w="1644" w:type="dxa"/>
                  <w:shd w:val="clear" w:color="auto" w:fill="auto"/>
                  <w:noWrap w:val="0"/>
                  <w:vAlign w:val="center"/>
                </w:tcPr>
                <w:p w14:paraId="76CE5C26">
                  <w:pPr>
                    <w:jc w:val="center"/>
                    <w:rPr>
                      <w:rFonts w:hint="eastAsia"/>
                      <w:color w:val="auto"/>
                      <w:sz w:val="18"/>
                      <w:szCs w:val="18"/>
                    </w:rPr>
                  </w:pPr>
                  <w:r>
                    <w:rPr>
                      <w:rFonts w:hint="eastAsia"/>
                      <w:color w:val="auto"/>
                      <w:sz w:val="18"/>
                      <w:szCs w:val="18"/>
                    </w:rPr>
                    <w:t>LD5-16.5A3</w:t>
                  </w:r>
                </w:p>
                <w:p w14:paraId="164E9BB5">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(10吨)</w:t>
                  </w:r>
                </w:p>
              </w:tc>
              <w:tc>
                <w:tcPr>
                  <w:tcW w:w="1091" w:type="dxa"/>
                  <w:shd w:val="clear" w:color="auto" w:fill="auto"/>
                  <w:noWrap w:val="0"/>
                  <w:vAlign w:val="center"/>
                </w:tcPr>
                <w:p w14:paraId="4DD7760A">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r>
                    <w:rPr>
                      <w:rFonts w:hint="eastAsia"/>
                      <w:color w:val="auto"/>
                      <w:sz w:val="18"/>
                      <w:szCs w:val="18"/>
                    </w:rPr>
                    <w:t>0</w:t>
                  </w:r>
                </w:p>
              </w:tc>
              <w:tc>
                <w:tcPr>
                  <w:tcW w:w="1562" w:type="dxa"/>
                  <w:shd w:val="clear" w:color="auto" w:fill="auto"/>
                  <w:noWrap w:val="0"/>
                  <w:vAlign w:val="center"/>
                </w:tcPr>
                <w:p w14:paraId="7E04DF33">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eastAsia="zh-CN"/>
                    </w:rPr>
                    <w:t>新增</w:t>
                  </w:r>
                </w:p>
              </w:tc>
            </w:tr>
            <w:tr w14:paraId="7D1E2D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4490A9E2">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425814B2">
                  <w:pPr>
                    <w:ind w:left="-88" w:leftChars="-42" w:right="-76" w:rightChars="-36"/>
                    <w:jc w:val="center"/>
                    <w:rPr>
                      <w:rFonts w:hint="eastAsia" w:ascii="Times New Roman" w:hAnsi="Times New Roman" w:eastAsia="宋体" w:cs="Times New Roman"/>
                      <w:color w:val="auto"/>
                      <w:kern w:val="2"/>
                      <w:sz w:val="18"/>
                      <w:szCs w:val="18"/>
                      <w:lang w:val="en-US" w:eastAsia="zh-CN" w:bidi="ar-SA"/>
                    </w:rPr>
                  </w:pPr>
                </w:p>
              </w:tc>
              <w:tc>
                <w:tcPr>
                  <w:tcW w:w="2126" w:type="dxa"/>
                  <w:shd w:val="clear" w:color="auto" w:fill="auto"/>
                  <w:noWrap w:val="0"/>
                  <w:vAlign w:val="center"/>
                </w:tcPr>
                <w:p w14:paraId="5476C599">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行车</w:t>
                  </w:r>
                </w:p>
              </w:tc>
              <w:tc>
                <w:tcPr>
                  <w:tcW w:w="1644" w:type="dxa"/>
                  <w:shd w:val="clear" w:color="auto" w:fill="auto"/>
                  <w:noWrap w:val="0"/>
                  <w:vAlign w:val="center"/>
                </w:tcPr>
                <w:p w14:paraId="4380FDEE">
                  <w:pPr>
                    <w:jc w:val="center"/>
                    <w:rPr>
                      <w:rFonts w:hint="eastAsia"/>
                      <w:color w:val="auto"/>
                      <w:sz w:val="18"/>
                      <w:szCs w:val="18"/>
                    </w:rPr>
                  </w:pPr>
                  <w:r>
                    <w:rPr>
                      <w:rFonts w:hint="eastAsia"/>
                      <w:color w:val="auto"/>
                      <w:sz w:val="18"/>
                      <w:szCs w:val="18"/>
                    </w:rPr>
                    <w:t>LD10-16.5A3</w:t>
                  </w:r>
                </w:p>
                <w:p w14:paraId="6486E836">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(20吨)</w:t>
                  </w:r>
                </w:p>
              </w:tc>
              <w:tc>
                <w:tcPr>
                  <w:tcW w:w="1091" w:type="dxa"/>
                  <w:shd w:val="clear" w:color="auto" w:fill="auto"/>
                  <w:noWrap w:val="0"/>
                  <w:vAlign w:val="center"/>
                </w:tcPr>
                <w:p w14:paraId="40861ABB">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5</w:t>
                  </w:r>
                </w:p>
              </w:tc>
              <w:tc>
                <w:tcPr>
                  <w:tcW w:w="1562" w:type="dxa"/>
                  <w:shd w:val="clear" w:color="auto" w:fill="auto"/>
                  <w:noWrap w:val="0"/>
                  <w:vAlign w:val="center"/>
                </w:tcPr>
                <w:p w14:paraId="2F0727BA">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eastAsia="zh-CN"/>
                    </w:rPr>
                    <w:t>新增</w:t>
                  </w:r>
                </w:p>
              </w:tc>
            </w:tr>
            <w:tr w14:paraId="5BA342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4CB5D6E">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684A84B3">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p>
              </w:tc>
              <w:tc>
                <w:tcPr>
                  <w:tcW w:w="2126" w:type="dxa"/>
                  <w:shd w:val="clear" w:color="auto" w:fill="auto"/>
                  <w:noWrap w:val="0"/>
                  <w:vAlign w:val="center"/>
                </w:tcPr>
                <w:p w14:paraId="4172B4BF">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行车</w:t>
                  </w:r>
                </w:p>
              </w:tc>
              <w:tc>
                <w:tcPr>
                  <w:tcW w:w="1644" w:type="dxa"/>
                  <w:shd w:val="clear" w:color="auto" w:fill="auto"/>
                  <w:noWrap w:val="0"/>
                  <w:vAlign w:val="center"/>
                </w:tcPr>
                <w:p w14:paraId="7E8BA761">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2吨</w:t>
                  </w:r>
                </w:p>
              </w:tc>
              <w:tc>
                <w:tcPr>
                  <w:tcW w:w="1091" w:type="dxa"/>
                  <w:shd w:val="clear" w:color="auto" w:fill="auto"/>
                  <w:noWrap w:val="0"/>
                  <w:vAlign w:val="center"/>
                </w:tcPr>
                <w:p w14:paraId="5DEA45AE">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10</w:t>
                  </w:r>
                </w:p>
              </w:tc>
              <w:tc>
                <w:tcPr>
                  <w:tcW w:w="1562" w:type="dxa"/>
                  <w:shd w:val="clear" w:color="auto" w:fill="auto"/>
                  <w:noWrap w:val="0"/>
                  <w:vAlign w:val="center"/>
                </w:tcPr>
                <w:p w14:paraId="15BBF625">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新增</w:t>
                  </w:r>
                </w:p>
              </w:tc>
            </w:tr>
            <w:tr w14:paraId="3D6FE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0DA4D360">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4445B873">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p>
              </w:tc>
              <w:tc>
                <w:tcPr>
                  <w:tcW w:w="2126" w:type="dxa"/>
                  <w:shd w:val="clear" w:color="auto" w:fill="auto"/>
                  <w:noWrap w:val="0"/>
                  <w:vAlign w:val="center"/>
                </w:tcPr>
                <w:p w14:paraId="6AD312A3">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单臂吊</w:t>
                  </w:r>
                </w:p>
              </w:tc>
              <w:tc>
                <w:tcPr>
                  <w:tcW w:w="1644" w:type="dxa"/>
                  <w:shd w:val="clear" w:color="auto" w:fill="auto"/>
                  <w:noWrap w:val="0"/>
                  <w:vAlign w:val="center"/>
                </w:tcPr>
                <w:p w14:paraId="287450EC">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2吨</w:t>
                  </w:r>
                </w:p>
              </w:tc>
              <w:tc>
                <w:tcPr>
                  <w:tcW w:w="1091" w:type="dxa"/>
                  <w:shd w:val="clear" w:color="auto" w:fill="auto"/>
                  <w:noWrap w:val="0"/>
                  <w:vAlign w:val="center"/>
                </w:tcPr>
                <w:p w14:paraId="437A80BD">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20</w:t>
                  </w:r>
                </w:p>
              </w:tc>
              <w:tc>
                <w:tcPr>
                  <w:tcW w:w="1562" w:type="dxa"/>
                  <w:shd w:val="clear" w:color="auto" w:fill="auto"/>
                  <w:noWrap w:val="0"/>
                  <w:vAlign w:val="center"/>
                </w:tcPr>
                <w:p w14:paraId="299A410A">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新增</w:t>
                  </w:r>
                </w:p>
              </w:tc>
            </w:tr>
            <w:tr w14:paraId="18091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1E1A0CE3">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149AF17B">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p>
              </w:tc>
              <w:tc>
                <w:tcPr>
                  <w:tcW w:w="2126" w:type="dxa"/>
                  <w:shd w:val="clear" w:color="auto" w:fill="auto"/>
                  <w:noWrap w:val="0"/>
                  <w:vAlign w:val="center"/>
                </w:tcPr>
                <w:p w14:paraId="2BAEB57E">
                  <w:pPr>
                    <w:ind w:left="-88" w:leftChars="-42" w:right="-76" w:rightChars="-36"/>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rPr>
                    <w:t>龙门吊</w:t>
                  </w:r>
                </w:p>
              </w:tc>
              <w:tc>
                <w:tcPr>
                  <w:tcW w:w="1644" w:type="dxa"/>
                  <w:shd w:val="clear" w:color="auto" w:fill="auto"/>
                  <w:noWrap w:val="0"/>
                  <w:vAlign w:val="center"/>
                </w:tcPr>
                <w:p w14:paraId="4DFA97F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5吨</w:t>
                  </w:r>
                </w:p>
              </w:tc>
              <w:tc>
                <w:tcPr>
                  <w:tcW w:w="1091" w:type="dxa"/>
                  <w:shd w:val="clear" w:color="auto" w:fill="auto"/>
                  <w:noWrap w:val="0"/>
                  <w:vAlign w:val="center"/>
                </w:tcPr>
                <w:p w14:paraId="024B46BF">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olor w:val="auto"/>
                      <w:sz w:val="18"/>
                      <w:szCs w:val="18"/>
                      <w:highlight w:val="none"/>
                      <w:lang w:val="en-US" w:eastAsia="zh-CN"/>
                    </w:rPr>
                    <w:t>5</w:t>
                  </w:r>
                </w:p>
              </w:tc>
              <w:tc>
                <w:tcPr>
                  <w:tcW w:w="1562" w:type="dxa"/>
                  <w:shd w:val="clear" w:color="auto" w:fill="auto"/>
                  <w:noWrap w:val="0"/>
                  <w:vAlign w:val="center"/>
                </w:tcPr>
                <w:p w14:paraId="464F4DA1">
                  <w:pPr>
                    <w:jc w:val="center"/>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eastAsia="zh-CN"/>
                    </w:rPr>
                    <w:t>新增</w:t>
                  </w:r>
                </w:p>
              </w:tc>
            </w:tr>
            <w:tr w14:paraId="0D7712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536CD476">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4DBBD4CA">
                  <w:pPr>
                    <w:ind w:left="-88" w:leftChars="-42" w:right="-76" w:rightChars="-36"/>
                    <w:jc w:val="center"/>
                    <w:rPr>
                      <w:rFonts w:hint="eastAsia" w:ascii="Times New Roman" w:hAnsi="Times New Roman" w:eastAsia="宋体" w:cs="Times New Roman"/>
                      <w:color w:val="auto"/>
                      <w:kern w:val="2"/>
                      <w:sz w:val="18"/>
                      <w:szCs w:val="18"/>
                      <w:lang w:val="en-US" w:eastAsia="zh-CN" w:bidi="ar-SA"/>
                    </w:rPr>
                  </w:pPr>
                </w:p>
              </w:tc>
              <w:tc>
                <w:tcPr>
                  <w:tcW w:w="2126" w:type="dxa"/>
                  <w:shd w:val="clear" w:color="auto" w:fill="auto"/>
                  <w:noWrap w:val="0"/>
                  <w:vAlign w:val="center"/>
                </w:tcPr>
                <w:p w14:paraId="69BF1E23">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砂轮机</w:t>
                  </w:r>
                </w:p>
              </w:tc>
              <w:tc>
                <w:tcPr>
                  <w:tcW w:w="1644" w:type="dxa"/>
                  <w:shd w:val="clear" w:color="auto" w:fill="auto"/>
                  <w:noWrap w:val="0"/>
                  <w:vAlign w:val="center"/>
                </w:tcPr>
                <w:p w14:paraId="55DB9289">
                  <w:pPr>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1091" w:type="dxa"/>
                  <w:shd w:val="clear" w:color="auto" w:fill="auto"/>
                  <w:noWrap w:val="0"/>
                  <w:vAlign w:val="center"/>
                </w:tcPr>
                <w:p w14:paraId="043572AC">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4</w:t>
                  </w:r>
                </w:p>
              </w:tc>
              <w:tc>
                <w:tcPr>
                  <w:tcW w:w="1562" w:type="dxa"/>
                  <w:shd w:val="clear" w:color="auto" w:fill="auto"/>
                  <w:noWrap w:val="0"/>
                  <w:vAlign w:val="center"/>
                </w:tcPr>
                <w:p w14:paraId="74FAF9E1">
                  <w:pPr>
                    <w:jc w:val="center"/>
                    <w:rPr>
                      <w:rFonts w:hint="eastAsia"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eastAsia="zh-CN"/>
                    </w:rPr>
                    <w:t>新增</w:t>
                  </w:r>
                </w:p>
              </w:tc>
            </w:tr>
            <w:tr w14:paraId="2A79BA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B965624">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restart"/>
                  <w:shd w:val="clear" w:color="auto" w:fill="auto"/>
                  <w:noWrap w:val="0"/>
                  <w:vAlign w:val="center"/>
                </w:tcPr>
                <w:p w14:paraId="72C40218">
                  <w:pPr>
                    <w:ind w:left="-88" w:leftChars="-42" w:right="-76" w:rightChars="-36"/>
                    <w:jc w:val="center"/>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环保单元</w:t>
                  </w:r>
                </w:p>
              </w:tc>
              <w:tc>
                <w:tcPr>
                  <w:tcW w:w="2126" w:type="dxa"/>
                  <w:shd w:val="clear" w:color="auto" w:fill="auto"/>
                  <w:noWrap w:val="0"/>
                  <w:vAlign w:val="center"/>
                </w:tcPr>
                <w:p w14:paraId="58BF8A3B">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迷宫式过滤箱</w:t>
                  </w:r>
                </w:p>
              </w:tc>
              <w:tc>
                <w:tcPr>
                  <w:tcW w:w="1644" w:type="dxa"/>
                  <w:shd w:val="clear" w:color="auto" w:fill="auto"/>
                  <w:noWrap w:val="0"/>
                  <w:vAlign w:val="center"/>
                </w:tcPr>
                <w:p w14:paraId="72EF69FC">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w:t>
                  </w:r>
                </w:p>
              </w:tc>
              <w:tc>
                <w:tcPr>
                  <w:tcW w:w="1091" w:type="dxa"/>
                  <w:shd w:val="clear" w:color="auto" w:fill="auto"/>
                  <w:noWrap w:val="0"/>
                  <w:vAlign w:val="center"/>
                </w:tcPr>
                <w:p w14:paraId="07549C61">
                  <w:pPr>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1562" w:type="dxa"/>
                  <w:shd w:val="clear" w:color="auto" w:fill="auto"/>
                  <w:noWrap w:val="0"/>
                  <w:vAlign w:val="center"/>
                </w:tcPr>
                <w:p w14:paraId="47363F65">
                  <w:pPr>
                    <w:jc w:val="center"/>
                    <w:rPr>
                      <w:rFonts w:hint="default"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w:t>
                  </w:r>
                </w:p>
              </w:tc>
            </w:tr>
            <w:tr w14:paraId="28474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21B771C8">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46662DE5">
                  <w:pPr>
                    <w:ind w:left="-88" w:leftChars="-42" w:right="-76" w:rightChars="-36"/>
                    <w:jc w:val="center"/>
                    <w:rPr>
                      <w:rFonts w:hint="eastAsia" w:cs="Times New Roman"/>
                      <w:color w:val="auto"/>
                      <w:kern w:val="2"/>
                      <w:sz w:val="18"/>
                      <w:szCs w:val="18"/>
                      <w:lang w:val="en-US" w:eastAsia="zh-CN" w:bidi="ar-SA"/>
                    </w:rPr>
                  </w:pPr>
                </w:p>
              </w:tc>
              <w:tc>
                <w:tcPr>
                  <w:tcW w:w="2126" w:type="dxa"/>
                  <w:shd w:val="clear" w:color="auto" w:fill="auto"/>
                  <w:noWrap w:val="0"/>
                  <w:vAlign w:val="center"/>
                </w:tcPr>
                <w:p w14:paraId="1C4BAA40">
                  <w:pPr>
                    <w:ind w:left="-88" w:leftChars="-42" w:right="-76" w:rightChars="-36"/>
                    <w:jc w:val="center"/>
                    <w:rPr>
                      <w:rFonts w:hint="default"/>
                      <w:color w:val="auto"/>
                      <w:sz w:val="18"/>
                      <w:szCs w:val="18"/>
                      <w:lang w:val="en-US" w:eastAsia="zh-CN"/>
                    </w:rPr>
                  </w:pPr>
                  <w:r>
                    <w:rPr>
                      <w:rFonts w:hint="eastAsia"/>
                      <w:color w:val="auto"/>
                      <w:sz w:val="18"/>
                      <w:szCs w:val="18"/>
                      <w:lang w:val="en-US" w:eastAsia="zh-CN"/>
                    </w:rPr>
                    <w:t>滤筒除尘器</w:t>
                  </w:r>
                </w:p>
              </w:tc>
              <w:tc>
                <w:tcPr>
                  <w:tcW w:w="1644" w:type="dxa"/>
                  <w:shd w:val="clear" w:color="auto" w:fill="auto"/>
                  <w:noWrap w:val="0"/>
                  <w:vAlign w:val="center"/>
                </w:tcPr>
                <w:p w14:paraId="18CAF3E7">
                  <w:pPr>
                    <w:jc w:val="center"/>
                    <w:rPr>
                      <w:rFonts w:hint="default"/>
                      <w:color w:val="auto"/>
                      <w:sz w:val="18"/>
                      <w:szCs w:val="18"/>
                      <w:lang w:val="en-US" w:eastAsia="zh-CN"/>
                    </w:rPr>
                  </w:pPr>
                  <w:r>
                    <w:rPr>
                      <w:rFonts w:hint="eastAsia"/>
                      <w:color w:val="auto"/>
                      <w:sz w:val="18"/>
                      <w:szCs w:val="18"/>
                      <w:lang w:val="en-US" w:eastAsia="zh-CN"/>
                    </w:rPr>
                    <w:t>6000</w:t>
                  </w:r>
                  <w:r>
                    <w:rPr>
                      <w:rFonts w:hint="eastAsia" w:cs="Times New Roman"/>
                      <w:color w:val="auto"/>
                      <w:kern w:val="2"/>
                      <w:sz w:val="18"/>
                      <w:szCs w:val="18"/>
                      <w:lang w:val="en-US" w:eastAsia="zh-CN" w:bidi="ar-SA"/>
                    </w:rPr>
                    <w:t>m</w:t>
                  </w:r>
                  <w:r>
                    <w:rPr>
                      <w:rFonts w:hint="eastAsia" w:cs="Times New Roman"/>
                      <w:color w:val="auto"/>
                      <w:kern w:val="2"/>
                      <w:sz w:val="18"/>
                      <w:szCs w:val="18"/>
                      <w:vertAlign w:val="superscript"/>
                      <w:lang w:val="en-US" w:eastAsia="zh-CN" w:bidi="ar-SA"/>
                    </w:rPr>
                    <w:t>3</w:t>
                  </w:r>
                  <w:r>
                    <w:rPr>
                      <w:rFonts w:hint="eastAsia" w:cs="Times New Roman"/>
                      <w:color w:val="auto"/>
                      <w:kern w:val="2"/>
                      <w:sz w:val="18"/>
                      <w:szCs w:val="18"/>
                      <w:vertAlign w:val="baseline"/>
                      <w:lang w:val="en-US" w:eastAsia="zh-CN" w:bidi="ar-SA"/>
                    </w:rPr>
                    <w:t>/h</w:t>
                  </w:r>
                </w:p>
              </w:tc>
              <w:tc>
                <w:tcPr>
                  <w:tcW w:w="1091" w:type="dxa"/>
                  <w:shd w:val="clear" w:color="auto" w:fill="auto"/>
                  <w:noWrap w:val="0"/>
                  <w:vAlign w:val="center"/>
                </w:tcPr>
                <w:p w14:paraId="306CCEBD">
                  <w:pPr>
                    <w:jc w:val="center"/>
                    <w:rPr>
                      <w:rFonts w:hint="default"/>
                      <w:color w:val="auto"/>
                      <w:sz w:val="18"/>
                      <w:szCs w:val="18"/>
                      <w:lang w:val="en-US" w:eastAsia="zh-CN"/>
                    </w:rPr>
                  </w:pPr>
                  <w:r>
                    <w:rPr>
                      <w:rFonts w:hint="eastAsia"/>
                      <w:color w:val="auto"/>
                      <w:sz w:val="18"/>
                      <w:szCs w:val="18"/>
                      <w:lang w:val="en-US" w:eastAsia="zh-CN"/>
                    </w:rPr>
                    <w:t>1</w:t>
                  </w:r>
                </w:p>
              </w:tc>
              <w:tc>
                <w:tcPr>
                  <w:tcW w:w="1562" w:type="dxa"/>
                  <w:shd w:val="clear" w:color="auto" w:fill="auto"/>
                  <w:noWrap w:val="0"/>
                  <w:vAlign w:val="center"/>
                </w:tcPr>
                <w:p w14:paraId="3E574D06">
                  <w:pPr>
                    <w:jc w:val="center"/>
                    <w:rPr>
                      <w:rFonts w:hint="default" w:cs="Times New Roman"/>
                      <w:sz w:val="18"/>
                      <w:szCs w:val="18"/>
                      <w:highlight w:val="none"/>
                      <w:lang w:val="en-US" w:eastAsia="zh-CN"/>
                    </w:rPr>
                  </w:pPr>
                  <w:r>
                    <w:rPr>
                      <w:rFonts w:hint="eastAsia" w:cs="Times New Roman"/>
                      <w:sz w:val="18"/>
                      <w:szCs w:val="18"/>
                      <w:highlight w:val="none"/>
                      <w:lang w:val="en-US" w:eastAsia="zh-CN"/>
                    </w:rPr>
                    <w:t>--</w:t>
                  </w:r>
                </w:p>
              </w:tc>
            </w:tr>
            <w:tr w14:paraId="7F91B4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54" w:type="dxa"/>
                  <w:noWrap w:val="0"/>
                  <w:vAlign w:val="center"/>
                </w:tcPr>
                <w:p w14:paraId="352C625B">
                  <w:pPr>
                    <w:numPr>
                      <w:ilvl w:val="0"/>
                      <w:numId w:val="19"/>
                    </w:numPr>
                    <w:ind w:left="425" w:leftChars="0" w:hanging="425" w:firstLineChars="0"/>
                    <w:jc w:val="center"/>
                    <w:textAlignment w:val="center"/>
                    <w:rPr>
                      <w:rFonts w:hint="eastAsia"/>
                      <w:sz w:val="18"/>
                      <w:szCs w:val="18"/>
                      <w:highlight w:val="none"/>
                      <w:lang w:val="en-US" w:eastAsia="zh-CN"/>
                    </w:rPr>
                  </w:pPr>
                </w:p>
              </w:tc>
              <w:tc>
                <w:tcPr>
                  <w:tcW w:w="1337" w:type="dxa"/>
                  <w:vMerge w:val="continue"/>
                  <w:shd w:val="clear" w:color="auto" w:fill="auto"/>
                  <w:noWrap w:val="0"/>
                  <w:vAlign w:val="center"/>
                </w:tcPr>
                <w:p w14:paraId="28824CFB">
                  <w:pPr>
                    <w:ind w:left="-88" w:leftChars="-42" w:right="-76" w:rightChars="-36"/>
                    <w:jc w:val="center"/>
                    <w:rPr>
                      <w:rFonts w:hint="eastAsia" w:ascii="Times New Roman" w:hAnsi="Times New Roman" w:eastAsia="宋体" w:cs="Times New Roman"/>
                      <w:color w:val="auto"/>
                      <w:kern w:val="2"/>
                      <w:sz w:val="18"/>
                      <w:szCs w:val="18"/>
                      <w:lang w:val="en-US" w:eastAsia="zh-CN" w:bidi="ar-SA"/>
                    </w:rPr>
                  </w:pPr>
                </w:p>
              </w:tc>
              <w:tc>
                <w:tcPr>
                  <w:tcW w:w="2126" w:type="dxa"/>
                  <w:shd w:val="clear" w:color="auto" w:fill="auto"/>
                  <w:noWrap w:val="0"/>
                  <w:vAlign w:val="center"/>
                </w:tcPr>
                <w:p w14:paraId="6F25E527">
                  <w:pPr>
                    <w:ind w:left="-88" w:leftChars="-42" w:right="-76" w:rightChars="-36"/>
                    <w:jc w:val="center"/>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两级</w:t>
                  </w:r>
                  <w:r>
                    <w:rPr>
                      <w:rFonts w:hint="eastAsia"/>
                      <w:color w:val="auto"/>
                      <w:sz w:val="18"/>
                      <w:szCs w:val="18"/>
                    </w:rPr>
                    <w:t>活性炭</w:t>
                  </w:r>
                  <w:r>
                    <w:rPr>
                      <w:rFonts w:hint="eastAsia"/>
                      <w:color w:val="auto"/>
                      <w:sz w:val="18"/>
                      <w:szCs w:val="18"/>
                      <w:lang w:eastAsia="zh-CN"/>
                    </w:rPr>
                    <w:t>吸附</w:t>
                  </w:r>
                  <w:r>
                    <w:rPr>
                      <w:rFonts w:hint="eastAsia"/>
                      <w:color w:val="auto"/>
                      <w:sz w:val="18"/>
                      <w:szCs w:val="18"/>
                    </w:rPr>
                    <w:t>装置</w:t>
                  </w:r>
                </w:p>
              </w:tc>
              <w:tc>
                <w:tcPr>
                  <w:tcW w:w="1644" w:type="dxa"/>
                  <w:shd w:val="clear" w:color="auto" w:fill="auto"/>
                  <w:noWrap w:val="0"/>
                  <w:vAlign w:val="center"/>
                </w:tcPr>
                <w:p w14:paraId="7DCB9121">
                  <w:pPr>
                    <w:jc w:val="center"/>
                    <w:rPr>
                      <w:rFonts w:hint="eastAsia" w:ascii="Times New Roman" w:hAnsi="Times New Roman" w:eastAsia="宋体" w:cs="Times New Roman"/>
                      <w:color w:val="auto"/>
                      <w:kern w:val="2"/>
                      <w:sz w:val="18"/>
                      <w:szCs w:val="18"/>
                      <w:vertAlign w:val="baseline"/>
                      <w:lang w:val="en-US" w:eastAsia="zh-CN" w:bidi="ar-SA"/>
                    </w:rPr>
                  </w:pPr>
                  <w:r>
                    <w:rPr>
                      <w:rFonts w:hint="eastAsia" w:cs="Times New Roman"/>
                      <w:color w:val="auto"/>
                      <w:kern w:val="2"/>
                      <w:sz w:val="18"/>
                      <w:szCs w:val="18"/>
                      <w:lang w:val="en-US" w:eastAsia="zh-CN" w:bidi="ar-SA"/>
                    </w:rPr>
                    <w:t>20000m</w:t>
                  </w:r>
                  <w:r>
                    <w:rPr>
                      <w:rFonts w:hint="eastAsia" w:cs="Times New Roman"/>
                      <w:color w:val="auto"/>
                      <w:kern w:val="2"/>
                      <w:sz w:val="18"/>
                      <w:szCs w:val="18"/>
                      <w:vertAlign w:val="superscript"/>
                      <w:lang w:val="en-US" w:eastAsia="zh-CN" w:bidi="ar-SA"/>
                    </w:rPr>
                    <w:t>3</w:t>
                  </w:r>
                  <w:r>
                    <w:rPr>
                      <w:rFonts w:hint="eastAsia" w:cs="Times New Roman"/>
                      <w:color w:val="auto"/>
                      <w:kern w:val="2"/>
                      <w:sz w:val="18"/>
                      <w:szCs w:val="18"/>
                      <w:vertAlign w:val="baseline"/>
                      <w:lang w:val="en-US" w:eastAsia="zh-CN" w:bidi="ar-SA"/>
                    </w:rPr>
                    <w:t>/h</w:t>
                  </w:r>
                </w:p>
              </w:tc>
              <w:tc>
                <w:tcPr>
                  <w:tcW w:w="1091" w:type="dxa"/>
                  <w:shd w:val="clear" w:color="auto" w:fill="auto"/>
                  <w:noWrap w:val="0"/>
                  <w:vAlign w:val="center"/>
                </w:tcPr>
                <w:p w14:paraId="2A6B8353">
                  <w:pPr>
                    <w:jc w:val="center"/>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w:t>
                  </w:r>
                </w:p>
              </w:tc>
              <w:tc>
                <w:tcPr>
                  <w:tcW w:w="1562" w:type="dxa"/>
                  <w:shd w:val="clear" w:color="auto" w:fill="auto"/>
                  <w:noWrap w:val="0"/>
                  <w:vAlign w:val="center"/>
                </w:tcPr>
                <w:p w14:paraId="228A359B">
                  <w:pPr>
                    <w:jc w:val="center"/>
                    <w:rPr>
                      <w:rFonts w:hint="default" w:ascii="Times New Roman" w:hAnsi="Times New Roman" w:eastAsia="宋体" w:cs="Times New Roman"/>
                      <w:kern w:val="2"/>
                      <w:sz w:val="18"/>
                      <w:szCs w:val="18"/>
                      <w:highlight w:val="none"/>
                      <w:lang w:val="en-US" w:eastAsia="zh-CN" w:bidi="ar-SA"/>
                    </w:rPr>
                  </w:pPr>
                  <w:r>
                    <w:rPr>
                      <w:rFonts w:hint="eastAsia" w:cs="Times New Roman"/>
                      <w:sz w:val="18"/>
                      <w:szCs w:val="18"/>
                      <w:highlight w:val="none"/>
                      <w:lang w:val="en-US" w:eastAsia="zh-CN"/>
                    </w:rPr>
                    <w:t>--</w:t>
                  </w:r>
                </w:p>
              </w:tc>
            </w:tr>
          </w:tbl>
          <w:p w14:paraId="69263123">
            <w:pPr>
              <w:adjustRightInd w:val="0"/>
              <w:snapToGrid w:val="0"/>
              <w:spacing w:line="360" w:lineRule="auto"/>
              <w:ind w:firstLine="361" w:firstLineChars="200"/>
              <w:rPr>
                <w:b/>
                <w:kern w:val="0"/>
                <w:sz w:val="18"/>
                <w:szCs w:val="18"/>
              </w:rPr>
            </w:pPr>
            <w:r>
              <w:rPr>
                <w:b/>
                <w:kern w:val="0"/>
                <w:sz w:val="18"/>
                <w:szCs w:val="18"/>
              </w:rPr>
              <w:t>注：</w:t>
            </w:r>
            <w:r>
              <w:rPr>
                <w:b/>
                <w:sz w:val="18"/>
                <w:szCs w:val="18"/>
              </w:rPr>
              <w:t>以上设备均不属于</w:t>
            </w:r>
            <w:r>
              <w:rPr>
                <w:b/>
                <w:kern w:val="0"/>
                <w:sz w:val="18"/>
                <w:szCs w:val="18"/>
              </w:rPr>
              <w:t>《产业结构调整指导目录（20</w:t>
            </w:r>
            <w:r>
              <w:rPr>
                <w:rFonts w:hint="eastAsia"/>
                <w:b/>
                <w:kern w:val="0"/>
                <w:sz w:val="18"/>
                <w:szCs w:val="18"/>
                <w:lang w:val="en-US" w:eastAsia="zh-CN"/>
              </w:rPr>
              <w:t>24</w:t>
            </w:r>
            <w:r>
              <w:rPr>
                <w:b/>
                <w:kern w:val="0"/>
                <w:sz w:val="18"/>
                <w:szCs w:val="18"/>
              </w:rPr>
              <w:t>年本）》中规定淘汰类、限制类设备。</w:t>
            </w:r>
          </w:p>
          <w:p w14:paraId="2DCBD295">
            <w:pPr>
              <w:keepNext w:val="0"/>
              <w:keepLines w:val="0"/>
              <w:pageBreakBefore w:val="0"/>
              <w:widowControl w:val="0"/>
              <w:tabs>
                <w:tab w:val="left" w:pos="1800"/>
              </w:tabs>
              <w:kinsoku/>
              <w:wordWrap/>
              <w:overflowPunct/>
              <w:topLinePunct w:val="0"/>
              <w:autoSpaceDE/>
              <w:autoSpaceDN/>
              <w:bidi w:val="0"/>
              <w:adjustRightInd w:val="0"/>
              <w:snapToGrid w:val="0"/>
              <w:spacing w:line="380" w:lineRule="exact"/>
              <w:ind w:firstLine="420" w:firstLineChars="200"/>
              <w:textAlignment w:val="auto"/>
              <w:rPr>
                <w:kern w:val="24"/>
              </w:rPr>
            </w:pPr>
            <w:r>
              <w:rPr>
                <w:kern w:val="24"/>
              </w:rPr>
              <w:t>10、给排水</w:t>
            </w:r>
          </w:p>
          <w:p w14:paraId="7C5B41E0">
            <w:pPr>
              <w:keepNext w:val="0"/>
              <w:keepLines w:val="0"/>
              <w:pageBreakBefore w:val="0"/>
              <w:widowControl w:val="0"/>
              <w:kinsoku/>
              <w:wordWrap/>
              <w:overflowPunct/>
              <w:topLinePunct w:val="0"/>
              <w:autoSpaceDE/>
              <w:autoSpaceDN/>
              <w:bidi w:val="0"/>
              <w:adjustRightInd w:val="0"/>
              <w:snapToGrid w:val="0"/>
              <w:spacing w:line="380" w:lineRule="exact"/>
              <w:ind w:firstLine="420" w:firstLineChars="200"/>
              <w:textAlignment w:val="auto"/>
            </w:pPr>
            <w:r>
              <w:t>（1）给水</w:t>
            </w:r>
          </w:p>
          <w:p w14:paraId="018625D4">
            <w:pPr>
              <w:keepNext w:val="0"/>
              <w:keepLines w:val="0"/>
              <w:pageBreakBefore w:val="0"/>
              <w:widowControl w:val="0"/>
              <w:kinsoku/>
              <w:wordWrap/>
              <w:overflowPunct/>
              <w:topLinePunct w:val="0"/>
              <w:autoSpaceDE/>
              <w:autoSpaceDN/>
              <w:bidi w:val="0"/>
              <w:spacing w:line="380" w:lineRule="exact"/>
              <w:ind w:firstLine="420" w:firstLineChars="200"/>
              <w:textAlignment w:val="auto"/>
              <w:rPr>
                <w:sz w:val="21"/>
                <w:szCs w:val="21"/>
              </w:rPr>
            </w:pPr>
            <w:r>
              <w:rPr>
                <w:rFonts w:hint="eastAsia"/>
                <w:sz w:val="21"/>
                <w:szCs w:val="21"/>
              </w:rPr>
              <w:t>本项目</w:t>
            </w:r>
            <w:r>
              <w:rPr>
                <w:rFonts w:hint="eastAsia"/>
                <w:sz w:val="21"/>
                <w:szCs w:val="21"/>
                <w:lang w:eastAsia="zh-CN"/>
              </w:rPr>
              <w:t>新增</w:t>
            </w:r>
            <w:r>
              <w:rPr>
                <w:rFonts w:hint="eastAsia"/>
                <w:sz w:val="21"/>
                <w:szCs w:val="21"/>
              </w:rPr>
              <w:t>新鲜用水量</w:t>
            </w:r>
            <w:r>
              <w:rPr>
                <w:rFonts w:hint="eastAsia"/>
                <w:sz w:val="21"/>
                <w:szCs w:val="21"/>
                <w:highlight w:val="none"/>
              </w:rPr>
              <w:t>为</w:t>
            </w:r>
            <w:r>
              <w:rPr>
                <w:rFonts w:hint="eastAsia"/>
                <w:sz w:val="21"/>
                <w:szCs w:val="21"/>
                <w:highlight w:val="none"/>
                <w:lang w:val="en-US" w:eastAsia="zh-CN"/>
              </w:rPr>
              <w:t>710</w:t>
            </w:r>
            <w:r>
              <w:rPr>
                <w:rFonts w:hint="eastAsia"/>
                <w:sz w:val="21"/>
                <w:szCs w:val="21"/>
                <w:highlight w:val="none"/>
              </w:rPr>
              <w:t>m</w:t>
            </w:r>
            <w:r>
              <w:rPr>
                <w:sz w:val="21"/>
                <w:szCs w:val="21"/>
                <w:highlight w:val="none"/>
                <w:vertAlign w:val="superscript"/>
              </w:rPr>
              <w:t>3</w:t>
            </w:r>
            <w:r>
              <w:rPr>
                <w:rFonts w:hint="eastAsia"/>
                <w:sz w:val="21"/>
                <w:szCs w:val="21"/>
                <w:highlight w:val="none"/>
              </w:rPr>
              <w:t>/a，</w:t>
            </w:r>
            <w:r>
              <w:rPr>
                <w:rFonts w:hint="eastAsia"/>
                <w:sz w:val="21"/>
                <w:szCs w:val="21"/>
              </w:rPr>
              <w:t>厂区用水来自</w:t>
            </w:r>
            <w:r>
              <w:rPr>
                <w:rFonts w:hint="eastAsia"/>
                <w:sz w:val="21"/>
                <w:szCs w:val="21"/>
                <w:lang w:eastAsia="zh-CN"/>
              </w:rPr>
              <w:t>淄川经济开发区自来水管网</w:t>
            </w:r>
            <w:r>
              <w:rPr>
                <w:rFonts w:hint="eastAsia"/>
                <w:sz w:val="21"/>
                <w:szCs w:val="21"/>
              </w:rPr>
              <w:t>，</w:t>
            </w:r>
            <w:r>
              <w:rPr>
                <w:rFonts w:hint="eastAsia"/>
                <w:sz w:val="21"/>
                <w:szCs w:val="21"/>
                <w:lang w:eastAsia="zh-CN"/>
              </w:rPr>
              <w:t>主要为生产用水、生活用水</w:t>
            </w:r>
            <w:r>
              <w:rPr>
                <w:sz w:val="21"/>
                <w:szCs w:val="21"/>
              </w:rPr>
              <w:t>。</w:t>
            </w:r>
          </w:p>
          <w:p w14:paraId="175582FB">
            <w:pPr>
              <w:keepNext w:val="0"/>
              <w:keepLines w:val="0"/>
              <w:pageBreakBefore w:val="0"/>
              <w:widowControl w:val="0"/>
              <w:kinsoku/>
              <w:wordWrap/>
              <w:overflowPunct/>
              <w:topLinePunct w:val="0"/>
              <w:autoSpaceDE/>
              <w:autoSpaceDN/>
              <w:bidi w:val="0"/>
              <w:spacing w:line="380" w:lineRule="exact"/>
              <w:ind w:firstLine="420" w:firstLineChars="200"/>
              <w:textAlignment w:val="auto"/>
              <w:rPr>
                <w:rFonts w:hint="eastAsia"/>
                <w:sz w:val="21"/>
                <w:szCs w:val="21"/>
                <w:lang w:eastAsia="zh-CN"/>
              </w:rPr>
            </w:pPr>
            <w:r>
              <w:rPr>
                <w:rFonts w:hint="eastAsia"/>
                <w:sz w:val="21"/>
                <w:szCs w:val="21"/>
              </w:rPr>
              <w:t>生产用水</w:t>
            </w:r>
            <w:r>
              <w:rPr>
                <w:rFonts w:hint="eastAsia"/>
                <w:sz w:val="21"/>
                <w:szCs w:val="21"/>
                <w:lang w:eastAsia="zh-CN"/>
              </w:rPr>
              <w:t>：</w:t>
            </w:r>
          </w:p>
          <w:p w14:paraId="68808E86">
            <w:pPr>
              <w:keepNext w:val="0"/>
              <w:keepLines w:val="0"/>
              <w:pageBreakBefore w:val="0"/>
              <w:widowControl w:val="0"/>
              <w:kinsoku/>
              <w:wordWrap/>
              <w:overflowPunct/>
              <w:topLinePunct w:val="0"/>
              <w:autoSpaceDE/>
              <w:autoSpaceDN/>
              <w:bidi w:val="0"/>
              <w:spacing w:line="380" w:lineRule="exact"/>
              <w:ind w:firstLine="420" w:firstLineChars="200"/>
              <w:textAlignment w:val="auto"/>
              <w:rPr>
                <w:rFonts w:hint="eastAsia"/>
                <w:sz w:val="21"/>
                <w:szCs w:val="21"/>
              </w:rPr>
            </w:pPr>
            <w:r>
              <w:rPr>
                <w:rFonts w:hint="eastAsia"/>
                <w:sz w:val="21"/>
                <w:szCs w:val="21"/>
                <w:lang w:val="en-US" w:eastAsia="zh-CN"/>
              </w:rPr>
              <w:t>1）水压试验补充水：水压试验用水全部循环使用，不外排，仅定期添加损耗，参照老厂区水压试验用水补充情况，本项目</w:t>
            </w:r>
            <w:r>
              <w:rPr>
                <w:rFonts w:hint="eastAsia"/>
                <w:sz w:val="21"/>
                <w:szCs w:val="21"/>
                <w:vertAlign w:val="baseline"/>
                <w:lang w:val="en-US" w:eastAsia="zh-CN"/>
              </w:rPr>
              <w:t>水压试验用水补充量约</w:t>
            </w:r>
            <w:r>
              <w:rPr>
                <w:rFonts w:hint="eastAsia"/>
                <w:sz w:val="21"/>
                <w:szCs w:val="21"/>
                <w:lang w:val="en-US" w:eastAsia="zh-CN"/>
              </w:rPr>
              <w:t>50m</w:t>
            </w:r>
            <w:r>
              <w:rPr>
                <w:rFonts w:hint="eastAsia"/>
                <w:sz w:val="21"/>
                <w:szCs w:val="21"/>
                <w:vertAlign w:val="superscript"/>
                <w:lang w:val="en-US" w:eastAsia="zh-CN"/>
              </w:rPr>
              <w:t>3</w:t>
            </w:r>
            <w:r>
              <w:rPr>
                <w:rFonts w:hint="eastAsia"/>
                <w:sz w:val="21"/>
                <w:szCs w:val="21"/>
                <w:vertAlign w:val="baseline"/>
                <w:lang w:val="en-US" w:eastAsia="zh-CN"/>
              </w:rPr>
              <w:t>/a</w:t>
            </w:r>
            <w:r>
              <w:rPr>
                <w:rFonts w:hint="eastAsia"/>
                <w:sz w:val="21"/>
                <w:szCs w:val="21"/>
              </w:rPr>
              <w:t>。</w:t>
            </w:r>
          </w:p>
          <w:p w14:paraId="54BAB64A">
            <w:pPr>
              <w:keepNext w:val="0"/>
              <w:keepLines w:val="0"/>
              <w:pageBreakBefore w:val="0"/>
              <w:widowControl w:val="0"/>
              <w:tabs>
                <w:tab w:val="left" w:pos="1800"/>
              </w:tabs>
              <w:kinsoku/>
              <w:wordWrap/>
              <w:overflowPunct/>
              <w:topLinePunct w:val="0"/>
              <w:autoSpaceDE/>
              <w:autoSpaceDN/>
              <w:bidi w:val="0"/>
              <w:adjustRightInd w:val="0"/>
              <w:snapToGrid w:val="0"/>
              <w:spacing w:line="380" w:lineRule="exact"/>
              <w:ind w:firstLine="420" w:firstLineChars="200"/>
              <w:textAlignment w:val="auto"/>
              <w:rPr>
                <w:rFonts w:hint="eastAsia"/>
                <w:sz w:val="21"/>
                <w:szCs w:val="21"/>
                <w:lang w:val="en-US" w:eastAsia="zh-CN"/>
              </w:rPr>
            </w:pPr>
            <w:r>
              <w:rPr>
                <w:rFonts w:hint="eastAsia"/>
                <w:sz w:val="21"/>
                <w:szCs w:val="21"/>
                <w:lang w:val="en-US" w:eastAsia="zh-CN"/>
              </w:rPr>
              <w:t>2）锯床冷却用水：锯床下料加工过程使用水冷却，循环使用，不外排，参照老厂区锯床冷却用水情况，本项目锯床冷却用水年补充量10m</w:t>
            </w:r>
            <w:r>
              <w:rPr>
                <w:rFonts w:hint="eastAsia"/>
                <w:sz w:val="21"/>
                <w:szCs w:val="21"/>
                <w:vertAlign w:val="superscript"/>
                <w:lang w:val="en-US" w:eastAsia="zh-CN"/>
              </w:rPr>
              <w:t>3</w:t>
            </w:r>
            <w:r>
              <w:rPr>
                <w:rFonts w:hint="eastAsia"/>
                <w:sz w:val="21"/>
                <w:szCs w:val="21"/>
                <w:vertAlign w:val="baseline"/>
                <w:lang w:val="en-US" w:eastAsia="zh-CN"/>
              </w:rPr>
              <w:t>/a，</w:t>
            </w:r>
            <w:r>
              <w:rPr>
                <w:rFonts w:hint="eastAsia"/>
                <w:sz w:val="21"/>
                <w:szCs w:val="21"/>
                <w:lang w:eastAsia="zh-CN"/>
              </w:rPr>
              <w:t>全部蒸发损耗，无废水产生。</w:t>
            </w:r>
          </w:p>
          <w:p w14:paraId="5327E15B">
            <w:pPr>
              <w:keepNext w:val="0"/>
              <w:keepLines w:val="0"/>
              <w:pageBreakBefore w:val="0"/>
              <w:widowControl w:val="0"/>
              <w:tabs>
                <w:tab w:val="left" w:pos="1800"/>
              </w:tabs>
              <w:kinsoku/>
              <w:wordWrap/>
              <w:overflowPunct/>
              <w:topLinePunct w:val="0"/>
              <w:autoSpaceDE/>
              <w:autoSpaceDN/>
              <w:bidi w:val="0"/>
              <w:adjustRightInd w:val="0"/>
              <w:snapToGrid w:val="0"/>
              <w:spacing w:line="380" w:lineRule="exact"/>
              <w:ind w:firstLine="420" w:firstLineChars="200"/>
              <w:textAlignment w:val="auto"/>
              <w:rPr>
                <w:rFonts w:hint="default"/>
                <w:sz w:val="21"/>
                <w:szCs w:val="21"/>
                <w:lang w:val="en-US" w:eastAsia="zh-CN"/>
              </w:rPr>
            </w:pPr>
            <w:r>
              <w:rPr>
                <w:rFonts w:hint="eastAsia"/>
                <w:sz w:val="21"/>
                <w:szCs w:val="21"/>
                <w:lang w:val="en-US" w:eastAsia="zh-CN"/>
              </w:rPr>
              <w:t>3）喷砂、磨床、</w:t>
            </w:r>
            <w:r>
              <w:rPr>
                <w:rFonts w:hint="eastAsia" w:ascii="Times New Roman" w:hAnsi="Times New Roman" w:eastAsia="宋体" w:cs="Times New Roman"/>
                <w:sz w:val="21"/>
                <w:szCs w:val="21"/>
                <w:lang w:val="en-US" w:eastAsia="zh-CN"/>
              </w:rPr>
              <w:t>PPH缠绕一体化成型机冷</w:t>
            </w:r>
            <w:r>
              <w:rPr>
                <w:rFonts w:hint="eastAsia"/>
                <w:sz w:val="21"/>
                <w:szCs w:val="21"/>
                <w:lang w:val="en-US" w:eastAsia="zh-CN"/>
              </w:rPr>
              <w:t>却用水补充水：湿式喷砂机使用自来水，磨床加工过程使用自来水，</w:t>
            </w:r>
            <w:r>
              <w:rPr>
                <w:rFonts w:hint="eastAsia" w:ascii="Times New Roman" w:hAnsi="Times New Roman" w:eastAsia="宋体" w:cs="Times New Roman"/>
                <w:sz w:val="21"/>
                <w:szCs w:val="21"/>
                <w:lang w:val="en-US" w:eastAsia="zh-CN"/>
              </w:rPr>
              <w:t>PPH缠绕一体化成型机使用自来水冷却，</w:t>
            </w:r>
            <w:r>
              <w:rPr>
                <w:rFonts w:hint="eastAsia"/>
                <w:sz w:val="21"/>
                <w:szCs w:val="21"/>
                <w:lang w:val="en-US" w:eastAsia="zh-CN"/>
              </w:rPr>
              <w:t>均循环使用，不外排，仅定期添加补充损耗。根据企业提供数据，喷砂、磨床、</w:t>
            </w:r>
            <w:r>
              <w:rPr>
                <w:rFonts w:hint="eastAsia" w:ascii="Times New Roman" w:hAnsi="Times New Roman" w:eastAsia="宋体" w:cs="Times New Roman"/>
                <w:sz w:val="21"/>
                <w:szCs w:val="21"/>
                <w:lang w:val="en-US" w:eastAsia="zh-CN"/>
              </w:rPr>
              <w:t>PPH缠绕一体化成型机</w:t>
            </w:r>
            <w:r>
              <w:rPr>
                <w:rFonts w:hint="eastAsia"/>
                <w:sz w:val="21"/>
                <w:szCs w:val="21"/>
                <w:lang w:val="en-US" w:eastAsia="zh-CN"/>
              </w:rPr>
              <w:t>用水年补充水量约20m</w:t>
            </w:r>
            <w:r>
              <w:rPr>
                <w:rFonts w:hint="eastAsia"/>
                <w:sz w:val="21"/>
                <w:szCs w:val="21"/>
                <w:vertAlign w:val="superscript"/>
                <w:lang w:val="en-US" w:eastAsia="zh-CN"/>
              </w:rPr>
              <w:t>3</w:t>
            </w:r>
            <w:r>
              <w:rPr>
                <w:rFonts w:hint="eastAsia"/>
                <w:sz w:val="21"/>
                <w:szCs w:val="21"/>
                <w:vertAlign w:val="baseline"/>
                <w:lang w:val="en-US" w:eastAsia="zh-CN"/>
              </w:rPr>
              <w:t>/a。</w:t>
            </w:r>
          </w:p>
          <w:p w14:paraId="417C93E7">
            <w:pPr>
              <w:keepNext w:val="0"/>
              <w:keepLines w:val="0"/>
              <w:pageBreakBefore w:val="0"/>
              <w:widowControl w:val="0"/>
              <w:tabs>
                <w:tab w:val="left" w:pos="1800"/>
              </w:tabs>
              <w:kinsoku/>
              <w:wordWrap/>
              <w:overflowPunct/>
              <w:topLinePunct w:val="0"/>
              <w:autoSpaceDE/>
              <w:autoSpaceDN/>
              <w:bidi w:val="0"/>
              <w:adjustRightInd w:val="0"/>
              <w:snapToGrid w:val="0"/>
              <w:spacing w:line="380" w:lineRule="exact"/>
              <w:ind w:firstLine="420" w:firstLineChars="200"/>
              <w:textAlignment w:val="auto"/>
              <w:rPr>
                <w:rFonts w:hint="default"/>
                <w:sz w:val="21"/>
                <w:szCs w:val="21"/>
                <w:lang w:val="en-US" w:eastAsia="zh-CN"/>
              </w:rPr>
            </w:pPr>
            <w:r>
              <w:rPr>
                <w:rFonts w:hint="eastAsia"/>
                <w:sz w:val="21"/>
                <w:szCs w:val="21"/>
                <w:lang w:val="en-US" w:eastAsia="zh-CN"/>
              </w:rPr>
              <w:t>4）车间地面洒水降尘用水：东侧生产</w:t>
            </w:r>
            <w:r>
              <w:rPr>
                <w:rFonts w:hint="default" w:ascii="Times New Roman" w:hAnsi="Times New Roman" w:cs="Times New Roman"/>
                <w:color w:val="auto"/>
                <w:highlight w:val="none"/>
              </w:rPr>
              <w:t>车间地面需</w:t>
            </w:r>
            <w:r>
              <w:rPr>
                <w:rFonts w:hint="default" w:ascii="Times New Roman" w:hAnsi="Times New Roman" w:cs="Times New Roman"/>
                <w:color w:val="auto"/>
                <w:highlight w:val="none"/>
                <w:lang w:eastAsia="zh-CN"/>
              </w:rPr>
              <w:t>每天洒水降尘，</w:t>
            </w:r>
            <w:r>
              <w:rPr>
                <w:rFonts w:hint="default" w:ascii="Times New Roman" w:hAnsi="Times New Roman" w:cs="Times New Roman"/>
                <w:color w:val="auto"/>
                <w:highlight w:val="none"/>
              </w:rPr>
              <w:t>年洒水天数为</w:t>
            </w:r>
            <w:r>
              <w:rPr>
                <w:rFonts w:hint="default" w:ascii="Times New Roman" w:hAnsi="Times New Roman" w:cs="Times New Roman"/>
                <w:color w:val="auto"/>
                <w:highlight w:val="none"/>
                <w:lang w:val="en-US" w:eastAsia="zh-CN"/>
              </w:rPr>
              <w:t>300</w:t>
            </w:r>
            <w:r>
              <w:rPr>
                <w:rFonts w:hint="default" w:ascii="Times New Roman" w:hAnsi="Times New Roman" w:cs="Times New Roman"/>
                <w:color w:val="auto"/>
                <w:highlight w:val="none"/>
              </w:rPr>
              <w:t>天，用水量取0.2L/m</w:t>
            </w:r>
            <w:r>
              <w:rPr>
                <w:rFonts w:hint="default" w:ascii="Times New Roman" w:hAnsi="Times New Roman" w:cs="Times New Roman"/>
                <w:color w:val="auto"/>
                <w:highlight w:val="none"/>
                <w:vertAlign w:val="superscript"/>
              </w:rPr>
              <w:t>2</w:t>
            </w:r>
            <w:r>
              <w:rPr>
                <w:rFonts w:hint="default" w:ascii="Times New Roman" w:hAnsi="Times New Roman" w:cs="Times New Roman"/>
                <w:color w:val="auto"/>
                <w:highlight w:val="none"/>
              </w:rPr>
              <w:t>·d计，</w:t>
            </w:r>
            <w:r>
              <w:rPr>
                <w:rFonts w:hint="eastAsia" w:cs="Times New Roman"/>
                <w:color w:val="auto"/>
                <w:highlight w:val="none"/>
                <w:lang w:val="en-US" w:eastAsia="zh-CN"/>
              </w:rPr>
              <w:t>本项目车间总占地面积为8428.23</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eastAsia" w:cs="Times New Roman"/>
                <w:color w:val="auto"/>
                <w:highlight w:val="none"/>
                <w:lang w:val="en-US" w:eastAsia="zh-CN"/>
              </w:rPr>
              <w:t>，洒水降尘面积约为3000</w:t>
            </w:r>
            <w:r>
              <w:rPr>
                <w:rFonts w:hint="default" w:ascii="Times New Roman" w:hAnsi="Times New Roman" w:cs="Times New Roman"/>
                <w:color w:val="auto"/>
                <w:highlight w:val="none"/>
              </w:rPr>
              <w:t>m</w:t>
            </w:r>
            <w:r>
              <w:rPr>
                <w:rFonts w:hint="default" w:ascii="Times New Roman" w:hAnsi="Times New Roman" w:cs="Times New Roman"/>
                <w:color w:val="auto"/>
                <w:highlight w:val="none"/>
                <w:vertAlign w:val="superscript"/>
              </w:rPr>
              <w:t>2</w:t>
            </w:r>
            <w:r>
              <w:rPr>
                <w:rFonts w:hint="eastAsia" w:cs="Times New Roman"/>
                <w:color w:val="auto"/>
                <w:highlight w:val="none"/>
                <w:lang w:val="en-US" w:eastAsia="zh-CN"/>
              </w:rPr>
              <w:t>，</w:t>
            </w:r>
            <w:r>
              <w:rPr>
                <w:rFonts w:hint="default" w:ascii="Times New Roman" w:hAnsi="Times New Roman" w:cs="Times New Roman"/>
                <w:color w:val="auto"/>
                <w:highlight w:val="none"/>
              </w:rPr>
              <w:t>则</w:t>
            </w:r>
            <w:r>
              <w:rPr>
                <w:rFonts w:hint="default" w:ascii="Times New Roman" w:hAnsi="Times New Roman" w:cs="Times New Roman"/>
                <w:color w:val="auto"/>
                <w:spacing w:val="-2"/>
                <w:kern w:val="0"/>
                <w:highlight w:val="none"/>
                <w:lang w:val="en-US" w:eastAsia="zh-CN"/>
              </w:rPr>
              <w:t>车间洒水降尘用水</w:t>
            </w:r>
            <w:r>
              <w:rPr>
                <w:rFonts w:hint="default" w:ascii="Times New Roman" w:hAnsi="Times New Roman" w:cs="Times New Roman"/>
                <w:color w:val="auto"/>
                <w:highlight w:val="none"/>
              </w:rPr>
              <w:t>量为</w:t>
            </w:r>
            <w:r>
              <w:rPr>
                <w:rFonts w:hint="eastAsia" w:ascii="Times New Roman" w:hAnsi="Times New Roman" w:cs="Times New Roman"/>
                <w:color w:val="auto"/>
                <w:highlight w:val="none"/>
                <w:lang w:val="en-US" w:eastAsia="zh-CN"/>
              </w:rPr>
              <w:t>180</w:t>
            </w:r>
            <w:r>
              <w:rPr>
                <w:rFonts w:hint="default" w:ascii="Times New Roman" w:hAnsi="Times New Roman" w:cs="Times New Roman"/>
                <w:bCs/>
                <w:color w:val="auto"/>
                <w:highlight w:val="none"/>
              </w:rPr>
              <w:t>m</w:t>
            </w:r>
            <w:r>
              <w:rPr>
                <w:rFonts w:hint="default" w:ascii="Times New Roman" w:hAnsi="Times New Roman" w:cs="Times New Roman"/>
                <w:bCs/>
                <w:color w:val="auto"/>
                <w:highlight w:val="none"/>
                <w:vertAlign w:val="superscript"/>
              </w:rPr>
              <w:t>3</w:t>
            </w:r>
            <w:r>
              <w:rPr>
                <w:rFonts w:hint="default" w:ascii="Times New Roman" w:hAnsi="Times New Roman" w:cs="Times New Roman"/>
                <w:bCs/>
                <w:color w:val="auto"/>
                <w:highlight w:val="none"/>
              </w:rPr>
              <w:t>/a</w:t>
            </w:r>
            <w:r>
              <w:rPr>
                <w:rFonts w:hint="eastAsia" w:cs="Times New Roman"/>
                <w:color w:val="auto"/>
                <w:kern w:val="24"/>
                <w:szCs w:val="21"/>
                <w:highlight w:val="none"/>
                <w:lang w:eastAsia="zh-CN"/>
              </w:rPr>
              <w:t>。</w:t>
            </w:r>
          </w:p>
          <w:p w14:paraId="0293F25D">
            <w:pPr>
              <w:keepNext w:val="0"/>
              <w:keepLines w:val="0"/>
              <w:pageBreakBefore w:val="0"/>
              <w:widowControl w:val="0"/>
              <w:tabs>
                <w:tab w:val="left" w:pos="1800"/>
              </w:tabs>
              <w:kinsoku/>
              <w:wordWrap/>
              <w:overflowPunct/>
              <w:topLinePunct w:val="0"/>
              <w:autoSpaceDE/>
              <w:autoSpaceDN/>
              <w:bidi w:val="0"/>
              <w:adjustRightInd w:val="0"/>
              <w:snapToGrid w:val="0"/>
              <w:spacing w:line="380" w:lineRule="exact"/>
              <w:ind w:firstLine="420" w:firstLineChars="200"/>
              <w:textAlignment w:val="auto"/>
              <w:rPr>
                <w:rFonts w:hint="default" w:ascii="Times New Roman" w:hAnsi="Times New Roman" w:cs="Times New Roman"/>
                <w:color w:val="000000"/>
                <w:kern w:val="24"/>
                <w:szCs w:val="21"/>
              </w:rPr>
            </w:pPr>
            <w:r>
              <w:rPr>
                <w:rFonts w:hint="eastAsia"/>
                <w:sz w:val="21"/>
                <w:szCs w:val="21"/>
                <w:lang w:eastAsia="zh-CN"/>
              </w:rPr>
              <w:t>生活用水：本项目新增</w:t>
            </w:r>
            <w:r>
              <w:rPr>
                <w:rFonts w:hint="eastAsia"/>
                <w:sz w:val="21"/>
                <w:szCs w:val="21"/>
                <w:lang w:val="en-US" w:eastAsia="zh-CN"/>
              </w:rPr>
              <w:t>劳动</w:t>
            </w:r>
            <w:r>
              <w:rPr>
                <w:rFonts w:hint="eastAsia"/>
                <w:sz w:val="21"/>
                <w:szCs w:val="21"/>
                <w:lang w:eastAsia="zh-CN"/>
              </w:rPr>
              <w:t>定员</w:t>
            </w:r>
            <w:r>
              <w:rPr>
                <w:rFonts w:hint="eastAsia"/>
                <w:sz w:val="21"/>
                <w:szCs w:val="21"/>
                <w:lang w:val="en-US" w:eastAsia="zh-CN"/>
              </w:rPr>
              <w:t>50人，</w:t>
            </w:r>
            <w:r>
              <w:rPr>
                <w:rFonts w:hint="default" w:ascii="Times New Roman" w:hAnsi="Times New Roman" w:cs="Times New Roman"/>
                <w:color w:val="000000"/>
                <w:kern w:val="24"/>
                <w:szCs w:val="21"/>
              </w:rPr>
              <w:t>全年工作300天，厂内无食堂、无宿舍，参照《建筑给水排水设计标准》（GB50015-2019），“表3.2.2坐班式办公，每人每日平均用水量为25～40L”，本项目职工生活用水量按照</w:t>
            </w:r>
            <w:r>
              <w:rPr>
                <w:rFonts w:hint="eastAsia" w:ascii="Times New Roman" w:hAnsi="Times New Roman" w:cs="Times New Roman"/>
                <w:color w:val="000000"/>
                <w:kern w:val="24"/>
                <w:szCs w:val="21"/>
                <w:lang w:val="en-US" w:eastAsia="zh-CN"/>
              </w:rPr>
              <w:t>3</w:t>
            </w:r>
            <w:r>
              <w:rPr>
                <w:rFonts w:hint="default" w:ascii="Times New Roman" w:hAnsi="Times New Roman" w:cs="Times New Roman"/>
                <w:color w:val="000000"/>
                <w:kern w:val="24"/>
                <w:szCs w:val="21"/>
              </w:rPr>
              <w:t>0L/人·天计，则拟建项目生活用水量为</w:t>
            </w:r>
            <w:r>
              <w:rPr>
                <w:rFonts w:hint="eastAsia" w:ascii="Times New Roman" w:hAnsi="Times New Roman" w:cs="Times New Roman"/>
                <w:color w:val="000000"/>
                <w:kern w:val="24"/>
                <w:szCs w:val="21"/>
                <w:lang w:val="en-US" w:eastAsia="zh-CN"/>
              </w:rPr>
              <w:t>450</w:t>
            </w:r>
            <w:r>
              <w:rPr>
                <w:rFonts w:hint="default" w:ascii="Times New Roman" w:hAnsi="Times New Roman" w:cs="Times New Roman"/>
                <w:color w:val="000000"/>
                <w:kern w:val="24"/>
                <w:szCs w:val="21"/>
              </w:rPr>
              <w:t>m</w:t>
            </w:r>
            <w:r>
              <w:rPr>
                <w:rFonts w:hint="default" w:ascii="Times New Roman" w:hAnsi="Times New Roman" w:cs="Times New Roman"/>
                <w:color w:val="000000"/>
                <w:kern w:val="24"/>
                <w:szCs w:val="21"/>
                <w:vertAlign w:val="superscript"/>
              </w:rPr>
              <w:t>3</w:t>
            </w:r>
            <w:r>
              <w:rPr>
                <w:rFonts w:hint="default" w:ascii="Times New Roman" w:hAnsi="Times New Roman" w:cs="Times New Roman"/>
                <w:color w:val="000000"/>
                <w:kern w:val="24"/>
                <w:szCs w:val="21"/>
              </w:rPr>
              <w:t>/a。</w:t>
            </w:r>
          </w:p>
          <w:p w14:paraId="3BF2ADF9">
            <w:pPr>
              <w:keepNext w:val="0"/>
              <w:keepLines w:val="0"/>
              <w:pageBreakBefore w:val="0"/>
              <w:widowControl w:val="0"/>
              <w:tabs>
                <w:tab w:val="left" w:pos="1800"/>
              </w:tabs>
              <w:kinsoku/>
              <w:wordWrap/>
              <w:overflowPunct/>
              <w:topLinePunct w:val="0"/>
              <w:autoSpaceDE/>
              <w:autoSpaceDN/>
              <w:bidi w:val="0"/>
              <w:adjustRightInd w:val="0"/>
              <w:snapToGrid w:val="0"/>
              <w:spacing w:line="380" w:lineRule="exact"/>
              <w:ind w:firstLine="420" w:firstLineChars="200"/>
              <w:textAlignment w:val="auto"/>
              <w:rPr>
                <w:rFonts w:hint="default"/>
              </w:rPr>
            </w:pPr>
            <w:r>
              <w:rPr>
                <w:rFonts w:hint="default"/>
              </w:rPr>
              <w:t>（2）排水</w:t>
            </w:r>
          </w:p>
          <w:p w14:paraId="44C2E759">
            <w:pPr>
              <w:pStyle w:val="2"/>
              <w:keepNext w:val="0"/>
              <w:keepLines w:val="0"/>
              <w:pageBreakBefore w:val="0"/>
              <w:widowControl w:val="0"/>
              <w:kinsoku/>
              <w:wordWrap/>
              <w:overflowPunct/>
              <w:topLinePunct w:val="0"/>
              <w:autoSpaceDE/>
              <w:autoSpaceDN/>
              <w:bidi w:val="0"/>
              <w:adjustRightInd/>
              <w:snapToGrid/>
              <w:spacing w:after="0" w:line="380" w:lineRule="exact"/>
              <w:ind w:left="0" w:leftChars="0" w:firstLine="420" w:firstLineChars="200"/>
              <w:textAlignment w:val="auto"/>
              <w:rPr>
                <w:rFonts w:hint="default"/>
                <w:sz w:val="21"/>
                <w:szCs w:val="21"/>
                <w:lang w:val="en-US" w:eastAsia="zh-CN"/>
              </w:rPr>
            </w:pPr>
            <w:r>
              <w:rPr>
                <w:rFonts w:hint="eastAsia"/>
                <w:sz w:val="21"/>
                <w:szCs w:val="21"/>
              </w:rPr>
              <w:t>本项目生产</w:t>
            </w:r>
            <w:r>
              <w:rPr>
                <w:rFonts w:hint="eastAsia"/>
                <w:sz w:val="21"/>
                <w:szCs w:val="21"/>
                <w:lang w:eastAsia="zh-CN"/>
              </w:rPr>
              <w:t>过程</w:t>
            </w:r>
            <w:r>
              <w:rPr>
                <w:rFonts w:hint="eastAsia" w:ascii="Times New Roman" w:hAnsi="Times New Roman" w:cs="Times New Roman"/>
                <w:sz w:val="21"/>
                <w:szCs w:val="21"/>
                <w:lang w:eastAsia="zh-CN"/>
              </w:rPr>
              <w:t>锯床冷却用水</w:t>
            </w:r>
            <w:r>
              <w:rPr>
                <w:rFonts w:hint="eastAsia" w:cs="Times New Roman"/>
                <w:sz w:val="21"/>
                <w:szCs w:val="21"/>
                <w:lang w:val="en-US" w:eastAsia="zh-CN"/>
              </w:rPr>
              <w:t>补水、</w:t>
            </w:r>
            <w:r>
              <w:rPr>
                <w:rFonts w:hint="eastAsia" w:ascii="Times New Roman" w:hAnsi="Times New Roman" w:cs="Times New Roman"/>
                <w:sz w:val="21"/>
                <w:szCs w:val="21"/>
                <w:lang w:val="en-US" w:eastAsia="zh-CN"/>
              </w:rPr>
              <w:t>水压试验用水、</w:t>
            </w:r>
            <w:r>
              <w:rPr>
                <w:rFonts w:hint="eastAsia"/>
                <w:sz w:val="21"/>
                <w:szCs w:val="21"/>
                <w:lang w:val="en-US" w:eastAsia="zh-CN"/>
              </w:rPr>
              <w:t>喷砂、磨床、</w:t>
            </w:r>
            <w:r>
              <w:rPr>
                <w:rFonts w:hint="eastAsia" w:ascii="Times New Roman" w:hAnsi="Times New Roman" w:eastAsia="宋体" w:cs="Times New Roman"/>
                <w:sz w:val="21"/>
                <w:szCs w:val="21"/>
                <w:lang w:val="en-US" w:eastAsia="zh-CN"/>
              </w:rPr>
              <w:t>PPH缠绕一体化成型机</w:t>
            </w:r>
            <w:r>
              <w:rPr>
                <w:rFonts w:hint="eastAsia"/>
                <w:sz w:val="21"/>
                <w:szCs w:val="21"/>
                <w:lang w:val="en-US" w:eastAsia="zh-CN"/>
              </w:rPr>
              <w:t>用水补水、</w:t>
            </w:r>
            <w:r>
              <w:rPr>
                <w:rFonts w:hint="eastAsia" w:cs="Times New Roman"/>
                <w:sz w:val="21"/>
                <w:szCs w:val="21"/>
                <w:lang w:val="en-US" w:eastAsia="zh-CN"/>
              </w:rPr>
              <w:t>车间洒水降尘用水</w:t>
            </w:r>
            <w:r>
              <w:rPr>
                <w:rFonts w:hint="eastAsia" w:ascii="Times New Roman" w:hAnsi="Times New Roman" w:cs="Times New Roman"/>
                <w:sz w:val="21"/>
                <w:szCs w:val="21"/>
                <w:lang w:eastAsia="zh-CN"/>
              </w:rPr>
              <w:t>全部蒸发损耗，</w:t>
            </w:r>
            <w:r>
              <w:rPr>
                <w:rFonts w:hint="eastAsia" w:ascii="Times New Roman" w:hAnsi="Times New Roman" w:cs="Times New Roman"/>
                <w:sz w:val="21"/>
                <w:szCs w:val="21"/>
                <w:lang w:val="en-US" w:eastAsia="zh-CN"/>
              </w:rPr>
              <w:t>无废水产生</w:t>
            </w:r>
            <w:r>
              <w:rPr>
                <w:rFonts w:hint="eastAsia"/>
                <w:sz w:val="21"/>
                <w:szCs w:val="21"/>
                <w:lang w:val="en-US" w:eastAsia="zh-CN"/>
              </w:rPr>
              <w:t>。本项目废水主要为生活污水，</w:t>
            </w:r>
            <w:r>
              <w:rPr>
                <w:rFonts w:hint="default"/>
                <w:sz w:val="21"/>
                <w:szCs w:val="21"/>
              </w:rPr>
              <w:t>产生量按职工生活用水量80%计算，则生活污水量为</w:t>
            </w:r>
            <w:r>
              <w:rPr>
                <w:rFonts w:hint="eastAsia"/>
                <w:sz w:val="21"/>
                <w:szCs w:val="21"/>
                <w:lang w:val="en-US" w:eastAsia="zh-CN"/>
              </w:rPr>
              <w:t>360</w:t>
            </w:r>
            <w:r>
              <w:rPr>
                <w:rFonts w:hint="default"/>
                <w:sz w:val="21"/>
                <w:szCs w:val="21"/>
              </w:rPr>
              <w:t>m</w:t>
            </w:r>
            <w:r>
              <w:rPr>
                <w:rFonts w:hint="default"/>
                <w:sz w:val="21"/>
                <w:szCs w:val="21"/>
                <w:vertAlign w:val="superscript"/>
              </w:rPr>
              <w:t>3</w:t>
            </w:r>
            <w:r>
              <w:rPr>
                <w:rFonts w:hint="default"/>
                <w:sz w:val="21"/>
                <w:szCs w:val="21"/>
              </w:rPr>
              <w:t>/a，主要污染因子为COD、BOD</w:t>
            </w:r>
            <w:r>
              <w:rPr>
                <w:rFonts w:hint="default"/>
                <w:sz w:val="21"/>
                <w:szCs w:val="21"/>
                <w:vertAlign w:val="subscript"/>
              </w:rPr>
              <w:t>5</w:t>
            </w:r>
            <w:r>
              <w:rPr>
                <w:rFonts w:hint="default"/>
                <w:sz w:val="21"/>
                <w:szCs w:val="21"/>
              </w:rPr>
              <w:t>、NH</w:t>
            </w:r>
            <w:r>
              <w:rPr>
                <w:rFonts w:hint="default"/>
                <w:sz w:val="21"/>
                <w:szCs w:val="21"/>
                <w:vertAlign w:val="subscript"/>
              </w:rPr>
              <w:t>3</w:t>
            </w:r>
            <w:r>
              <w:rPr>
                <w:rFonts w:hint="default"/>
                <w:sz w:val="21"/>
                <w:szCs w:val="21"/>
              </w:rPr>
              <w:t>-N、SS等。职工生活污水经化粪池预处理后，</w:t>
            </w:r>
            <w:r>
              <w:rPr>
                <w:rFonts w:hint="eastAsia"/>
                <w:sz w:val="21"/>
                <w:szCs w:val="21"/>
                <w:lang w:eastAsia="zh-CN"/>
              </w:rPr>
              <w:t>经污水管网排入淄博市利民净化水有限公司深度处理达标后排入孝妇河</w:t>
            </w:r>
            <w:r>
              <w:rPr>
                <w:rFonts w:hint="default"/>
                <w:sz w:val="21"/>
                <w:szCs w:val="21"/>
              </w:rPr>
              <w:t>。</w:t>
            </w:r>
          </w:p>
          <w:p w14:paraId="19A5F0D7">
            <w:pPr>
              <w:keepNext w:val="0"/>
              <w:keepLines w:val="0"/>
              <w:pageBreakBefore w:val="0"/>
              <w:widowControl w:val="0"/>
              <w:kinsoku/>
              <w:wordWrap/>
              <w:overflowPunct/>
              <w:topLinePunct w:val="0"/>
              <w:autoSpaceDE/>
              <w:autoSpaceDN/>
              <w:bidi w:val="0"/>
              <w:spacing w:line="380" w:lineRule="exact"/>
              <w:ind w:firstLine="420" w:firstLineChars="200"/>
              <w:textAlignment w:val="auto"/>
            </w:pPr>
            <w:r>
              <w:rPr>
                <w:rFonts w:hint="eastAsia"/>
                <w:lang w:eastAsia="zh-CN"/>
              </w:rPr>
              <w:t>拟建</w:t>
            </w:r>
            <w:r>
              <w:t>项目水平衡图见下图：</w:t>
            </w:r>
          </w:p>
          <w:p w14:paraId="54C0824D">
            <w:pPr>
              <w:spacing w:line="360" w:lineRule="auto"/>
              <w:jc w:val="center"/>
              <w:rPr>
                <w:b/>
                <w:bCs/>
                <w:color w:val="FF0000"/>
              </w:rPr>
            </w:pPr>
            <w:r>
              <w:rPr>
                <w:rFonts w:hint="default"/>
              </w:rPr>
              <w:object>
                <v:shape id="_x0000_i1025" o:spt="75" type="#_x0000_t75" style="height:240.85pt;width:367.95pt;" o:ole="t" filled="f" o:preferrelative="t" stroked="f" coordsize="21600,21600">
                  <v:path/>
                  <v:fill on="f" focussize="0,0"/>
                  <v:stroke on="f"/>
                  <v:imagedata r:id="rId12" o:title=""/>
                  <o:lock v:ext="edit" aspectratio="f"/>
                  <w10:wrap type="none"/>
                  <w10:anchorlock/>
                </v:shape>
                <o:OLEObject Type="Embed" ProgID="Visio.Drawing.15" ShapeID="_x0000_i1025" DrawAspect="Content" ObjectID="_1468075725" r:id="rId11">
                  <o:LockedField>false</o:LockedField>
                </o:OLEObject>
              </w:object>
            </w:r>
          </w:p>
          <w:p w14:paraId="7F90D6EA">
            <w:pPr>
              <w:keepNext w:val="0"/>
              <w:keepLines w:val="0"/>
              <w:pageBreakBefore w:val="0"/>
              <w:widowControl w:val="0"/>
              <w:kinsoku/>
              <w:wordWrap/>
              <w:overflowPunct/>
              <w:topLinePunct w:val="0"/>
              <w:autoSpaceDE/>
              <w:autoSpaceDN/>
              <w:bidi w:val="0"/>
              <w:spacing w:line="400" w:lineRule="exact"/>
              <w:ind w:firstLine="422" w:firstLineChars="200"/>
              <w:jc w:val="center"/>
              <w:textAlignment w:val="auto"/>
              <w:rPr>
                <w:b/>
                <w:bCs/>
              </w:rPr>
            </w:pPr>
            <w:r>
              <w:rPr>
                <w:b/>
                <w:bCs/>
              </w:rPr>
              <w:t>图2-1</w:t>
            </w:r>
            <w:r>
              <w:rPr>
                <w:rFonts w:hint="eastAsia"/>
                <w:b/>
                <w:bCs/>
                <w:lang w:eastAsia="zh-CN"/>
              </w:rPr>
              <w:t>拟建</w:t>
            </w:r>
            <w:r>
              <w:rPr>
                <w:b/>
                <w:bCs/>
              </w:rPr>
              <w:t>项目水平衡图 单位：m</w:t>
            </w:r>
            <w:r>
              <w:rPr>
                <w:b/>
                <w:bCs/>
                <w:vertAlign w:val="superscript"/>
              </w:rPr>
              <w:t>3</w:t>
            </w:r>
            <w:r>
              <w:rPr>
                <w:b/>
                <w:bCs/>
              </w:rPr>
              <w:t>/a</w:t>
            </w:r>
          </w:p>
          <w:p w14:paraId="52666591">
            <w:pPr>
              <w:tabs>
                <w:tab w:val="left" w:pos="1800"/>
              </w:tabs>
              <w:adjustRightInd w:val="0"/>
              <w:snapToGrid w:val="0"/>
              <w:spacing w:line="360" w:lineRule="auto"/>
              <w:ind w:firstLine="460" w:firstLineChars="200"/>
              <w:rPr>
                <w:rFonts w:hint="default" w:eastAsia="宋体"/>
                <w:spacing w:val="10"/>
                <w:vertAlign w:val="baseline"/>
                <w:lang w:val="en-US" w:eastAsia="zh-CN"/>
              </w:rPr>
            </w:pPr>
            <w:r>
              <w:rPr>
                <w:spacing w:val="10"/>
              </w:rPr>
              <w:t>11、供电：</w:t>
            </w:r>
            <w:r>
              <w:rPr>
                <w:rFonts w:hint="eastAsia"/>
                <w:spacing w:val="10"/>
                <w:lang w:eastAsia="zh-CN"/>
              </w:rPr>
              <w:t>拟建</w:t>
            </w:r>
            <w:r>
              <w:rPr>
                <w:spacing w:val="10"/>
              </w:rPr>
              <w:t>项目用电量</w:t>
            </w:r>
            <w:r>
              <w:rPr>
                <w:rFonts w:hint="eastAsia"/>
                <w:spacing w:val="10"/>
                <w:lang w:eastAsia="zh-CN"/>
              </w:rPr>
              <w:t>新增</w:t>
            </w:r>
            <w:r>
              <w:rPr>
                <w:rFonts w:hint="eastAsia"/>
                <w:spacing w:val="10"/>
                <w:highlight w:val="none"/>
                <w:lang w:val="en-US" w:eastAsia="zh-CN"/>
              </w:rPr>
              <w:t>24</w:t>
            </w:r>
            <w:r>
              <w:rPr>
                <w:spacing w:val="10"/>
                <w:highlight w:val="none"/>
              </w:rPr>
              <w:t>万k</w:t>
            </w:r>
            <w:r>
              <w:rPr>
                <w:spacing w:val="10"/>
              </w:rPr>
              <w:t>Wh/a</w:t>
            </w:r>
            <w:r>
              <w:rPr>
                <w:rFonts w:hint="eastAsia"/>
                <w:spacing w:val="10"/>
                <w:lang w:eastAsia="zh-CN"/>
              </w:rPr>
              <w:t>，</w:t>
            </w:r>
            <w:r>
              <w:rPr>
                <w:spacing w:val="10"/>
              </w:rPr>
              <w:t>由</w:t>
            </w:r>
            <w:r>
              <w:rPr>
                <w:kern w:val="24"/>
              </w:rPr>
              <w:t>淄川</w:t>
            </w:r>
            <w:r>
              <w:rPr>
                <w:rFonts w:hint="eastAsia"/>
                <w:kern w:val="24"/>
                <w:lang w:eastAsia="zh-CN"/>
              </w:rPr>
              <w:t>经济开发</w:t>
            </w:r>
            <w:r>
              <w:rPr>
                <w:kern w:val="24"/>
              </w:rPr>
              <w:t>区</w:t>
            </w:r>
            <w:r>
              <w:rPr>
                <w:spacing w:val="10"/>
              </w:rPr>
              <w:t>供电所供给。</w:t>
            </w:r>
          </w:p>
          <w:p w14:paraId="5780BF35">
            <w:pPr>
              <w:tabs>
                <w:tab w:val="left" w:pos="1800"/>
              </w:tabs>
              <w:adjustRightInd w:val="0"/>
              <w:snapToGrid w:val="0"/>
              <w:spacing w:line="360" w:lineRule="auto"/>
              <w:ind w:firstLine="460" w:firstLineChars="200"/>
              <w:rPr>
                <w:rFonts w:hint="eastAsia"/>
                <w:spacing w:val="10"/>
                <w:lang w:eastAsia="zh-CN"/>
              </w:rPr>
            </w:pPr>
            <w:r>
              <w:rPr>
                <w:spacing w:val="10"/>
              </w:rPr>
              <w:t>12、供热：</w:t>
            </w:r>
            <w:r>
              <w:rPr>
                <w:lang w:val="de-DE"/>
              </w:rPr>
              <w:t>本项目</w:t>
            </w:r>
            <w:r>
              <w:rPr>
                <w:spacing w:val="10"/>
              </w:rPr>
              <w:t>厂区内不设燃煤锅炉，办公室冬季取暖使用空调</w:t>
            </w:r>
            <w:r>
              <w:rPr>
                <w:rFonts w:hint="eastAsia"/>
                <w:spacing w:val="10"/>
                <w:lang w:eastAsia="zh-CN"/>
              </w:rPr>
              <w:t>。</w:t>
            </w:r>
          </w:p>
          <w:p w14:paraId="32A1A8D7">
            <w:pPr>
              <w:pStyle w:val="2"/>
              <w:rPr>
                <w:rFonts w:hint="eastAsia"/>
                <w:spacing w:val="10"/>
                <w:lang w:eastAsia="zh-CN"/>
              </w:rPr>
            </w:pPr>
          </w:p>
          <w:p w14:paraId="5051F04F">
            <w:pPr>
              <w:pStyle w:val="2"/>
              <w:rPr>
                <w:rFonts w:hint="eastAsia"/>
                <w:spacing w:val="10"/>
                <w:lang w:eastAsia="zh-CN"/>
              </w:rPr>
            </w:pPr>
          </w:p>
          <w:p w14:paraId="3D80D8AF">
            <w:pPr>
              <w:pStyle w:val="2"/>
              <w:rPr>
                <w:rFonts w:hint="eastAsia"/>
                <w:spacing w:val="10"/>
                <w:lang w:eastAsia="zh-CN"/>
              </w:rPr>
            </w:pPr>
          </w:p>
          <w:p w14:paraId="259CA5F2">
            <w:pPr>
              <w:pStyle w:val="2"/>
              <w:ind w:left="0" w:leftChars="0" w:firstLine="0" w:firstLineChars="0"/>
              <w:rPr>
                <w:rFonts w:hint="eastAsia"/>
                <w:spacing w:val="10"/>
                <w:lang w:eastAsia="zh-CN"/>
              </w:rPr>
            </w:pPr>
          </w:p>
        </w:tc>
      </w:tr>
      <w:tr w14:paraId="2BD189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33" w:hRule="atLeast"/>
          <w:jc w:val="center"/>
        </w:trPr>
        <w:tc>
          <w:tcPr>
            <w:tcW w:w="420" w:type="dxa"/>
            <w:vAlign w:val="center"/>
          </w:tcPr>
          <w:p w14:paraId="5CFF716C">
            <w:pPr>
              <w:pStyle w:val="76"/>
              <w:adjustRightInd w:val="0"/>
              <w:snapToGrid w:val="0"/>
              <w:spacing w:before="0" w:beforeAutospacing="0" w:after="0" w:afterAutospacing="0" w:line="420" w:lineRule="exact"/>
              <w:jc w:val="center"/>
              <w:rPr>
                <w:rFonts w:ascii="Times New Roman" w:hAnsi="Times New Roman"/>
                <w:sz w:val="21"/>
                <w:szCs w:val="21"/>
              </w:rPr>
            </w:pPr>
            <w:r>
              <w:rPr>
                <w:rFonts w:ascii="Times New Roman" w:hAnsi="Times New Roman"/>
                <w:sz w:val="21"/>
                <w:szCs w:val="21"/>
              </w:rPr>
              <w:t>工艺流程和产排污环节</w:t>
            </w:r>
          </w:p>
        </w:tc>
        <w:tc>
          <w:tcPr>
            <w:tcW w:w="8640" w:type="dxa"/>
            <w:vAlign w:val="top"/>
          </w:tcPr>
          <w:p w14:paraId="4D9B5357">
            <w:pPr>
              <w:pStyle w:val="1041"/>
              <w:spacing w:line="420" w:lineRule="exact"/>
              <w:ind w:firstLine="0" w:firstLineChars="0"/>
              <w:rPr>
                <w:b/>
                <w:szCs w:val="21"/>
                <w:lang w:val="de-DE"/>
              </w:rPr>
            </w:pPr>
            <w:r>
              <w:rPr>
                <w:rFonts w:hint="eastAsia"/>
                <w:b/>
                <w:szCs w:val="21"/>
                <w:lang w:val="de-DE" w:eastAsia="zh-CN"/>
              </w:rPr>
              <w:t>一、</w:t>
            </w:r>
            <w:r>
              <w:rPr>
                <w:b/>
                <w:szCs w:val="21"/>
                <w:lang w:val="de-DE"/>
              </w:rPr>
              <w:t>工艺流程</w:t>
            </w:r>
          </w:p>
          <w:p w14:paraId="3C9F7C72">
            <w:pPr>
              <w:adjustRightInd w:val="0"/>
              <w:snapToGrid w:val="0"/>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本项目</w:t>
            </w:r>
            <w:r>
              <w:rPr>
                <w:rFonts w:hint="eastAsia" w:ascii="Times New Roman" w:hAnsi="Times New Roman" w:cs="Times New Roman"/>
                <w:color w:val="auto"/>
                <w:szCs w:val="21"/>
                <w:highlight w:val="none"/>
                <w:lang w:eastAsia="zh-CN"/>
              </w:rPr>
              <w:t>工艺流程</w:t>
            </w:r>
            <w:r>
              <w:rPr>
                <w:rFonts w:hint="default" w:ascii="Times New Roman" w:hAnsi="Times New Roman" w:cs="Times New Roman"/>
                <w:color w:val="auto"/>
                <w:szCs w:val="21"/>
                <w:highlight w:val="none"/>
              </w:rPr>
              <w:t>主要分为施工期和营运期。</w:t>
            </w:r>
          </w:p>
          <w:p w14:paraId="6A1F45FF">
            <w:pPr>
              <w:pStyle w:val="1041"/>
              <w:spacing w:line="420" w:lineRule="exact"/>
              <w:ind w:firstLine="422"/>
              <w:rPr>
                <w:b/>
                <w:szCs w:val="21"/>
                <w:highlight w:val="none"/>
              </w:rPr>
            </w:pPr>
            <w:r>
              <w:rPr>
                <w:b/>
                <w:szCs w:val="21"/>
                <w:highlight w:val="none"/>
              </w:rPr>
              <w:t>1、施工期</w:t>
            </w:r>
          </w:p>
          <w:p w14:paraId="075F4A9F">
            <w:pPr>
              <w:keepNext w:val="0"/>
              <w:keepLines w:val="0"/>
              <w:pageBreakBefore w:val="0"/>
              <w:widowControl w:val="0"/>
              <w:kinsoku/>
              <w:wordWrap/>
              <w:overflowPunct/>
              <w:topLinePunct w:val="0"/>
              <w:autoSpaceDE/>
              <w:autoSpaceDN/>
              <w:bidi w:val="0"/>
              <w:adjustRightInd w:val="0"/>
              <w:snapToGrid/>
              <w:spacing w:line="360" w:lineRule="auto"/>
              <w:ind w:firstLine="420" w:firstLineChars="200"/>
              <w:textAlignment w:val="auto"/>
              <w:rPr>
                <w:rFonts w:hint="default" w:ascii="Times New Roman" w:hAnsi="Times New Roman" w:eastAsia="宋体" w:cs="Times New Roman"/>
                <w:szCs w:val="21"/>
                <w:lang w:eastAsia="zh-CN"/>
              </w:rPr>
            </w:pPr>
            <w:r>
              <w:rPr>
                <w:rFonts w:hint="default" w:ascii="Times New Roman" w:hAnsi="Times New Roman" w:cs="Times New Roman"/>
                <w:szCs w:val="21"/>
              </w:rPr>
              <w:t>该项目为</w:t>
            </w:r>
            <w:r>
              <w:rPr>
                <w:rFonts w:hint="eastAsia" w:cs="Times New Roman"/>
                <w:szCs w:val="21"/>
                <w:lang w:eastAsia="zh-CN"/>
              </w:rPr>
              <w:t>新建</w:t>
            </w:r>
            <w:r>
              <w:rPr>
                <w:rFonts w:hint="default" w:ascii="Times New Roman" w:hAnsi="Times New Roman" w:cs="Times New Roman"/>
                <w:szCs w:val="21"/>
              </w:rPr>
              <w:t>项目，</w:t>
            </w:r>
            <w:r>
              <w:rPr>
                <w:rFonts w:hint="eastAsia" w:cs="Times New Roman"/>
                <w:szCs w:val="21"/>
                <w:lang w:eastAsia="zh-CN"/>
              </w:rPr>
              <w:t>利用已建成厂房进行生产</w:t>
            </w:r>
            <w:r>
              <w:rPr>
                <w:rFonts w:hint="default" w:ascii="Times New Roman" w:hAnsi="Times New Roman" w:cs="Times New Roman"/>
                <w:szCs w:val="21"/>
                <w:lang w:eastAsia="zh-CN"/>
              </w:rPr>
              <w:t>，</w:t>
            </w:r>
            <w:r>
              <w:rPr>
                <w:rFonts w:hint="eastAsia" w:cs="Times New Roman"/>
                <w:szCs w:val="21"/>
                <w:lang w:eastAsia="zh-CN"/>
              </w:rPr>
              <w:t>本项目</w:t>
            </w:r>
            <w:r>
              <w:rPr>
                <w:rFonts w:hint="default" w:ascii="Times New Roman" w:hAnsi="Times New Roman" w:cs="Times New Roman"/>
                <w:szCs w:val="21"/>
                <w:lang w:eastAsia="zh-CN"/>
              </w:rPr>
              <w:t>不需进行土木建设，</w:t>
            </w:r>
            <w:r>
              <w:rPr>
                <w:rFonts w:hint="eastAsia"/>
                <w:sz w:val="21"/>
                <w:szCs w:val="21"/>
              </w:rPr>
              <w:t>仅进行新的设备及管线、零部件的安装，施工期工程量小，且随着施工期的结束而结束</w:t>
            </w:r>
            <w:r>
              <w:rPr>
                <w:rFonts w:hint="eastAsia"/>
                <w:sz w:val="21"/>
                <w:szCs w:val="21"/>
                <w:lang w:eastAsia="zh-CN"/>
              </w:rPr>
              <w:t>，</w:t>
            </w:r>
            <w:r>
              <w:rPr>
                <w:rFonts w:hint="eastAsia"/>
                <w:sz w:val="21"/>
                <w:szCs w:val="21"/>
              </w:rPr>
              <w:t>对周围环境影响较小。</w:t>
            </w:r>
          </w:p>
          <w:p w14:paraId="2C5C1469">
            <w:pPr>
              <w:pStyle w:val="1041"/>
              <w:spacing w:line="420" w:lineRule="exact"/>
              <w:ind w:firstLine="422"/>
              <w:rPr>
                <w:b/>
                <w:szCs w:val="21"/>
              </w:rPr>
            </w:pPr>
            <w:r>
              <w:rPr>
                <w:b/>
                <w:szCs w:val="21"/>
              </w:rPr>
              <w:t>2、运营期</w:t>
            </w:r>
          </w:p>
          <w:p w14:paraId="024F3F19">
            <w:pPr>
              <w:pStyle w:val="1041"/>
              <w:adjustRightInd w:val="0"/>
              <w:snapToGrid w:val="0"/>
              <w:spacing w:line="360" w:lineRule="auto"/>
              <w:ind w:firstLine="422"/>
              <w:rPr>
                <w:rFonts w:hint="default"/>
                <w:b/>
                <w:szCs w:val="21"/>
                <w:highlight w:val="none"/>
                <w:lang w:val="en-US" w:eastAsia="zh-CN"/>
              </w:rPr>
            </w:pPr>
            <w:r>
              <w:rPr>
                <w:rFonts w:hint="eastAsia"/>
                <w:b/>
                <w:szCs w:val="21"/>
                <w:highlight w:val="none"/>
                <w:lang w:val="en-US" w:eastAsia="zh-CN"/>
              </w:rPr>
              <w:t>（一）生产工艺</w:t>
            </w:r>
          </w:p>
          <w:p w14:paraId="17ACD365">
            <w:pPr>
              <w:pStyle w:val="1041"/>
              <w:adjustRightInd w:val="0"/>
              <w:snapToGrid w:val="0"/>
              <w:spacing w:line="360" w:lineRule="auto"/>
              <w:ind w:firstLine="422"/>
              <w:rPr>
                <w:rFonts w:hint="default"/>
                <w:b/>
                <w:szCs w:val="21"/>
                <w:highlight w:val="none"/>
                <w:lang w:val="en-US" w:eastAsia="zh-CN"/>
              </w:rPr>
            </w:pPr>
            <w:r>
              <w:rPr>
                <w:rFonts w:hint="eastAsia"/>
                <w:b/>
                <w:szCs w:val="21"/>
                <w:highlight w:val="none"/>
                <w:lang w:val="en-US" w:eastAsia="zh-CN"/>
              </w:rPr>
              <w:t>&lt;1&gt;水泵</w:t>
            </w:r>
          </w:p>
          <w:p w14:paraId="4F9F3105">
            <w:pPr>
              <w:pStyle w:val="1041"/>
              <w:adjustRightInd w:val="0"/>
              <w:snapToGrid w:val="0"/>
              <w:spacing w:line="360" w:lineRule="auto"/>
              <w:ind w:firstLine="422"/>
              <w:rPr>
                <w:rFonts w:hint="default" w:eastAsia="宋体"/>
                <w:b/>
                <w:szCs w:val="21"/>
                <w:highlight w:val="none"/>
                <w:lang w:val="en-US" w:eastAsia="zh-CN"/>
              </w:rPr>
            </w:pPr>
            <w:r>
              <w:rPr>
                <w:rFonts w:hint="eastAsia"/>
                <w:b/>
                <w:szCs w:val="21"/>
                <w:highlight w:val="none"/>
                <w:lang w:val="en-US" w:eastAsia="zh-CN"/>
              </w:rPr>
              <w:t>（1）水泵、电机及涂装生产工艺流程及产污环节如下：</w:t>
            </w:r>
          </w:p>
          <w:p w14:paraId="21CA529D">
            <w:pPr>
              <w:tabs>
                <w:tab w:val="left" w:pos="9116"/>
              </w:tabs>
              <w:spacing w:line="360" w:lineRule="auto"/>
              <w:jc w:val="center"/>
              <w:rPr>
                <w:rFonts w:hint="eastAsia" w:ascii="Times New Roman" w:hAnsi="Times New Roman" w:cs="Times New Roman"/>
                <w:b/>
                <w:bCs/>
                <w:kern w:val="2"/>
                <w:sz w:val="21"/>
                <w:szCs w:val="21"/>
                <w:lang w:val="en-US" w:eastAsia="zh-CN" w:bidi="ar-SA"/>
              </w:rPr>
            </w:pPr>
            <w:r>
              <w:rPr>
                <w:rFonts w:eastAsiaTheme="minorEastAsia"/>
                <w:b/>
                <w:color w:val="000000" w:themeColor="text1"/>
                <w:szCs w:val="18"/>
                <w:highlight w:val="none"/>
                <w14:textFill>
                  <w14:solidFill>
                    <w14:schemeClr w14:val="tx1"/>
                  </w14:solidFill>
                </w14:textFill>
              </w:rPr>
              <w:object>
                <v:shape id="_x0000_i1026" o:spt="75" type="#_x0000_t75" style="height:269.5pt;width:424.8pt;" o:ole="t" filled="f" o:preferrelative="t" stroked="f" coordsize="21600,21600">
                  <v:path/>
                  <v:fill on="f" focussize="0,0"/>
                  <v:stroke on="f"/>
                  <v:imagedata r:id="rId14" o:title=""/>
                  <o:lock v:ext="edit" aspectratio="f"/>
                  <w10:wrap type="none"/>
                  <w10:anchorlock/>
                </v:shape>
                <o:OLEObject Type="Embed" ProgID="Visio.Drawing.15" ShapeID="_x0000_i1026" DrawAspect="Content" ObjectID="_1468075726" r:id="rId13">
                  <o:LockedField>false</o:LockedField>
                </o:OLEObject>
              </w:object>
            </w: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2.1水泵、电机</w:t>
            </w:r>
            <w:r>
              <w:rPr>
                <w:rFonts w:eastAsiaTheme="minorEastAsia"/>
                <w:b/>
                <w:color w:val="000000" w:themeColor="text1"/>
                <w:szCs w:val="18"/>
                <w:highlight w:val="none"/>
                <w14:textFill>
                  <w14:solidFill>
                    <w14:schemeClr w14:val="tx1"/>
                  </w14:solidFill>
                </w14:textFill>
              </w:rPr>
              <w:t>生产工艺流程及产污环节图</w:t>
            </w:r>
          </w:p>
          <w:p w14:paraId="58A61DD6">
            <w:pPr>
              <w:pStyle w:val="1041"/>
              <w:adjustRightInd w:val="0"/>
              <w:snapToGrid w:val="0"/>
              <w:spacing w:line="360" w:lineRule="auto"/>
              <w:ind w:firstLine="422"/>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object>
                <v:shape id="_x0000_i1027" o:spt="75" type="#_x0000_t75" style="height:97.4pt;width:388.25pt;" o:ole="t" filled="f" o:preferrelative="t" stroked="f" coordsize="21600,21600">
                  <v:path/>
                  <v:fill on="f" focussize="0,0"/>
                  <v:stroke on="f"/>
                  <v:imagedata r:id="rId16" o:title=""/>
                  <o:lock v:ext="edit" aspectratio="f"/>
                  <w10:wrap type="none"/>
                  <w10:anchorlock/>
                </v:shape>
                <o:OLEObject Type="Embed" ProgID="Visio.Drawing.15" ShapeID="_x0000_i1027" DrawAspect="Content" ObjectID="_1468075727" r:id="rId15">
                  <o:LockedField>false</o:LockedField>
                </o:OLEObject>
              </w:object>
            </w:r>
          </w:p>
          <w:p w14:paraId="7FAD5752">
            <w:pPr>
              <w:pStyle w:val="1041"/>
              <w:adjustRightInd w:val="0"/>
              <w:snapToGrid w:val="0"/>
              <w:spacing w:line="360" w:lineRule="auto"/>
              <w:ind w:firstLine="422"/>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2.2涂装</w:t>
            </w:r>
            <w:r>
              <w:rPr>
                <w:rFonts w:eastAsiaTheme="minorEastAsia"/>
                <w:b/>
                <w:color w:val="000000" w:themeColor="text1"/>
                <w:szCs w:val="18"/>
                <w:highlight w:val="none"/>
                <w14:textFill>
                  <w14:solidFill>
                    <w14:schemeClr w14:val="tx1"/>
                  </w14:solidFill>
                </w14:textFill>
              </w:rPr>
              <w:t>工艺</w:t>
            </w:r>
            <w:r>
              <w:rPr>
                <w:rFonts w:hint="eastAsia" w:eastAsiaTheme="minorEastAsia"/>
                <w:b/>
                <w:color w:val="000000" w:themeColor="text1"/>
                <w:szCs w:val="18"/>
                <w:highlight w:val="none"/>
                <w:lang w:eastAsia="zh-CN"/>
                <w14:textFill>
                  <w14:solidFill>
                    <w14:schemeClr w14:val="tx1"/>
                  </w14:solidFill>
                </w14:textFill>
              </w:rPr>
              <w:t>（喷漆房）</w:t>
            </w:r>
            <w:r>
              <w:rPr>
                <w:rFonts w:eastAsiaTheme="minorEastAsia"/>
                <w:b/>
                <w:color w:val="000000" w:themeColor="text1"/>
                <w:szCs w:val="18"/>
                <w:highlight w:val="none"/>
                <w14:textFill>
                  <w14:solidFill>
                    <w14:schemeClr w14:val="tx1"/>
                  </w14:solidFill>
                </w14:textFill>
              </w:rPr>
              <w:t>流程及产污环节图</w:t>
            </w:r>
          </w:p>
          <w:p w14:paraId="252AB931">
            <w:pPr>
              <w:pStyle w:val="1041"/>
              <w:adjustRightInd w:val="0"/>
              <w:snapToGrid w:val="0"/>
              <w:spacing w:line="360" w:lineRule="auto"/>
              <w:ind w:firstLine="422"/>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object>
                <v:shape id="_x0000_i1028" o:spt="75" type="#_x0000_t75" style="height:126.9pt;width:316.8pt;" o:ole="t" filled="f" o:preferrelative="t" stroked="f" coordsize="21600,21600">
                  <v:path/>
                  <v:fill on="f" focussize="0,0"/>
                  <v:stroke on="f"/>
                  <v:imagedata r:id="rId18" o:title=""/>
                  <o:lock v:ext="edit" aspectratio="f"/>
                  <w10:wrap type="none"/>
                  <w10:anchorlock/>
                </v:shape>
                <o:OLEObject Type="Embed" ProgID="Visio.Drawing.15" ShapeID="_x0000_i1028" DrawAspect="Content" ObjectID="_1468075728" r:id="rId17">
                  <o:LockedField>false</o:LockedField>
                </o:OLEObject>
              </w:object>
            </w:r>
          </w:p>
          <w:p w14:paraId="3F1233AE">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right="0" w:rightChars="0" w:firstLine="0" w:firstLineChars="0"/>
              <w:jc w:val="center"/>
              <w:textAlignment w:val="auto"/>
              <w:rPr>
                <w:rFonts w:hint="default" w:ascii="Times New Roman" w:hAnsi="Times New Roman" w:cs="Times New Roman"/>
                <w:b w:val="0"/>
                <w:bCs w:val="0"/>
                <w:kern w:val="2"/>
                <w:sz w:val="21"/>
                <w:szCs w:val="21"/>
                <w:lang w:val="en-US" w:eastAsia="zh-CN" w:bidi="ar-SA"/>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2.3涂装</w:t>
            </w:r>
            <w:r>
              <w:rPr>
                <w:rFonts w:eastAsiaTheme="minorEastAsia"/>
                <w:b/>
                <w:color w:val="000000" w:themeColor="text1"/>
                <w:szCs w:val="18"/>
                <w:highlight w:val="none"/>
                <w14:textFill>
                  <w14:solidFill>
                    <w14:schemeClr w14:val="tx1"/>
                  </w14:solidFill>
                </w14:textFill>
              </w:rPr>
              <w:t>工艺</w:t>
            </w:r>
            <w:r>
              <w:rPr>
                <w:rFonts w:hint="eastAsia" w:eastAsiaTheme="minorEastAsia"/>
                <w:b/>
                <w:color w:val="000000" w:themeColor="text1"/>
                <w:szCs w:val="18"/>
                <w:highlight w:val="none"/>
                <w:lang w:eastAsia="zh-CN"/>
                <w14:textFill>
                  <w14:solidFill>
                    <w14:schemeClr w14:val="tx1"/>
                  </w14:solidFill>
                </w14:textFill>
              </w:rPr>
              <w:t>（喷塑</w:t>
            </w:r>
            <w:r>
              <w:rPr>
                <w:rFonts w:hint="eastAsia" w:eastAsiaTheme="minorEastAsia"/>
                <w:b/>
                <w:color w:val="000000" w:themeColor="text1"/>
                <w:szCs w:val="18"/>
                <w:highlight w:val="none"/>
                <w:lang w:val="en-US" w:eastAsia="zh-CN"/>
                <w14:textFill>
                  <w14:solidFill>
                    <w14:schemeClr w14:val="tx1"/>
                  </w14:solidFill>
                </w14:textFill>
              </w:rPr>
              <w:t>固化</w:t>
            </w:r>
            <w:r>
              <w:rPr>
                <w:rFonts w:hint="eastAsia" w:eastAsiaTheme="minorEastAsia"/>
                <w:b/>
                <w:color w:val="000000" w:themeColor="text1"/>
                <w:szCs w:val="18"/>
                <w:highlight w:val="none"/>
                <w:lang w:eastAsia="zh-CN"/>
                <w14:textFill>
                  <w14:solidFill>
                    <w14:schemeClr w14:val="tx1"/>
                  </w14:solidFill>
                </w14:textFill>
              </w:rPr>
              <w:t>）</w:t>
            </w:r>
            <w:r>
              <w:rPr>
                <w:rFonts w:eastAsiaTheme="minorEastAsia"/>
                <w:b/>
                <w:color w:val="000000" w:themeColor="text1"/>
                <w:szCs w:val="18"/>
                <w:highlight w:val="none"/>
                <w14:textFill>
                  <w14:solidFill>
                    <w14:schemeClr w14:val="tx1"/>
                  </w14:solidFill>
                </w14:textFill>
              </w:rPr>
              <w:t>流程及产污环节图</w:t>
            </w:r>
          </w:p>
          <w:p w14:paraId="43A74EC4">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0"/>
              <w:textAlignment w:val="auto"/>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（2）水泵、电机工艺流程及涂装工艺流程简述：</w:t>
            </w:r>
          </w:p>
          <w:p w14:paraId="69AC5CA3">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外购叶轮、泵体坯体，使用车床、加工中心等设备进行机械加工。外购定子毛坯、转子毛坯，使用车床、加工中心、磨床等设备进行机加工，进行动平衡测试后获得转子成品，定子嵌线后与外购配件组装，之后送入浸漆罐进行浸漆。</w:t>
            </w:r>
            <w:r>
              <w:rPr>
                <w:rFonts w:hint="eastAsia"/>
              </w:rPr>
              <w:t>浸漆时</w:t>
            </w:r>
            <w:r>
              <w:t>，先打开浸漆罐盖，操作行车吊装定子进入浸漆罐中，不同电机型号的定子尺寸不一，吊装数量不同；定子安放完毕后关闭浸漆罐盖，液压系统自动旋紧罐盖，并保证气密性良好。随后打开</w:t>
            </w:r>
            <w:r>
              <w:rPr>
                <w:rFonts w:hint="eastAsia"/>
              </w:rPr>
              <w:t>储</w:t>
            </w:r>
            <w:r>
              <w:t>漆罐阀门，启动真空泵抽出浸漆罐的空气，</w:t>
            </w:r>
            <w:r>
              <w:rPr>
                <w:rFonts w:hint="eastAsia"/>
                <w:lang w:eastAsia="zh-CN"/>
              </w:rPr>
              <w:t>储</w:t>
            </w:r>
            <w:r>
              <w:t>漆罐中的漆料在大气压力的作用下进入浸漆罐中，达到液位高度后，关闭</w:t>
            </w:r>
            <w:r>
              <w:rPr>
                <w:rFonts w:hint="eastAsia"/>
                <w:lang w:eastAsia="zh-CN"/>
              </w:rPr>
              <w:t>储漆罐</w:t>
            </w:r>
            <w:r>
              <w:t>阀门，浸漆罐加压至设定压力，保持一定的压力约1h后（压力与时间根据型号进行调整），浸漆操作完成，打开</w:t>
            </w:r>
            <w:r>
              <w:rPr>
                <w:rFonts w:hint="eastAsia"/>
                <w:lang w:eastAsia="zh-CN"/>
              </w:rPr>
              <w:t>储漆罐</w:t>
            </w:r>
            <w:r>
              <w:t>阀门，所有的漆料压回储漆罐，储漆罐产生的气体经</w:t>
            </w:r>
            <w:r>
              <w:rPr>
                <w:rFonts w:hint="eastAsia"/>
              </w:rPr>
              <w:t>密闭</w:t>
            </w:r>
            <w:r>
              <w:t>管道送入尾气处理装置，定子</w:t>
            </w:r>
            <w:r>
              <w:rPr>
                <w:rFonts w:hint="eastAsia"/>
                <w:lang w:eastAsia="zh-CN"/>
              </w:rPr>
              <w:t>表面残留的漆在浸漆罐内自然滴落，待</w:t>
            </w:r>
            <w:r>
              <w:t>定子表面绝缘漆滴完后，浸漆完成。浸漆结束后打开浸漆罐，操作行车将定子吊装入烘箱中，烘箱使用电力</w:t>
            </w:r>
            <w:r>
              <w:rPr>
                <w:rFonts w:hint="eastAsia"/>
                <w:lang w:eastAsia="zh-CN"/>
              </w:rPr>
              <w:t>作为</w:t>
            </w:r>
            <w:r>
              <w:t>能源，烘干温度为150℃，烘干时间约</w:t>
            </w:r>
            <w:r>
              <w:rPr>
                <w:rFonts w:hint="eastAsia"/>
                <w:lang w:val="en-US" w:eastAsia="zh-CN"/>
              </w:rPr>
              <w:t>2</w:t>
            </w:r>
            <w:r>
              <w:t>h。</w:t>
            </w:r>
            <w:r>
              <w:rPr>
                <w:rFonts w:hint="eastAsia"/>
                <w:lang w:eastAsia="zh-CN"/>
              </w:rPr>
              <w:t>完成后，将定子、转子组装即为电机，</w:t>
            </w:r>
            <w:r>
              <w:rPr>
                <w:rFonts w:hint="eastAsia" w:ascii="Times New Roman" w:hAnsi="Times New Roman" w:cs="Times New Roman"/>
                <w:b w:val="0"/>
                <w:bCs w:val="0"/>
                <w:kern w:val="2"/>
                <w:sz w:val="21"/>
                <w:szCs w:val="21"/>
                <w:lang w:val="en-US" w:eastAsia="zh-CN" w:bidi="ar-SA"/>
              </w:rPr>
              <w:t>之后与机械加工后的叶轮、泵体坯体及外购的机封、螺栓五金件等进行人工组装，完成后进行性能测试，根据客户需求送入喷漆房进行涂装，涂装完成后入库包装即为成品。</w:t>
            </w:r>
          </w:p>
          <w:p w14:paraId="32D37C85">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本项目所有涂装工序均在喷漆房或喷塑区内进行，喷漆房涂装工序主要由调漆、底漆喷涂、底漆晾干、面漆喷涂、面漆晾干组成，使用油性漆、稀释剂，调漆为人工进行，喷漆为自动静电喷涂工艺，底漆、面漆喷涂完成后，需在喷漆房自然晾干约1h后方可进入下一道工序，调漆、喷漆、晾干可同时进行。</w:t>
            </w:r>
          </w:p>
          <w:p w14:paraId="74E49C13">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喷塑涂装工序在喷塑区进行，使用静电喷涂机将塑粉均匀吸附在工件表面，</w:t>
            </w:r>
            <w:r>
              <w:rPr>
                <w:rFonts w:hint="eastAsia" w:ascii="Times New Roman" w:hAnsi="Times New Roman" w:cs="Times New Roman"/>
                <w:b w:val="0"/>
                <w:bCs w:val="0"/>
                <w:kern w:val="2"/>
                <w:sz w:val="21"/>
                <w:szCs w:val="21"/>
                <w:highlight w:val="none"/>
                <w:lang w:val="en-US" w:eastAsia="zh-CN" w:bidi="ar-SA"/>
              </w:rPr>
              <w:t>之后送入电烘干箱在180℃左右进行</w:t>
            </w:r>
            <w:r>
              <w:rPr>
                <w:rFonts w:hint="eastAsia" w:ascii="Times New Roman" w:hAnsi="Times New Roman" w:cs="Times New Roman"/>
                <w:b w:val="0"/>
                <w:bCs w:val="0"/>
                <w:kern w:val="2"/>
                <w:sz w:val="21"/>
                <w:szCs w:val="21"/>
                <w:lang w:val="en-US" w:eastAsia="zh-CN" w:bidi="ar-SA"/>
              </w:rPr>
              <w:t>固化，固化完成送入下一道工序。</w:t>
            </w:r>
          </w:p>
          <w:p w14:paraId="79D5A520">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本项目所有工件的涂装工序均一致，根据需求进行喷漆或喷塑涂装，其余产品工艺流程中涂装工序不再赘述。</w:t>
            </w:r>
          </w:p>
          <w:p w14:paraId="3FE0853A">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机械加工工序有颗粒物（G1.1、G1.2、G1.3）、废边角料（S1.1、S1.2、S1.3）、噪声（N）产生；性能测试有噪声（N）产生；涂装工序有颗粒物、VOCs（G2.1-G2.7）、废油漆桶、稀释剂桶（S2.1）、废漆渣（S2.2）、废包装物（S2.3）噪声（N）产生；浸漆、烘干工序有VOCs、苯乙烯（G16）、废绝缘漆桶（S2.4）、噪声（N）产生。</w:t>
            </w:r>
          </w:p>
          <w:p w14:paraId="6AB4F833">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0"/>
              <w:textAlignment w:val="auto"/>
              <w:rPr>
                <w:rFonts w:hint="default"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&lt;2&gt;给水设备</w:t>
            </w:r>
          </w:p>
          <w:p w14:paraId="38DEB865">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t>（1）</w:t>
            </w:r>
            <w:r>
              <w:rPr>
                <w:rFonts w:hint="eastAsia" w:ascii="Times New Roman" w:hAnsi="Times New Roman" w:cs="Times New Roman"/>
                <w:b/>
                <w:bCs/>
                <w:kern w:val="2"/>
                <w:sz w:val="21"/>
                <w:szCs w:val="21"/>
                <w:lang w:val="en-US" w:eastAsia="zh-CN" w:bidi="ar-SA"/>
              </w:rPr>
              <w:t>给水设备生产工艺流程及产污环节如下：</w:t>
            </w:r>
          </w:p>
          <w:p w14:paraId="668ADE9B">
            <w:pPr>
              <w:pStyle w:val="1041"/>
              <w:adjustRightInd w:val="0"/>
              <w:snapToGrid w:val="0"/>
              <w:spacing w:line="360" w:lineRule="auto"/>
              <w:ind w:firstLine="422"/>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object>
                <v:shape id="_x0000_i1029" o:spt="75" type="#_x0000_t75" style="height:309.1pt;width:328.9pt;" o:ole="t" filled="f" o:preferrelative="t" stroked="f" coordsize="21600,21600">
                  <v:path/>
                  <v:fill on="f" focussize="0,0"/>
                  <v:stroke on="f"/>
                  <v:imagedata r:id="rId20" o:title=""/>
                  <o:lock v:ext="edit" aspectratio="f"/>
                  <w10:wrap type="none"/>
                  <w10:anchorlock/>
                </v:shape>
                <o:OLEObject Type="Embed" ProgID="Visio.Drawing.15" ShapeID="_x0000_i1029" DrawAspect="Content" ObjectID="_1468075729" r:id="rId19">
                  <o:LockedField>false</o:LockedField>
                </o:OLEObject>
              </w:object>
            </w:r>
          </w:p>
          <w:p w14:paraId="501DD6B5">
            <w:pPr>
              <w:pStyle w:val="1041"/>
              <w:adjustRightInd w:val="0"/>
              <w:snapToGrid w:val="0"/>
              <w:spacing w:line="360" w:lineRule="auto"/>
              <w:ind w:firstLine="422"/>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2.4给水设备</w:t>
            </w:r>
            <w:r>
              <w:rPr>
                <w:rFonts w:eastAsiaTheme="minorEastAsia"/>
                <w:b/>
                <w:color w:val="000000" w:themeColor="text1"/>
                <w:szCs w:val="18"/>
                <w:highlight w:val="none"/>
                <w14:textFill>
                  <w14:solidFill>
                    <w14:schemeClr w14:val="tx1"/>
                  </w14:solidFill>
                </w14:textFill>
              </w:rPr>
              <w:t>生产工艺流程及产污环节图</w:t>
            </w:r>
          </w:p>
          <w:p w14:paraId="54770BC4">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（2）</w:t>
            </w:r>
            <w:r>
              <w:rPr>
                <w:rFonts w:hint="eastAsia" w:ascii="Times New Roman" w:hAnsi="Times New Roman" w:cs="Times New Roman"/>
                <w:b/>
                <w:bCs/>
                <w:kern w:val="2"/>
                <w:sz w:val="21"/>
                <w:szCs w:val="21"/>
                <w:lang w:val="en-US" w:eastAsia="zh-CN" w:bidi="ar-SA"/>
              </w:rPr>
              <w:t>给水设备工艺流程简述：</w:t>
            </w:r>
          </w:p>
          <w:p w14:paraId="1CD34805">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给水设备主要由底座、水泵、气压罐、电控柜组装成，底座由碳钢板/不锈钢板经火焰、等离子切割等进行下料，之后进行焊接获得，水泵、气压罐、电控柜为本项目其他产品，部分自用作为给水设备配件，部分作为产品外</w:t>
            </w:r>
            <w:r>
              <w:rPr>
                <w:rFonts w:hint="eastAsia" w:ascii="Times New Roman" w:hAnsi="Times New Roman" w:cs="Times New Roman"/>
                <w:b w:val="0"/>
                <w:bCs w:val="0"/>
                <w:kern w:val="2"/>
                <w:sz w:val="21"/>
                <w:szCs w:val="21"/>
                <w:highlight w:val="none"/>
                <w:lang w:val="en-US" w:eastAsia="zh-CN" w:bidi="ar-SA"/>
              </w:rPr>
              <w:t>卖。水泵、气压罐、电</w:t>
            </w:r>
            <w:r>
              <w:rPr>
                <w:rFonts w:hint="eastAsia" w:ascii="Times New Roman" w:hAnsi="Times New Roman" w:cs="Times New Roman"/>
                <w:b w:val="0"/>
                <w:bCs w:val="0"/>
                <w:kern w:val="2"/>
                <w:sz w:val="21"/>
                <w:szCs w:val="21"/>
                <w:lang w:val="en-US" w:eastAsia="zh-CN" w:bidi="ar-SA"/>
              </w:rPr>
              <w:t>控柜组装完成后与底座进行装配人工检验，入库包装即为成品。</w:t>
            </w:r>
          </w:p>
          <w:p w14:paraId="4EDB81A8">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产污工序：底座下料工序有颗粒物（G3.1）、废边角料（S1.4）、噪声（N）产生；底座焊接有颗粒物（G4.1）、废焊渣（S3.1）、噪声（N）产生；装配工序有噪声（N）产生。</w:t>
            </w:r>
          </w:p>
          <w:p w14:paraId="2FEAE412">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&lt;3&gt;气压罐</w:t>
            </w:r>
          </w:p>
          <w:p w14:paraId="418DF389">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（1）气压罐生产工艺流程及产污环节图如下</w:t>
            </w:r>
          </w:p>
          <w:p w14:paraId="43E0D78B">
            <w:pPr>
              <w:pStyle w:val="1394"/>
              <w:numPr>
                <w:ilvl w:val="0"/>
                <w:numId w:val="0"/>
              </w:numPr>
              <w:autoSpaceDE w:val="0"/>
              <w:spacing w:before="163" w:beforeLines="50" w:line="360" w:lineRule="auto"/>
              <w:ind w:left="420" w:leftChars="0"/>
              <w:jc w:val="center"/>
              <w:rPr>
                <w:rFonts w:hint="eastAsia"/>
                <w:bCs/>
                <w:sz w:val="21"/>
                <w:szCs w:val="21"/>
                <w:lang w:eastAsia="zh-CN"/>
              </w:rPr>
            </w:pPr>
            <w:r>
              <w:rPr>
                <w:rFonts w:hint="eastAsia"/>
                <w:bCs/>
                <w:sz w:val="21"/>
                <w:szCs w:val="21"/>
                <w:lang w:eastAsia="zh-CN"/>
              </w:rPr>
              <w:object>
                <v:shape id="_x0000_i1030" o:spt="75" type="#_x0000_t75" style="height:430.3pt;width:264.15pt;" o:ole="t" filled="f" o:preferrelative="t" stroked="f" coordsize="21600,21600">
                  <v:path/>
                  <v:fill on="f" focussize="0,0"/>
                  <v:stroke on="f"/>
                  <v:imagedata r:id="rId22" o:title=""/>
                  <o:lock v:ext="edit" aspectratio="f"/>
                  <w10:wrap type="none"/>
                  <w10:anchorlock/>
                </v:shape>
                <o:OLEObject Type="Embed" ProgID="Visio.Drawing.15" ShapeID="_x0000_i1030" DrawAspect="Content" ObjectID="_1468075730" r:id="rId21">
                  <o:LockedField>false</o:LockedField>
                </o:OLEObject>
              </w:object>
            </w:r>
          </w:p>
          <w:p w14:paraId="01B177CA">
            <w:pPr>
              <w:pStyle w:val="1394"/>
              <w:numPr>
                <w:ilvl w:val="0"/>
                <w:numId w:val="0"/>
              </w:numPr>
              <w:autoSpaceDE w:val="0"/>
              <w:spacing w:before="163" w:beforeLines="50" w:line="360" w:lineRule="auto"/>
              <w:ind w:left="420" w:leftChars="0"/>
              <w:jc w:val="center"/>
              <w:rPr>
                <w:rFonts w:hint="eastAsia"/>
                <w:bCs/>
                <w:sz w:val="21"/>
                <w:szCs w:val="21"/>
                <w:lang w:eastAsia="zh-CN"/>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2.5气压罐</w:t>
            </w:r>
            <w:r>
              <w:rPr>
                <w:rFonts w:eastAsiaTheme="minorEastAsia"/>
                <w:b/>
                <w:color w:val="000000" w:themeColor="text1"/>
                <w:szCs w:val="18"/>
                <w:highlight w:val="none"/>
                <w14:textFill>
                  <w14:solidFill>
                    <w14:schemeClr w14:val="tx1"/>
                  </w14:solidFill>
                </w14:textFill>
              </w:rPr>
              <w:t>生产工艺流程及产污环节图</w:t>
            </w:r>
          </w:p>
          <w:p w14:paraId="1C2C6E99">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（2）气压罐生产工艺流程简述：</w:t>
            </w:r>
          </w:p>
          <w:p w14:paraId="31C662CF">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根据设计图纸，将碳钢板/不锈钢板使用火焰、等离子切割机等进行下料，使用卷板机进行筒体卷板，筒体焊接成型，外购封头进行组装焊接，再使用火焰、等离子切割机进行开孔，使用钢管锯床下料后制得的管口焊接在筒体上，锯床下料使用水，无粉尘产生。焊接完成的半成品进行水压试验等检验，根据客户需求送入喷漆房或喷塑区进行涂装，涂装完成后入库包装即为成品。</w:t>
            </w:r>
          </w:p>
          <w:p w14:paraId="01F8E8F2">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碳钢板/不锈钢板下料工序有颗粒物（G3.2）、废边角料（S1.5）、噪声（N）产生；钢管下料工序有废边角料（S1.6）、噪声（N）产生；筒体卷板工序有噪声（N）产生；筒体焊接、组装焊接、管口焊接工序有颗粒物（G4.2、G4.3、G4.4）、废焊渣（S3.2、S3.3、S3.4）、噪声（N）产生；开孔工序有颗粒物（G3.3）、废边角料（S1.7）、噪声（N）产生；涂装工序有颗粒物（含漆雾颗粒）、VOCs（G2.1-G2.7）、废油漆桶、稀释剂桶（S2.1）、废漆渣（S2.2）、废包装物（S2.3）、噪声（N）产生。</w:t>
            </w:r>
          </w:p>
          <w:p w14:paraId="61BDB67E">
            <w:pPr>
              <w:pStyle w:val="1394"/>
              <w:numPr>
                <w:ilvl w:val="0"/>
                <w:numId w:val="0"/>
              </w:numPr>
              <w:autoSpaceDE w:val="0"/>
              <w:spacing w:before="163" w:beforeLines="50" w:line="360" w:lineRule="auto"/>
              <w:ind w:left="0" w:leftChars="0" w:firstLine="420" w:firstLineChars="0"/>
              <w:rPr>
                <w:rFonts w:hint="eastAsia"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&lt;4&gt;水箱</w:t>
            </w:r>
          </w:p>
          <w:p w14:paraId="1BD031A8">
            <w:pPr>
              <w:pStyle w:val="1394"/>
              <w:numPr>
                <w:ilvl w:val="0"/>
                <w:numId w:val="0"/>
              </w:numPr>
              <w:autoSpaceDE w:val="0"/>
              <w:spacing w:before="163" w:beforeLines="50" w:line="360" w:lineRule="auto"/>
              <w:ind w:left="0" w:leftChars="0" w:firstLine="420" w:firstLineChars="0"/>
              <w:rPr>
                <w:rFonts w:hint="default"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（1）水箱生产工艺流程及产污环节图如下</w:t>
            </w:r>
          </w:p>
          <w:p w14:paraId="4CF22375">
            <w:pPr>
              <w:pStyle w:val="1394"/>
              <w:numPr>
                <w:ilvl w:val="0"/>
                <w:numId w:val="0"/>
              </w:numPr>
              <w:autoSpaceDE w:val="0"/>
              <w:spacing w:before="163" w:beforeLines="50" w:line="360" w:lineRule="auto"/>
              <w:jc w:val="both"/>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object>
                <v:shape id="_x0000_i1031" o:spt="75" type="#_x0000_t75" style="height:77.05pt;width:425.85pt;" o:ole="t" filled="f" o:preferrelative="t" stroked="f" coordsize="21600,21600">
                  <v:path/>
                  <v:fill on="f" focussize="0,0"/>
                  <v:stroke on="f"/>
                  <v:imagedata r:id="rId24" o:title=""/>
                  <o:lock v:ext="edit" aspectratio="f"/>
                  <w10:wrap type="none"/>
                  <w10:anchorlock/>
                </v:shape>
                <o:OLEObject Type="Embed" ProgID="Visio.Drawing.15" ShapeID="_x0000_i1031" DrawAspect="Content" ObjectID="_1468075731" r:id="rId23">
                  <o:LockedField>false</o:LockedField>
                </o:OLEObject>
              </w:object>
            </w:r>
          </w:p>
          <w:p w14:paraId="45E287C9">
            <w:pPr>
              <w:pStyle w:val="1394"/>
              <w:numPr>
                <w:ilvl w:val="0"/>
                <w:numId w:val="0"/>
              </w:numPr>
              <w:autoSpaceDE w:val="0"/>
              <w:spacing w:before="163" w:beforeLines="50" w:line="360" w:lineRule="auto"/>
              <w:ind w:left="0" w:leftChars="0" w:right="0" w:rightChars="0" w:firstLine="0" w:firstLineChars="0"/>
              <w:jc w:val="center"/>
              <w:rPr>
                <w:rFonts w:hint="eastAsia" w:ascii="Times New Roman" w:hAnsi="Times New Roman" w:cs="Times New Roman"/>
                <w:b/>
                <w:bCs/>
                <w:kern w:val="2"/>
                <w:sz w:val="21"/>
                <w:szCs w:val="21"/>
                <w:lang w:val="en-US" w:eastAsia="zh-CN" w:bidi="ar-SA"/>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2.6水箱</w:t>
            </w:r>
            <w:r>
              <w:rPr>
                <w:rFonts w:eastAsiaTheme="minorEastAsia"/>
                <w:b/>
                <w:color w:val="000000" w:themeColor="text1"/>
                <w:szCs w:val="18"/>
                <w:highlight w:val="none"/>
                <w14:textFill>
                  <w14:solidFill>
                    <w14:schemeClr w14:val="tx1"/>
                  </w14:solidFill>
                </w14:textFill>
              </w:rPr>
              <w:t>生产工艺流程及产污环节图</w:t>
            </w:r>
          </w:p>
          <w:p w14:paraId="382411CE">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（2）水箱工艺流程简述：</w:t>
            </w:r>
          </w:p>
          <w:p w14:paraId="1BF2C15F">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根据设计图纸，将金属板材使用剪板机进行下料，使用四柱油压机进行冲压成型，使用水箱板裁角机、水箱板冲孔机进行</w:t>
            </w:r>
            <w:r>
              <w:rPr>
                <w:rFonts w:hint="eastAsia" w:ascii="Times New Roman" w:hAnsi="Times New Roman" w:cs="Times New Roman"/>
                <w:b w:val="0"/>
                <w:bCs w:val="0"/>
                <w:color w:val="auto"/>
                <w:kern w:val="2"/>
                <w:sz w:val="21"/>
                <w:szCs w:val="21"/>
                <w:lang w:val="en-US" w:eastAsia="zh-CN" w:bidi="ar-SA"/>
              </w:rPr>
              <w:t>裁角、冲孔后获得水箱零部</w:t>
            </w:r>
            <w:r>
              <w:rPr>
                <w:rFonts w:hint="eastAsia" w:ascii="Times New Roman" w:hAnsi="Times New Roman" w:cs="Times New Roman"/>
                <w:b w:val="0"/>
                <w:bCs w:val="0"/>
                <w:color w:val="auto"/>
                <w:kern w:val="2"/>
                <w:sz w:val="21"/>
                <w:szCs w:val="21"/>
                <w:highlight w:val="none"/>
                <w:lang w:val="en-US" w:eastAsia="zh-CN" w:bidi="ar-SA"/>
              </w:rPr>
              <w:t>件，</w:t>
            </w:r>
            <w:r>
              <w:rPr>
                <w:rFonts w:hint="eastAsia" w:ascii="Times New Roman" w:hAnsi="Times New Roman" w:cs="Times New Roman"/>
                <w:b w:val="0"/>
                <w:bCs w:val="0"/>
                <w:kern w:val="2"/>
                <w:sz w:val="21"/>
                <w:szCs w:val="21"/>
                <w:highlight w:val="none"/>
                <w:lang w:val="en-US" w:eastAsia="zh-CN" w:bidi="ar-SA"/>
              </w:rPr>
              <w:t>使用手持式切割机在零部件中部进行开孔，各种零部件进行焊接，组装完成后进行设</w:t>
            </w:r>
            <w:r>
              <w:rPr>
                <w:rFonts w:hint="eastAsia" w:ascii="Times New Roman" w:hAnsi="Times New Roman" w:cs="Times New Roman"/>
                <w:b w:val="0"/>
                <w:bCs w:val="0"/>
                <w:kern w:val="2"/>
                <w:sz w:val="21"/>
                <w:szCs w:val="21"/>
                <w:lang w:val="en-US" w:eastAsia="zh-CN" w:bidi="ar-SA"/>
              </w:rPr>
              <w:t>备性能测试，试验合格后包装入库即为成品。</w:t>
            </w:r>
          </w:p>
          <w:p w14:paraId="2688BBB9">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不锈钢板下料工序有废边角料（S1.8）、噪声（N）产生；冲压成型工序有噪声（N）产生；焊接工序有颗粒物（G4.5）、废焊渣（S3.5）、噪声（N）产生；裁角、冲孔工序有废边角料（S1.9）、噪声（N）产生，开孔工序有颗粒物（G3.4）、废边角料（S1.10）、噪声（N）产生。</w:t>
            </w:r>
          </w:p>
          <w:p w14:paraId="08005405">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&lt;5&gt;换热器</w:t>
            </w:r>
          </w:p>
          <w:p w14:paraId="46030C8E">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eastAsia="宋体" w:cs="Times New Roman"/>
                <w:b/>
                <w:bCs/>
                <w:kern w:val="2"/>
                <w:sz w:val="21"/>
                <w:szCs w:val="21"/>
                <w:lang w:val="en-US" w:eastAsia="zh-CN" w:bidi="ar-SA"/>
              </w:rPr>
              <w:t>（1）</w:t>
            </w:r>
            <w:r>
              <w:rPr>
                <w:rFonts w:hint="eastAsia" w:ascii="Times New Roman" w:hAnsi="Times New Roman" w:cs="Times New Roman"/>
                <w:b/>
                <w:bCs/>
                <w:kern w:val="2"/>
                <w:sz w:val="21"/>
                <w:szCs w:val="21"/>
                <w:lang w:val="en-US" w:eastAsia="zh-CN" w:bidi="ar-SA"/>
              </w:rPr>
              <w:t>换热器生产工艺流程及产污环节图如下</w:t>
            </w:r>
          </w:p>
          <w:p w14:paraId="7D251B63">
            <w:pPr>
              <w:pStyle w:val="1394"/>
              <w:numPr>
                <w:ilvl w:val="0"/>
                <w:numId w:val="0"/>
              </w:numPr>
              <w:autoSpaceDE w:val="0"/>
              <w:spacing w:before="163" w:beforeLines="50" w:line="360" w:lineRule="auto"/>
              <w:ind w:left="420" w:leftChars="0"/>
              <w:rPr>
                <w:rFonts w:hint="default" w:ascii="Times New Roman" w:hAnsi="Times New Roman" w:cs="Times New Roman"/>
                <w:b/>
                <w:bCs/>
                <w:kern w:val="2"/>
                <w:sz w:val="21"/>
                <w:szCs w:val="21"/>
                <w:lang w:val="en-US" w:eastAsia="zh-CN" w:bidi="ar-SA"/>
              </w:rPr>
            </w:pPr>
          </w:p>
          <w:p w14:paraId="158D642F">
            <w:pPr>
              <w:pStyle w:val="1394"/>
              <w:numPr>
                <w:ilvl w:val="0"/>
                <w:numId w:val="0"/>
              </w:numPr>
              <w:autoSpaceDE w:val="0"/>
              <w:spacing w:before="163" w:beforeLines="50" w:line="360" w:lineRule="auto"/>
              <w:ind w:left="420" w:leftChars="0"/>
              <w:rPr>
                <w:rFonts w:hint="default" w:ascii="Times New Roman" w:hAnsi="Times New Roman" w:cs="Times New Roman"/>
                <w:b/>
                <w:bCs/>
                <w:kern w:val="2"/>
                <w:sz w:val="21"/>
                <w:szCs w:val="21"/>
                <w:lang w:val="en-US" w:eastAsia="zh-CN" w:bidi="ar-SA"/>
              </w:rPr>
            </w:pPr>
          </w:p>
          <w:p w14:paraId="5DAB7A2A">
            <w:pPr>
              <w:pStyle w:val="1394"/>
              <w:numPr>
                <w:ilvl w:val="0"/>
                <w:numId w:val="0"/>
              </w:numPr>
              <w:autoSpaceDE w:val="0"/>
              <w:spacing w:before="163" w:beforeLines="50" w:line="360" w:lineRule="auto"/>
              <w:ind w:left="420" w:leftChars="0"/>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object>
                <v:shape id="_x0000_i1032" o:spt="75" type="#_x0000_t75" style="height:512.85pt;width:390.45pt;" o:ole="t" filled="f" o:preferrelative="t" stroked="f" coordsize="21600,21600">
                  <v:path/>
                  <v:fill on="f" focussize="0,0"/>
                  <v:stroke on="f"/>
                  <v:imagedata r:id="rId26" o:title=""/>
                  <o:lock v:ext="edit" aspectratio="f"/>
                  <w10:wrap type="none"/>
                  <w10:anchorlock/>
                </v:shape>
                <o:OLEObject Type="Embed" ProgID="Visio.Drawing.15" ShapeID="_x0000_i1032" DrawAspect="Content" ObjectID="_1468075732" r:id="rId25">
                  <o:LockedField>false</o:LockedField>
                </o:OLEObject>
              </w:object>
            </w:r>
          </w:p>
          <w:p w14:paraId="757D5197">
            <w:pPr>
              <w:pStyle w:val="1394"/>
              <w:numPr>
                <w:ilvl w:val="0"/>
                <w:numId w:val="0"/>
              </w:numPr>
              <w:autoSpaceDE w:val="0"/>
              <w:spacing w:before="163" w:beforeLines="50" w:line="360" w:lineRule="auto"/>
              <w:ind w:left="0" w:leftChars="0" w:right="0" w:rightChars="0" w:firstLine="0" w:firstLineChars="0"/>
              <w:jc w:val="center"/>
              <w:rPr>
                <w:rFonts w:hint="eastAsia" w:ascii="Times New Roman" w:hAnsi="Times New Roman" w:cs="Times New Roman"/>
                <w:b/>
                <w:bCs/>
                <w:kern w:val="2"/>
                <w:sz w:val="21"/>
                <w:szCs w:val="21"/>
                <w:lang w:val="en-US" w:eastAsia="zh-CN" w:bidi="ar-SA"/>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2.7换热器</w:t>
            </w:r>
            <w:r>
              <w:rPr>
                <w:rFonts w:eastAsiaTheme="minorEastAsia"/>
                <w:b/>
                <w:color w:val="000000" w:themeColor="text1"/>
                <w:szCs w:val="18"/>
                <w:highlight w:val="none"/>
                <w14:textFill>
                  <w14:solidFill>
                    <w14:schemeClr w14:val="tx1"/>
                  </w14:solidFill>
                </w14:textFill>
              </w:rPr>
              <w:t>生产工艺流程及产污环节图</w:t>
            </w:r>
          </w:p>
          <w:p w14:paraId="6D99E8EB">
            <w:pPr>
              <w:pStyle w:val="1394"/>
              <w:numPr>
                <w:ilvl w:val="0"/>
                <w:numId w:val="0"/>
              </w:numPr>
              <w:autoSpaceDE w:val="0"/>
              <w:spacing w:before="163" w:beforeLines="50" w:line="360" w:lineRule="auto"/>
              <w:ind w:left="0" w:leftChars="0" w:firstLine="420" w:firstLineChars="0"/>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（2）换热器工艺流程简述：</w:t>
            </w:r>
          </w:p>
          <w:p w14:paraId="4080E684">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换热器分为三部分组成，封头、立管/盘管、外筒。根据设计图纸，将碳钢板/不锈钢板使用火焰、等离子切割机等进行下料</w:t>
            </w:r>
            <w:r>
              <w:rPr>
                <w:rFonts w:hint="eastAsia" w:ascii="Times New Roman" w:hAnsi="Times New Roman" w:cs="Times New Roman"/>
                <w:b w:val="0"/>
                <w:bCs w:val="0"/>
                <w:kern w:val="2"/>
                <w:sz w:val="21"/>
                <w:szCs w:val="21"/>
                <w:highlight w:val="none"/>
                <w:lang w:val="en-US" w:eastAsia="zh-CN" w:bidi="ar-SA"/>
              </w:rPr>
              <w:t>，下料后进行机械加工，外购法兰进行组装焊接获得封头；下料后进行卷筒，之后进行焊接，与法兰进行组装焊接获得筒体；使用盘管机等对钢管进行加工，之后进行焊接，完成后进行水压试验合格后获得立管/盘管，之后与封头、外筒进行组装，组装完成再次进行水压试验，合格后在进行性能检验；性能试验合格后根据客户需求</w:t>
            </w:r>
            <w:r>
              <w:rPr>
                <w:rFonts w:hint="eastAsia" w:ascii="Times New Roman" w:hAnsi="Times New Roman" w:cs="Times New Roman"/>
                <w:b w:val="0"/>
                <w:bCs w:val="0"/>
                <w:kern w:val="2"/>
                <w:sz w:val="21"/>
                <w:szCs w:val="21"/>
                <w:lang w:val="en-US" w:eastAsia="zh-CN" w:bidi="ar-SA"/>
              </w:rPr>
              <w:t>送入喷漆房进行涂装，涂装完成后入库包装即为成品。</w:t>
            </w:r>
          </w:p>
          <w:p w14:paraId="786275DB">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产污工序：碳钢板/不锈钢板下料工序有颗粒物（G3.5-G3.6）、废边角料（S1.10、S1.11）、噪声（N）产生；机械加工工序有颗粒物（G1.4）、废边角料（S1.12）、噪声（N）产生；立管/盘管加工、卷筒工序有噪声（</w:t>
            </w:r>
            <w:r>
              <w:rPr>
                <w:rFonts w:hint="eastAsia" w:ascii="Times New Roman" w:hAnsi="Times New Roman" w:cs="Times New Roman"/>
                <w:b w:val="0"/>
                <w:bCs w:val="0"/>
                <w:kern w:val="2"/>
                <w:sz w:val="21"/>
                <w:szCs w:val="21"/>
                <w:highlight w:val="none"/>
                <w:lang w:val="en-US" w:eastAsia="zh-CN" w:bidi="ar-SA"/>
              </w:rPr>
              <w:t>N）产生；焊接工序有颗粒物（G4.6-G4.9）、废</w:t>
            </w:r>
            <w:r>
              <w:rPr>
                <w:rFonts w:hint="eastAsia" w:ascii="Times New Roman" w:hAnsi="Times New Roman" w:cs="Times New Roman"/>
                <w:b w:val="0"/>
                <w:bCs w:val="0"/>
                <w:kern w:val="2"/>
                <w:sz w:val="21"/>
                <w:szCs w:val="21"/>
                <w:lang w:val="en-US" w:eastAsia="zh-CN" w:bidi="ar-SA"/>
              </w:rPr>
              <w:t>焊渣（S3.6-S3.9）、噪声（N）产生；涂装工序有漆雾颗粒、VOCs（G2.1-G2.5）、废油漆桶、稀释剂桶（S2.1）、废漆渣（S2.2）、噪声（N）产生。</w:t>
            </w:r>
          </w:p>
          <w:p w14:paraId="110853CA">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&lt;6&gt;热水锅炉</w:t>
            </w:r>
          </w:p>
          <w:p w14:paraId="6C312BB5">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（1）热水锅炉生产工艺流程及产污环节图如下</w:t>
            </w:r>
          </w:p>
          <w:p w14:paraId="39CB2F53">
            <w:pPr>
              <w:pStyle w:val="1394"/>
              <w:numPr>
                <w:ilvl w:val="0"/>
                <w:numId w:val="0"/>
              </w:numPr>
              <w:autoSpaceDE w:val="0"/>
              <w:spacing w:before="163" w:beforeLines="50" w:line="360" w:lineRule="auto"/>
              <w:ind w:left="420" w:leftChars="0"/>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object>
                <v:shape id="_x0000_i1033" o:spt="75" type="#_x0000_t75" style="height:437.25pt;width:316.5pt;" o:ole="t" filled="f" o:preferrelative="t" stroked="f" coordsize="21600,21600">
                  <v:path/>
                  <v:fill on="f" focussize="0,0"/>
                  <v:stroke on="f"/>
                  <v:imagedata r:id="rId28" o:title=""/>
                  <o:lock v:ext="edit" aspectratio="f"/>
                  <w10:wrap type="none"/>
                  <w10:anchorlock/>
                </v:shape>
                <o:OLEObject Type="Embed" ProgID="Visio.Drawing.15" ShapeID="_x0000_i1033" DrawAspect="Content" ObjectID="_1468075733" r:id="rId27">
                  <o:LockedField>false</o:LockedField>
                </o:OLEObject>
              </w:object>
            </w:r>
          </w:p>
          <w:p w14:paraId="63F9ABC2">
            <w:pPr>
              <w:pStyle w:val="1394"/>
              <w:numPr>
                <w:ilvl w:val="0"/>
                <w:numId w:val="0"/>
              </w:numPr>
              <w:autoSpaceDE w:val="0"/>
              <w:spacing w:before="163" w:beforeLines="50" w:line="360" w:lineRule="auto"/>
              <w:ind w:left="0" w:leftChars="0" w:right="0" w:rightChars="0" w:firstLine="0" w:firstLineChars="0"/>
              <w:jc w:val="center"/>
              <w:rPr>
                <w:rFonts w:hint="eastAsia" w:ascii="Times New Roman" w:hAnsi="Times New Roman" w:cs="Times New Roman"/>
                <w:b/>
                <w:bCs/>
                <w:kern w:val="2"/>
                <w:sz w:val="21"/>
                <w:szCs w:val="21"/>
                <w:lang w:val="en-US" w:eastAsia="zh-CN" w:bidi="ar-SA"/>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2.8热水锅炉</w:t>
            </w:r>
            <w:r>
              <w:rPr>
                <w:rFonts w:eastAsiaTheme="minorEastAsia"/>
                <w:b/>
                <w:color w:val="000000" w:themeColor="text1"/>
                <w:szCs w:val="18"/>
                <w:highlight w:val="none"/>
                <w14:textFill>
                  <w14:solidFill>
                    <w14:schemeClr w14:val="tx1"/>
                  </w14:solidFill>
                </w14:textFill>
              </w:rPr>
              <w:t>生产工艺流程及产污环节图</w:t>
            </w:r>
          </w:p>
          <w:p w14:paraId="05626215">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（2）热水锅炉工艺流程简述：</w:t>
            </w:r>
          </w:p>
          <w:p w14:paraId="153DB4F5">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本项目热水锅炉为常压热水锅炉，由外筒、内胆组成。根据设计图纸，将碳钢板/不锈钢板使用火焰、等离子切割机等进行下料，外筒下料后使用卷板机进行卷筒，使用焊接机械手进行筒体焊接；内胆下料后使用火焰、等离子切割机进行开孔，使用卷板机进行卷板，再将钢管锯床下料后获得的管口与内胆进行组装焊接，锯床下料使用水冷却，无粉尘产生。之后将外筒与内胆进行组装。</w:t>
            </w:r>
            <w:r>
              <w:rPr>
                <w:rFonts w:hint="eastAsia" w:ascii="Times New Roman" w:hAnsi="Times New Roman" w:cs="Times New Roman"/>
                <w:b w:val="0"/>
                <w:bCs w:val="0"/>
                <w:kern w:val="2"/>
                <w:sz w:val="21"/>
                <w:szCs w:val="21"/>
                <w:highlight w:val="none"/>
                <w:lang w:val="en-US" w:eastAsia="zh-CN" w:bidi="ar-SA"/>
              </w:rPr>
              <w:t>组装后的锅炉半成品根据需要再次进行开孔、焊接满足需求，再进行性能测试等检验，合格后根据客户需求</w:t>
            </w:r>
            <w:r>
              <w:rPr>
                <w:rFonts w:hint="eastAsia" w:ascii="Times New Roman" w:hAnsi="Times New Roman" w:cs="Times New Roman"/>
                <w:b w:val="0"/>
                <w:bCs w:val="0"/>
                <w:kern w:val="2"/>
                <w:sz w:val="21"/>
                <w:szCs w:val="21"/>
                <w:lang w:val="en-US" w:eastAsia="zh-CN" w:bidi="ar-SA"/>
              </w:rPr>
              <w:t>送入喷漆房进行涂装，涂装完成后入库包装即为成品。</w:t>
            </w:r>
          </w:p>
          <w:p w14:paraId="70F332BE">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default" w:ascii="Times New Roman" w:hAnsi="Times New Roman" w:eastAsia="宋体"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碳钢板/不锈钢板下料工序有颗粒物（G3.7、G3.8）、废边角料（S1.13、S1.14）、噪声（N）产生；钢管下料工序有废边角料（S1.15）、噪声（N）产生；卷筒、卷板工序有噪声（N）产生；焊接工序有颗粒物（G4.10-G4.12）、废焊渣（S3.10-S3.12）、噪声（N）产生；开孔工序有颗粒物（G3.9、G3.10）、废边角料（S1.16-S1.17）、噪声（N）产生；涂装工序有漆雾颗粒、VOCs（G2.1-G2.5）、废油漆桶、稀释剂桶（S2.1）、废漆渣（S2.2）、噪声（N）产生。</w:t>
            </w:r>
          </w:p>
          <w:p w14:paraId="1AAC0306">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&lt;7&gt;电控柜</w:t>
            </w:r>
          </w:p>
          <w:p w14:paraId="17E64838">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（1）电控柜生产工艺流程及产污环节图如下</w:t>
            </w:r>
          </w:p>
          <w:p w14:paraId="54B6E9DC">
            <w:pPr>
              <w:pStyle w:val="1394"/>
              <w:numPr>
                <w:ilvl w:val="0"/>
                <w:numId w:val="0"/>
              </w:numPr>
              <w:autoSpaceDE w:val="0"/>
              <w:spacing w:before="163" w:beforeLines="50" w:line="360" w:lineRule="auto"/>
              <w:ind w:left="420" w:leftChars="0"/>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object>
                <v:shape id="_x0000_i1034" o:spt="75" type="#_x0000_t75" style="height:48.6pt;width:385.2pt;" o:ole="t" filled="f" o:preferrelative="t" stroked="f" coordsize="21600,21600">
                  <v:path/>
                  <v:fill on="f" focussize="0,0"/>
                  <v:stroke on="f"/>
                  <v:imagedata r:id="rId30" o:title=""/>
                  <o:lock v:ext="edit" aspectratio="f"/>
                  <w10:wrap type="none"/>
                  <w10:anchorlock/>
                </v:shape>
                <o:OLEObject Type="Embed" ProgID="Visio.Drawing.15" ShapeID="_x0000_i1034" DrawAspect="Content" ObjectID="_1468075734" r:id="rId29">
                  <o:LockedField>false</o:LockedField>
                </o:OLEObject>
              </w:object>
            </w:r>
          </w:p>
          <w:p w14:paraId="5FC279E4">
            <w:pPr>
              <w:pStyle w:val="1394"/>
              <w:numPr>
                <w:ilvl w:val="0"/>
                <w:numId w:val="0"/>
              </w:numPr>
              <w:autoSpaceDE w:val="0"/>
              <w:spacing w:before="163" w:beforeLines="50" w:line="360" w:lineRule="auto"/>
              <w:ind w:left="420" w:leftChars="0"/>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2.9电控柜</w:t>
            </w:r>
            <w:r>
              <w:rPr>
                <w:rFonts w:eastAsiaTheme="minorEastAsia"/>
                <w:b/>
                <w:color w:val="000000" w:themeColor="text1"/>
                <w:szCs w:val="18"/>
                <w:highlight w:val="none"/>
                <w14:textFill>
                  <w14:solidFill>
                    <w14:schemeClr w14:val="tx1"/>
                  </w14:solidFill>
                </w14:textFill>
              </w:rPr>
              <w:t>生产工艺流程及产污环节图</w:t>
            </w:r>
          </w:p>
          <w:p w14:paraId="214E5E38">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（2）电控柜工艺流程简述：</w:t>
            </w:r>
          </w:p>
          <w:p w14:paraId="7C8CD25E">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本项目电控柜主要为人工组装完成，外购箱体、电气元件、电源线，进行人工组装，完成后调试完成即为产品。部分电控柜作为产品外卖，部分作为给水设备配件使用。</w:t>
            </w:r>
          </w:p>
          <w:p w14:paraId="03293D66">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产污工序：电控柜生产工序无污染物产生。</w:t>
            </w:r>
          </w:p>
          <w:p w14:paraId="53AD7BE2">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&lt;8&gt;玻璃钢缠绕罐</w:t>
            </w:r>
          </w:p>
          <w:p w14:paraId="108A9F72">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（1）玻璃钢缠绕罐生产工艺流程及产污环节图如下</w:t>
            </w:r>
          </w:p>
          <w:p w14:paraId="2D1D85C2">
            <w:pPr>
              <w:pStyle w:val="1394"/>
              <w:numPr>
                <w:ilvl w:val="0"/>
                <w:numId w:val="0"/>
              </w:numPr>
              <w:autoSpaceDE w:val="0"/>
              <w:spacing w:before="163" w:beforeLines="50" w:line="360" w:lineRule="auto"/>
              <w:jc w:val="center"/>
              <w:rPr>
                <w:rFonts w:hint="eastAsia" w:eastAsiaTheme="minorEastAsia"/>
                <w:b/>
                <w:color w:val="000000" w:themeColor="text1"/>
                <w:szCs w:val="18"/>
                <w:highlight w:val="none"/>
                <w:lang w:eastAsia="zh-CN"/>
                <w14:textFill>
                  <w14:solidFill>
                    <w14:schemeClr w14:val="tx1"/>
                  </w14:solidFill>
                </w14:textFill>
              </w:rPr>
            </w:pPr>
            <w:r>
              <w:rPr>
                <w:rFonts w:hint="eastAsia" w:eastAsiaTheme="minorEastAsia"/>
                <w:b/>
                <w:color w:val="000000" w:themeColor="text1"/>
                <w:szCs w:val="18"/>
                <w:highlight w:val="none"/>
                <w:lang w:eastAsia="zh-CN"/>
                <w14:textFill>
                  <w14:solidFill>
                    <w14:schemeClr w14:val="tx1"/>
                  </w14:solidFill>
                </w14:textFill>
              </w:rPr>
              <w:object>
                <v:shape id="_x0000_i1035" o:spt="75" type="#_x0000_t75" style="height:86.35pt;width:391.9pt;" o:ole="t" filled="f" o:preferrelative="t" stroked="f" coordsize="21600,21600">
                  <v:path/>
                  <v:fill on="f" focussize="0,0"/>
                  <v:stroke on="f"/>
                  <v:imagedata r:id="rId32" o:title=""/>
                  <o:lock v:ext="edit" aspectratio="f"/>
                  <w10:wrap type="none"/>
                  <w10:anchorlock/>
                </v:shape>
                <o:OLEObject Type="Embed" ProgID="Visio.Drawing.15" ShapeID="_x0000_i1035" DrawAspect="Content" ObjectID="_1468075735" r:id="rId31">
                  <o:LockedField>false</o:LockedField>
                </o:OLEObject>
              </w:object>
            </w:r>
          </w:p>
          <w:p w14:paraId="1EAE4FC9">
            <w:pPr>
              <w:pStyle w:val="1394"/>
              <w:numPr>
                <w:ilvl w:val="0"/>
                <w:numId w:val="0"/>
              </w:numPr>
              <w:autoSpaceDE w:val="0"/>
              <w:spacing w:before="163" w:beforeLines="50" w:line="360" w:lineRule="auto"/>
              <w:ind w:left="0" w:leftChars="0" w:right="0" w:rightChars="0" w:firstLine="0" w:firstLineChars="0"/>
              <w:jc w:val="center"/>
              <w:rPr>
                <w:rFonts w:eastAsiaTheme="minorEastAsia"/>
                <w:b/>
                <w:color w:val="000000" w:themeColor="text1"/>
                <w:szCs w:val="18"/>
                <w:highlight w:val="none"/>
                <w14:textFill>
                  <w14:solidFill>
                    <w14:schemeClr w14:val="tx1"/>
                  </w14:solidFill>
                </w14:textFill>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2.10</w:t>
            </w:r>
            <w:r>
              <w:rPr>
                <w:rFonts w:hint="eastAsia" w:ascii="Times New Roman" w:hAnsi="Times New Roman" w:cs="Times New Roman"/>
                <w:b/>
                <w:bCs/>
                <w:kern w:val="2"/>
                <w:sz w:val="21"/>
                <w:szCs w:val="21"/>
                <w:lang w:val="en-US" w:eastAsia="zh-CN" w:bidi="ar-SA"/>
              </w:rPr>
              <w:t>玻璃钢缠绕罐</w:t>
            </w:r>
            <w:r>
              <w:rPr>
                <w:rFonts w:eastAsiaTheme="minorEastAsia"/>
                <w:b/>
                <w:color w:val="000000" w:themeColor="text1"/>
                <w:szCs w:val="18"/>
                <w:highlight w:val="none"/>
                <w14:textFill>
                  <w14:solidFill>
                    <w14:schemeClr w14:val="tx1"/>
                  </w14:solidFill>
                </w14:textFill>
              </w:rPr>
              <w:t>生产工艺流程及产污环节图</w:t>
            </w:r>
          </w:p>
          <w:p w14:paraId="7F06F5C1">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（2）玻璃钢缠绕罐工艺流程简述：</w:t>
            </w:r>
          </w:p>
          <w:p w14:paraId="1597398C">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highlight w:val="none"/>
                <w:lang w:val="en-US" w:eastAsia="zh-CN" w:bidi="ar-SA"/>
              </w:rPr>
              <w:t>外购玻璃纤维、聚酯树脂，在玻璃钢筒体缠绕机指定位置投料，随着设备的运转，玻璃纤维表面均匀涂抹聚酯树脂后在模具表面缠绕成型，常温自然固化约0.5h后形</w:t>
            </w:r>
            <w:r>
              <w:rPr>
                <w:rFonts w:hint="eastAsia" w:ascii="Times New Roman" w:hAnsi="Times New Roman" w:cs="Times New Roman"/>
                <w:b w:val="0"/>
                <w:bCs w:val="0"/>
                <w:kern w:val="2"/>
                <w:sz w:val="21"/>
                <w:szCs w:val="21"/>
                <w:lang w:val="en-US" w:eastAsia="zh-CN" w:bidi="ar-SA"/>
              </w:rPr>
              <w:t>成玻璃钢罐体；使用玻璃丝布、聚酯树脂，人工装模后，常温下自然固化，脱模制得玻璃钢罐盖与管口，罐体与罐盖使用聚酯树脂组装为半成品，在合适的位置使用手持式切割机进行开孔，使用树脂将玻璃钢管口粘接在半成品上，常温固化后即为成品。</w:t>
            </w:r>
          </w:p>
          <w:p w14:paraId="663EE8A3">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原料投料、缠绕成型工序有VOCs、苯乙烯（G5、G6）、噪声（N）产生；常温固化工序有VOCs、苯乙烯（G8.1-G8.3）产生；原料装模工序有VOCs、苯乙烯（G7）产生；组装、粘接工序有VOCs、苯乙烯（G9.1、G9.2）产生；开孔工序有颗粒物（G10.1）、废塑料边角料（S4.1）、噪声（N）产生。</w:t>
            </w:r>
          </w:p>
          <w:p w14:paraId="7D3CCC39">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eastAsia"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&lt;9&gt;PPH缠绕罐</w:t>
            </w:r>
          </w:p>
          <w:p w14:paraId="266DC3BF">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（1）PPH缠绕罐生产工艺流程及产污环节图如下</w:t>
            </w:r>
          </w:p>
          <w:p w14:paraId="5AEA2B84">
            <w:pPr>
              <w:pStyle w:val="1394"/>
              <w:numPr>
                <w:ilvl w:val="0"/>
                <w:numId w:val="0"/>
              </w:numPr>
              <w:autoSpaceDE w:val="0"/>
              <w:spacing w:before="163" w:beforeLines="50" w:line="360" w:lineRule="auto"/>
              <w:ind w:left="420" w:leftChars="0"/>
              <w:jc w:val="center"/>
              <w:rPr>
                <w:rFonts w:hint="eastAsia" w:eastAsiaTheme="minorEastAsia"/>
                <w:b/>
                <w:color w:val="000000" w:themeColor="text1"/>
                <w:szCs w:val="18"/>
                <w:highlight w:val="none"/>
                <w:lang w:eastAsia="zh-CN"/>
                <w14:textFill>
                  <w14:solidFill>
                    <w14:schemeClr w14:val="tx1"/>
                  </w14:solidFill>
                </w14:textFill>
              </w:rPr>
            </w:pPr>
            <w:r>
              <w:rPr>
                <w:rFonts w:hint="eastAsia" w:eastAsiaTheme="minorEastAsia"/>
                <w:b/>
                <w:color w:val="000000" w:themeColor="text1"/>
                <w:szCs w:val="18"/>
                <w:highlight w:val="none"/>
                <w:lang w:eastAsia="zh-CN"/>
                <w14:textFill>
                  <w14:solidFill>
                    <w14:schemeClr w14:val="tx1"/>
                  </w14:solidFill>
                </w14:textFill>
              </w:rPr>
              <w:object>
                <v:shape id="_x0000_i1036" o:spt="75" type="#_x0000_t75" style="height:86.45pt;width:376.95pt;" o:ole="t" filled="f" o:preferrelative="t" stroked="f" coordsize="21600,21600">
                  <v:path/>
                  <v:fill on="f" focussize="0,0"/>
                  <v:stroke on="f"/>
                  <v:imagedata r:id="rId34" o:title=""/>
                  <o:lock v:ext="edit" aspectratio="f"/>
                  <w10:wrap type="none"/>
                  <w10:anchorlock/>
                </v:shape>
                <o:OLEObject Type="Embed" ProgID="Visio.Drawing.15" ShapeID="_x0000_i1036" DrawAspect="Content" ObjectID="_1468075736" r:id="rId33">
                  <o:LockedField>false</o:LockedField>
                </o:OLEObject>
              </w:object>
            </w:r>
          </w:p>
          <w:p w14:paraId="2F8975B6">
            <w:pPr>
              <w:pStyle w:val="1394"/>
              <w:numPr>
                <w:ilvl w:val="0"/>
                <w:numId w:val="0"/>
              </w:numPr>
              <w:autoSpaceDE w:val="0"/>
              <w:spacing w:before="163" w:beforeLines="50" w:line="360" w:lineRule="auto"/>
              <w:ind w:left="0" w:leftChars="0" w:right="0" w:rightChars="0" w:firstLine="0" w:firstLineChars="0"/>
              <w:jc w:val="center"/>
              <w:rPr>
                <w:rFonts w:hint="eastAsia" w:ascii="Times New Roman" w:hAnsi="Times New Roman" w:cs="Times New Roman"/>
                <w:b/>
                <w:bCs/>
                <w:kern w:val="2"/>
                <w:sz w:val="21"/>
                <w:szCs w:val="21"/>
                <w:lang w:val="en-US" w:eastAsia="zh-CN" w:bidi="ar-SA"/>
              </w:rPr>
            </w:pPr>
            <w:r>
              <w:rPr>
                <w:rFonts w:eastAsiaTheme="minorEastAsia"/>
                <w:b/>
                <w:color w:val="000000" w:themeColor="text1"/>
                <w:szCs w:val="18"/>
                <w:highlight w:val="none"/>
                <w14:textFill>
                  <w14:solidFill>
                    <w14:schemeClr w14:val="tx1"/>
                  </w14:solidFill>
                </w14:textFill>
              </w:rPr>
              <w:t>图</w:t>
            </w:r>
            <w:r>
              <w:rPr>
                <w:rFonts w:hint="eastAsia" w:eastAsiaTheme="minorEastAsia"/>
                <w:b/>
                <w:color w:val="000000" w:themeColor="text1"/>
                <w:szCs w:val="18"/>
                <w:highlight w:val="none"/>
                <w14:textFill>
                  <w14:solidFill>
                    <w14:schemeClr w14:val="tx1"/>
                  </w14:solidFill>
                </w14:textFill>
              </w:rPr>
              <w:t>2-</w:t>
            </w:r>
            <w:r>
              <w:rPr>
                <w:rFonts w:hint="eastAsia" w:eastAsiaTheme="minorEastAsia"/>
                <w:b/>
                <w:color w:val="000000" w:themeColor="text1"/>
                <w:szCs w:val="18"/>
                <w:highlight w:val="none"/>
                <w:lang w:val="en-US" w:eastAsia="zh-CN"/>
                <w14:textFill>
                  <w14:solidFill>
                    <w14:schemeClr w14:val="tx1"/>
                  </w14:solidFill>
                </w14:textFill>
              </w:rPr>
              <w:t xml:space="preserve">2.11 </w:t>
            </w:r>
            <w:r>
              <w:rPr>
                <w:rFonts w:hint="eastAsia" w:ascii="Times New Roman" w:hAnsi="Times New Roman" w:cs="Times New Roman"/>
                <w:b/>
                <w:bCs/>
                <w:kern w:val="2"/>
                <w:sz w:val="21"/>
                <w:szCs w:val="21"/>
                <w:lang w:val="en-US" w:eastAsia="zh-CN" w:bidi="ar-SA"/>
              </w:rPr>
              <w:t>PPH缠绕罐</w:t>
            </w:r>
            <w:r>
              <w:rPr>
                <w:rFonts w:eastAsiaTheme="minorEastAsia"/>
                <w:b/>
                <w:color w:val="000000" w:themeColor="text1"/>
                <w:szCs w:val="18"/>
                <w:highlight w:val="none"/>
                <w14:textFill>
                  <w14:solidFill>
                    <w14:schemeClr w14:val="tx1"/>
                  </w14:solidFill>
                </w14:textFill>
              </w:rPr>
              <w:t>生产工艺流程及产污环节图</w:t>
            </w:r>
          </w:p>
          <w:p w14:paraId="0B7F0345">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2" w:firstLineChars="200"/>
              <w:textAlignment w:val="auto"/>
              <w:rPr>
                <w:rFonts w:hint="default" w:ascii="Times New Roman" w:hAnsi="Times New Roman" w:eastAsia="宋体" w:cs="Times New Roman"/>
                <w:b/>
                <w:bCs/>
                <w:kern w:val="2"/>
                <w:sz w:val="21"/>
                <w:szCs w:val="21"/>
                <w:lang w:val="en-US" w:eastAsia="zh-CN" w:bidi="ar-SA"/>
              </w:rPr>
            </w:pPr>
            <w:r>
              <w:rPr>
                <w:rFonts w:hint="eastAsia" w:ascii="Times New Roman" w:hAnsi="Times New Roman" w:cs="Times New Roman"/>
                <w:b/>
                <w:bCs/>
                <w:kern w:val="2"/>
                <w:sz w:val="21"/>
                <w:szCs w:val="21"/>
                <w:lang w:val="en-US" w:eastAsia="zh-CN" w:bidi="ar-SA"/>
              </w:rPr>
              <w:t>（2）PPH缠绕罐工艺流程简述：</w:t>
            </w:r>
          </w:p>
          <w:p w14:paraId="64C12AFF">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eastAsia"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外购PP颗粒，在PPH缠绕一体化成型机指定位置投料，使用电加热，将PP颗粒高温熔融，熔融温度约200℃，熔融后的PP部分随着设备运转在模具表面缠绕成型</w:t>
            </w:r>
            <w:r>
              <w:rPr>
                <w:rFonts w:hint="eastAsia" w:ascii="Times New Roman" w:hAnsi="Times New Roman" w:cs="Times New Roman"/>
                <w:b w:val="0"/>
                <w:bCs w:val="0"/>
                <w:kern w:val="2"/>
                <w:sz w:val="21"/>
                <w:szCs w:val="21"/>
                <w:highlight w:val="none"/>
                <w:lang w:val="en-US" w:eastAsia="zh-CN" w:bidi="ar-SA"/>
              </w:rPr>
              <w:t>，常温自然固化约0.5h后形成PPH缠绕罐体；部分熔融后的PP料人工装模，常温固化脱模制得PPH缠绕罐盖与管口，罐体与罐盖使用电加热熔融（加热温度200℃）组装为半成品，在合适的位置使用手持式切割机进行开孔，通过电加热熔融（加热温度200℃）将</w:t>
            </w:r>
            <w:r>
              <w:rPr>
                <w:rFonts w:hint="eastAsia" w:ascii="Times New Roman" w:hAnsi="Times New Roman" w:cs="Times New Roman"/>
                <w:b w:val="0"/>
                <w:bCs w:val="0"/>
                <w:kern w:val="2"/>
                <w:sz w:val="21"/>
                <w:szCs w:val="21"/>
                <w:lang w:val="en-US" w:eastAsia="zh-CN" w:bidi="ar-SA"/>
              </w:rPr>
              <w:t>玻璃钢管口粘接在半成品上，常温固化后即为成品。</w:t>
            </w:r>
          </w:p>
          <w:p w14:paraId="24E103B0">
            <w:pPr>
              <w:pStyle w:val="1394"/>
              <w:keepNext w:val="0"/>
              <w:keepLines w:val="0"/>
              <w:pageBreakBefore w:val="0"/>
              <w:widowControl w:val="0"/>
              <w:numPr>
                <w:ilvl w:val="0"/>
                <w:numId w:val="0"/>
              </w:numPr>
              <w:kinsoku/>
              <w:wordWrap/>
              <w:overflowPunct/>
              <w:topLinePunct w:val="0"/>
              <w:autoSpaceDE w:val="0"/>
              <w:autoSpaceDN/>
              <w:bidi w:val="0"/>
              <w:adjustRightInd/>
              <w:snapToGrid w:val="0"/>
              <w:spacing w:line="360" w:lineRule="auto"/>
              <w:ind w:left="0" w:leftChars="0" w:firstLine="420" w:firstLineChars="200"/>
              <w:textAlignment w:val="auto"/>
              <w:rPr>
                <w:rFonts w:hint="default" w:ascii="Times New Roman" w:hAnsi="Times New Roman" w:cs="Times New Roman"/>
                <w:b w:val="0"/>
                <w:bCs w:val="0"/>
                <w:kern w:val="2"/>
                <w:sz w:val="21"/>
                <w:szCs w:val="21"/>
                <w:lang w:val="en-US" w:eastAsia="zh-CN" w:bidi="ar-SA"/>
              </w:rPr>
            </w:pPr>
            <w:r>
              <w:rPr>
                <w:rFonts w:hint="eastAsia" w:ascii="Times New Roman" w:hAnsi="Times New Roman" w:cs="Times New Roman"/>
                <w:b w:val="0"/>
                <w:bCs w:val="0"/>
                <w:kern w:val="2"/>
                <w:sz w:val="21"/>
                <w:szCs w:val="21"/>
                <w:lang w:val="en-US" w:eastAsia="zh-CN" w:bidi="ar-SA"/>
              </w:rPr>
              <w:t>产污工序：原料加热熔融工序有VOCs（G11）、废包装袋（S5）、噪声（N）产生；缠绕成型有VOCs（G12）、噪声（N）产生；常温固化工序有VOCs（G13.1-G13.3）产生；人工装模工序有VOCs（G15）产生；组装、粘接工序有VOCs（G14.1、G14.2）产生；开孔工序有颗粒物（G10.2）、废塑料边角料（S4.2）、噪声（N）产生。</w:t>
            </w:r>
          </w:p>
          <w:p w14:paraId="3B5A0E36">
            <w:pPr>
              <w:pStyle w:val="1041"/>
              <w:adjustRightInd w:val="0"/>
              <w:snapToGrid w:val="0"/>
              <w:spacing w:line="360" w:lineRule="auto"/>
              <w:ind w:firstLine="422"/>
              <w:rPr>
                <w:b/>
                <w:color w:val="auto"/>
                <w:szCs w:val="21"/>
              </w:rPr>
            </w:pPr>
            <w:r>
              <w:rPr>
                <w:b/>
                <w:color w:val="auto"/>
                <w:szCs w:val="21"/>
              </w:rPr>
              <w:t>（</w:t>
            </w:r>
            <w:r>
              <w:rPr>
                <w:rFonts w:hint="eastAsia"/>
                <w:b/>
                <w:color w:val="auto"/>
                <w:szCs w:val="21"/>
                <w:lang w:val="en-US" w:eastAsia="zh-CN"/>
              </w:rPr>
              <w:t>二</w:t>
            </w:r>
            <w:r>
              <w:rPr>
                <w:b/>
                <w:color w:val="auto"/>
                <w:szCs w:val="21"/>
              </w:rPr>
              <w:t>）废气处理工艺</w:t>
            </w:r>
          </w:p>
          <w:p w14:paraId="0E42CF8F">
            <w:pPr>
              <w:pStyle w:val="2"/>
              <w:keepNext w:val="0"/>
              <w:keepLines w:val="0"/>
              <w:pageBreakBefore w:val="0"/>
              <w:widowControl w:val="0"/>
              <w:kinsoku/>
              <w:wordWrap/>
              <w:overflowPunct/>
              <w:topLinePunct w:val="0"/>
              <w:autoSpaceDE/>
              <w:autoSpaceDN/>
              <w:bidi w:val="0"/>
              <w:adjustRightInd w:val="0"/>
              <w:snapToGrid w:val="0"/>
              <w:spacing w:after="0" w:line="360" w:lineRule="auto"/>
              <w:ind w:left="0" w:leftChars="0"/>
              <w:textAlignment w:val="auto"/>
              <w:rPr>
                <w:highlight w:val="none"/>
              </w:rPr>
            </w:pPr>
            <w:r>
              <w:rPr>
                <w:rFonts w:hint="eastAsia"/>
                <w:sz w:val="21"/>
                <w:szCs w:val="21"/>
                <w:highlight w:val="none"/>
                <w:lang w:eastAsia="zh-CN"/>
              </w:rPr>
              <w:t>项目</w:t>
            </w:r>
            <w:r>
              <w:rPr>
                <w:sz w:val="21"/>
                <w:szCs w:val="21"/>
                <w:highlight w:val="none"/>
              </w:rPr>
              <w:t>废气产污工序及废气治理走向图见下图。</w:t>
            </w:r>
          </w:p>
          <w:p w14:paraId="57CAC765">
            <w:pPr>
              <w:adjustRightInd w:val="0"/>
              <w:snapToGrid w:val="0"/>
              <w:spacing w:line="360" w:lineRule="auto"/>
              <w:jc w:val="center"/>
              <w:rPr>
                <w:b/>
                <w:kern w:val="0"/>
              </w:rPr>
            </w:pPr>
            <w:r>
              <w:rPr>
                <w:b/>
                <w:kern w:val="0"/>
              </w:rPr>
              <w:object>
                <v:shape id="_x0000_i1037" o:spt="75" type="#_x0000_t75" style="height:347.4pt;width:415.85pt;" o:ole="t" filled="f" o:preferrelative="t" stroked="f" coordsize="21600,21600">
                  <v:path/>
                  <v:fill on="f" focussize="0,0"/>
                  <v:stroke on="f"/>
                  <v:imagedata r:id="rId36" o:title=""/>
                  <o:lock v:ext="edit" aspectratio="f"/>
                  <w10:wrap type="none"/>
                  <w10:anchorlock/>
                </v:shape>
                <o:OLEObject Type="Embed" ProgID="Visio.Drawing.15" ShapeID="_x0000_i1037" DrawAspect="Content" ObjectID="_1468075737" r:id="rId35">
                  <o:LockedField>false</o:LockedField>
                </o:OLEObject>
              </w:object>
            </w:r>
          </w:p>
          <w:p w14:paraId="27094020">
            <w:pPr>
              <w:adjustRightInd w:val="0"/>
              <w:snapToGrid w:val="0"/>
              <w:spacing w:line="360" w:lineRule="auto"/>
              <w:jc w:val="center"/>
              <w:rPr>
                <w:b/>
                <w:kern w:val="0"/>
              </w:rPr>
            </w:pPr>
            <w:r>
              <w:rPr>
                <w:b/>
                <w:kern w:val="0"/>
              </w:rPr>
              <w:t>图</w:t>
            </w:r>
            <w:r>
              <w:rPr>
                <w:rFonts w:hint="eastAsia"/>
                <w:b/>
                <w:kern w:val="0"/>
              </w:rPr>
              <w:t>2-</w:t>
            </w:r>
            <w:r>
              <w:rPr>
                <w:rFonts w:hint="eastAsia"/>
                <w:b/>
                <w:kern w:val="0"/>
                <w:lang w:val="en-US" w:eastAsia="zh-CN"/>
              </w:rPr>
              <w:t>3</w:t>
            </w:r>
            <w:r>
              <w:rPr>
                <w:rFonts w:hint="eastAsia"/>
                <w:b/>
                <w:kern w:val="0"/>
                <w:lang w:eastAsia="zh-CN"/>
              </w:rPr>
              <w:t>本项目</w:t>
            </w:r>
            <w:r>
              <w:rPr>
                <w:b/>
                <w:kern w:val="0"/>
              </w:rPr>
              <w:t>废气产污工序及废气治理走向图</w:t>
            </w:r>
          </w:p>
          <w:p w14:paraId="21F4181B">
            <w:pPr>
              <w:pStyle w:val="1041"/>
              <w:tabs>
                <w:tab w:val="left" w:pos="6080"/>
              </w:tabs>
              <w:spacing w:line="360" w:lineRule="auto"/>
              <w:ind w:firstLine="31680"/>
              <w:rPr>
                <w:rFonts w:hint="eastAsia" w:ascii="宋体" w:hAnsi="宋体" w:eastAsia="宋体" w:cs="宋体"/>
                <w:b/>
                <w:bCs w:val="0"/>
                <w:szCs w:val="21"/>
                <w:lang w:eastAsia="zh-CN"/>
              </w:rPr>
            </w:pPr>
            <w:r>
              <w:rPr>
                <w:rFonts w:hint="eastAsia" w:ascii="宋体" w:hAnsi="宋体" w:eastAsia="宋体" w:cs="宋体"/>
                <w:b/>
                <w:bCs w:val="0"/>
                <w:szCs w:val="21"/>
              </w:rPr>
              <w:t>（</w:t>
            </w:r>
            <w:r>
              <w:rPr>
                <w:rFonts w:hint="eastAsia" w:ascii="宋体" w:hAnsi="宋体" w:cs="宋体"/>
                <w:b/>
                <w:bCs w:val="0"/>
                <w:szCs w:val="21"/>
                <w:lang w:val="en-US" w:eastAsia="zh-CN"/>
              </w:rPr>
              <w:t>三</w:t>
            </w:r>
            <w:r>
              <w:rPr>
                <w:rFonts w:hint="eastAsia" w:ascii="宋体" w:hAnsi="宋体" w:eastAsia="宋体" w:cs="宋体"/>
                <w:b/>
                <w:bCs w:val="0"/>
                <w:szCs w:val="21"/>
              </w:rPr>
              <w:t>）</w:t>
            </w:r>
            <w:r>
              <w:rPr>
                <w:rFonts w:hint="eastAsia" w:ascii="宋体" w:hAnsi="宋体" w:eastAsia="宋体" w:cs="宋体"/>
                <w:b/>
                <w:bCs w:val="0"/>
                <w:szCs w:val="21"/>
                <w:lang w:eastAsia="zh-CN"/>
              </w:rPr>
              <w:t>喷漆油漆</w:t>
            </w:r>
            <w:r>
              <w:rPr>
                <w:rFonts w:hint="eastAsia" w:ascii="宋体" w:hAnsi="宋体" w:eastAsia="宋体" w:cs="宋体"/>
                <w:b/>
                <w:bCs w:val="0"/>
                <w:szCs w:val="21"/>
              </w:rPr>
              <w:t>物料平衡</w:t>
            </w:r>
            <w:r>
              <w:rPr>
                <w:rFonts w:hint="eastAsia" w:ascii="宋体" w:hAnsi="宋体" w:eastAsia="宋体" w:cs="宋体"/>
                <w:b/>
                <w:bCs w:val="0"/>
                <w:szCs w:val="21"/>
                <w:lang w:eastAsia="zh-CN"/>
              </w:rPr>
              <w:tab/>
            </w:r>
          </w:p>
          <w:p w14:paraId="4555F6CD">
            <w:pPr>
              <w:pStyle w:val="1041"/>
              <w:spacing w:line="360" w:lineRule="auto"/>
              <w:ind w:firstLine="31680"/>
              <w:rPr>
                <w:rFonts w:hint="eastAsia" w:ascii="宋体" w:hAnsi="宋体" w:eastAsia="宋体" w:cs="宋体"/>
                <w:b/>
                <w:bCs w:val="0"/>
                <w:szCs w:val="21"/>
              </w:rPr>
            </w:pPr>
            <w:r>
              <w:rPr>
                <w:rFonts w:hint="eastAsia" w:ascii="宋体" w:hAnsi="宋体" w:eastAsia="宋体" w:cs="宋体"/>
                <w:b/>
                <w:bCs w:val="0"/>
                <w:szCs w:val="21"/>
              </w:rPr>
              <w:t>1）</w:t>
            </w:r>
            <w:r>
              <w:rPr>
                <w:rFonts w:hint="eastAsia" w:ascii="宋体" w:hAnsi="宋体" w:eastAsia="宋体" w:cs="宋体"/>
                <w:b/>
                <w:bCs w:val="0"/>
                <w:szCs w:val="21"/>
                <w:lang w:eastAsia="zh-CN"/>
              </w:rPr>
              <w:t>油漆</w:t>
            </w:r>
            <w:r>
              <w:rPr>
                <w:rFonts w:hint="eastAsia" w:ascii="宋体" w:hAnsi="宋体" w:eastAsia="宋体" w:cs="宋体"/>
                <w:b/>
                <w:bCs w:val="0"/>
                <w:szCs w:val="21"/>
              </w:rPr>
              <w:t>的用量核算</w:t>
            </w:r>
          </w:p>
          <w:p w14:paraId="27F4B8B3">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本项目</w:t>
            </w:r>
            <w:r>
              <w:rPr>
                <w:rFonts w:hint="eastAsia" w:ascii="Times New Roman" w:hAnsi="Times New Roman" w:cs="Times New Roman"/>
                <w:szCs w:val="21"/>
                <w:lang w:eastAsia="zh-CN"/>
              </w:rPr>
              <w:t>部分产品水泵、换热器、气压罐、给水设备</w:t>
            </w:r>
            <w:r>
              <w:rPr>
                <w:rFonts w:hint="eastAsia" w:cs="Times New Roman"/>
                <w:szCs w:val="21"/>
                <w:lang w:eastAsia="zh-CN"/>
              </w:rPr>
              <w:t>、热水锅炉</w:t>
            </w:r>
            <w:r>
              <w:rPr>
                <w:rFonts w:hint="eastAsia" w:ascii="Times New Roman" w:hAnsi="Times New Roman" w:cs="Times New Roman"/>
                <w:szCs w:val="21"/>
                <w:lang w:eastAsia="zh-CN"/>
              </w:rPr>
              <w:t>需要根据需求在喷漆房内进行喷漆、晾干</w:t>
            </w:r>
            <w:r>
              <w:rPr>
                <w:rFonts w:hint="default" w:ascii="Times New Roman" w:hAnsi="Times New Roman" w:cs="Times New Roman"/>
                <w:szCs w:val="21"/>
              </w:rPr>
              <w:t>，</w:t>
            </w:r>
            <w:r>
              <w:rPr>
                <w:rFonts w:hint="eastAsia" w:ascii="Times New Roman" w:hAnsi="Times New Roman" w:cs="Times New Roman"/>
                <w:szCs w:val="21"/>
                <w:lang w:eastAsia="zh-CN"/>
              </w:rPr>
              <w:t>喷漆</w:t>
            </w:r>
            <w:r>
              <w:rPr>
                <w:rFonts w:hint="default" w:ascii="Times New Roman" w:hAnsi="Times New Roman" w:cs="Times New Roman"/>
                <w:szCs w:val="21"/>
              </w:rPr>
              <w:t>工艺分为底</w:t>
            </w:r>
            <w:r>
              <w:rPr>
                <w:rFonts w:hint="eastAsia" w:ascii="Times New Roman" w:hAnsi="Times New Roman" w:cs="Times New Roman"/>
                <w:szCs w:val="21"/>
                <w:lang w:eastAsia="zh-CN"/>
              </w:rPr>
              <w:t>漆喷涂</w:t>
            </w:r>
            <w:r>
              <w:rPr>
                <w:rFonts w:hint="default" w:ascii="Times New Roman" w:hAnsi="Times New Roman" w:cs="Times New Roman"/>
                <w:szCs w:val="21"/>
              </w:rPr>
              <w:t>及面</w:t>
            </w:r>
            <w:r>
              <w:rPr>
                <w:rFonts w:hint="eastAsia" w:ascii="Times New Roman" w:hAnsi="Times New Roman" w:cs="Times New Roman"/>
                <w:szCs w:val="21"/>
                <w:lang w:eastAsia="zh-CN"/>
              </w:rPr>
              <w:t>漆喷涂</w:t>
            </w:r>
            <w:r>
              <w:rPr>
                <w:rFonts w:hint="default" w:ascii="Times New Roman" w:hAnsi="Times New Roman" w:cs="Times New Roman"/>
                <w:szCs w:val="21"/>
              </w:rPr>
              <w:t>，</w:t>
            </w:r>
            <w:r>
              <w:rPr>
                <w:rFonts w:hint="eastAsia" w:cs="Times New Roman"/>
                <w:szCs w:val="21"/>
                <w:lang w:eastAsia="zh-CN"/>
              </w:rPr>
              <w:t>各</w:t>
            </w:r>
            <w:r>
              <w:rPr>
                <w:rFonts w:hint="default" w:ascii="Times New Roman" w:hAnsi="Times New Roman" w:cs="Times New Roman"/>
                <w:szCs w:val="21"/>
              </w:rPr>
              <w:t>涂装一次。</w:t>
            </w:r>
          </w:p>
          <w:p w14:paraId="37A6242C">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表2-</w:t>
            </w:r>
            <w:r>
              <w:rPr>
                <w:rFonts w:hint="eastAsia" w:ascii="宋体" w:hAnsi="宋体" w:eastAsia="宋体" w:cs="宋体"/>
                <w:b/>
                <w:bCs/>
                <w:lang w:val="en-US" w:eastAsia="zh-CN"/>
              </w:rPr>
              <w:t>11</w:t>
            </w:r>
            <w:r>
              <w:rPr>
                <w:rFonts w:hint="eastAsia" w:ascii="宋体" w:hAnsi="宋体" w:eastAsia="宋体" w:cs="宋体"/>
                <w:b/>
                <w:bCs/>
                <w:lang w:val="de-DE"/>
              </w:rPr>
              <w:t xml:space="preserve">  本项目</w:t>
            </w:r>
            <w:r>
              <w:rPr>
                <w:rFonts w:hint="eastAsia" w:ascii="宋体" w:hAnsi="宋体" w:eastAsia="宋体" w:cs="宋体"/>
                <w:b/>
                <w:bCs/>
                <w:lang w:val="de-DE" w:eastAsia="zh-CN"/>
              </w:rPr>
              <w:t>喷漆房</w:t>
            </w:r>
            <w:r>
              <w:rPr>
                <w:rFonts w:hint="eastAsia" w:ascii="宋体" w:hAnsi="宋体" w:eastAsia="宋体" w:cs="宋体"/>
                <w:b/>
                <w:bCs/>
                <w:lang w:val="de-DE"/>
              </w:rPr>
              <w:t>涂装工序涂层参数及工艺特点表</w:t>
            </w:r>
          </w:p>
          <w:tbl>
            <w:tblPr>
              <w:tblStyle w:val="81"/>
              <w:tblW w:w="4993"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1672"/>
              <w:gridCol w:w="1845"/>
              <w:gridCol w:w="1390"/>
              <w:gridCol w:w="1007"/>
              <w:gridCol w:w="2493"/>
            </w:tblGrid>
            <w:tr w14:paraId="6B22C43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59" w:hRule="atLeast"/>
                <w:jc w:val="center"/>
              </w:trPr>
              <w:tc>
                <w:tcPr>
                  <w:tcW w:w="3518" w:type="dxa"/>
                  <w:gridSpan w:val="2"/>
                  <w:tcBorders>
                    <w:top w:val="single" w:color="auto" w:sz="2" w:space="0"/>
                    <w:left w:val="single" w:color="auto" w:sz="2" w:space="0"/>
                    <w:bottom w:val="single" w:color="auto" w:sz="2" w:space="0"/>
                    <w:right w:val="single" w:color="auto" w:sz="2" w:space="0"/>
                  </w:tcBorders>
                  <w:vAlign w:val="center"/>
                </w:tcPr>
                <w:p w14:paraId="4FC656B5">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名称</w:t>
                  </w:r>
                </w:p>
              </w:tc>
              <w:tc>
                <w:tcPr>
                  <w:tcW w:w="1390" w:type="dxa"/>
                  <w:tcBorders>
                    <w:top w:val="single" w:color="auto" w:sz="2" w:space="0"/>
                    <w:left w:val="single" w:color="auto" w:sz="2" w:space="0"/>
                    <w:bottom w:val="single" w:color="auto" w:sz="2" w:space="0"/>
                    <w:right w:val="single" w:color="auto" w:sz="2" w:space="0"/>
                  </w:tcBorders>
                  <w:vAlign w:val="center"/>
                </w:tcPr>
                <w:p w14:paraId="5E6596AF">
                  <w:pPr>
                    <w:pStyle w:val="61"/>
                    <w:spacing w:before="0" w:after="0" w:line="240" w:lineRule="exact"/>
                    <w:ind w:firstLine="0"/>
                    <w:rPr>
                      <w:rFonts w:hint="default" w:ascii="Times New Roman" w:hAnsi="Times New Roman" w:eastAsia="宋体" w:cs="Times New Roman"/>
                      <w:b w:val="0"/>
                      <w:bCs w:val="0"/>
                      <w:kern w:val="0"/>
                      <w:sz w:val="18"/>
                      <w:szCs w:val="18"/>
                    </w:rPr>
                  </w:pPr>
                  <w:r>
                    <w:rPr>
                      <w:rFonts w:hint="default" w:ascii="Times New Roman" w:hAnsi="Times New Roman" w:eastAsia="宋体" w:cs="Times New Roman"/>
                      <w:b w:val="0"/>
                      <w:bCs w:val="0"/>
                      <w:kern w:val="0"/>
                      <w:sz w:val="18"/>
                      <w:szCs w:val="18"/>
                    </w:rPr>
                    <w:t>单位</w:t>
                  </w:r>
                </w:p>
              </w:tc>
              <w:tc>
                <w:tcPr>
                  <w:tcW w:w="3501" w:type="dxa"/>
                  <w:gridSpan w:val="2"/>
                  <w:tcBorders>
                    <w:top w:val="single" w:color="auto" w:sz="2" w:space="0"/>
                    <w:left w:val="single" w:color="auto" w:sz="2" w:space="0"/>
                    <w:bottom w:val="single" w:color="auto" w:sz="2" w:space="0"/>
                    <w:right w:val="single" w:color="auto" w:sz="2" w:space="0"/>
                  </w:tcBorders>
                  <w:vAlign w:val="center"/>
                </w:tcPr>
                <w:p w14:paraId="44939E69">
                  <w:pPr>
                    <w:pStyle w:val="61"/>
                    <w:spacing w:before="0" w:after="0" w:line="240" w:lineRule="exact"/>
                    <w:ind w:firstLine="0"/>
                    <w:rPr>
                      <w:rFonts w:hint="eastAsia" w:ascii="Times New Roman" w:hAnsi="Times New Roman" w:eastAsia="宋体" w:cs="Times New Roman"/>
                      <w:b w:val="0"/>
                      <w:bCs w:val="0"/>
                      <w:kern w:val="0"/>
                      <w:sz w:val="18"/>
                      <w:szCs w:val="18"/>
                      <w:lang w:eastAsia="zh-CN"/>
                    </w:rPr>
                  </w:pPr>
                  <w:r>
                    <w:rPr>
                      <w:rFonts w:hint="eastAsia" w:ascii="Times New Roman" w:hAnsi="Times New Roman" w:eastAsia="宋体" w:cs="Times New Roman"/>
                      <w:b w:val="0"/>
                      <w:bCs w:val="0"/>
                      <w:sz w:val="18"/>
                      <w:szCs w:val="18"/>
                      <w:lang w:eastAsia="zh-CN"/>
                    </w:rPr>
                    <w:t>产品</w:t>
                  </w:r>
                </w:p>
              </w:tc>
            </w:tr>
            <w:tr w14:paraId="12425B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restart"/>
                  <w:tcBorders>
                    <w:top w:val="single" w:color="auto" w:sz="2" w:space="0"/>
                    <w:left w:val="single" w:color="auto" w:sz="2" w:space="0"/>
                    <w:bottom w:val="single" w:color="auto" w:sz="2" w:space="0"/>
                    <w:right w:val="single" w:color="auto" w:sz="2" w:space="0"/>
                  </w:tcBorders>
                  <w:vAlign w:val="center"/>
                </w:tcPr>
                <w:p w14:paraId="656F76DC">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底涂</w:t>
                  </w:r>
                </w:p>
              </w:tc>
              <w:tc>
                <w:tcPr>
                  <w:tcW w:w="1845" w:type="dxa"/>
                  <w:vMerge w:val="restart"/>
                  <w:tcBorders>
                    <w:top w:val="single" w:color="auto" w:sz="2" w:space="0"/>
                    <w:left w:val="single" w:color="auto" w:sz="2" w:space="0"/>
                    <w:right w:val="single" w:color="auto" w:sz="2" w:space="0"/>
                  </w:tcBorders>
                  <w:vAlign w:val="center"/>
                </w:tcPr>
                <w:p w14:paraId="3C3EEEB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涂装面积</w:t>
                  </w:r>
                </w:p>
              </w:tc>
              <w:tc>
                <w:tcPr>
                  <w:tcW w:w="1390" w:type="dxa"/>
                  <w:tcBorders>
                    <w:top w:val="single" w:color="auto" w:sz="2" w:space="0"/>
                    <w:left w:val="single" w:color="auto" w:sz="2" w:space="0"/>
                    <w:bottom w:val="single" w:color="auto" w:sz="2" w:space="0"/>
                    <w:right w:val="single" w:color="auto" w:sz="2" w:space="0"/>
                  </w:tcBorders>
                  <w:vAlign w:val="center"/>
                </w:tcPr>
                <w:p w14:paraId="6C135F21">
                  <w:pPr>
                    <w:pStyle w:val="200"/>
                    <w:spacing w:beforeLines="0" w:afterLines="0" w:line="240" w:lineRule="exact"/>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3D502F28">
                  <w:pPr>
                    <w:pStyle w:val="200"/>
                    <w:spacing w:beforeLines="0" w:afterLines="0" w:line="240" w:lineRule="exact"/>
                    <w:rPr>
                      <w:rFonts w:hint="default" w:ascii="Times New Roman" w:hAnsi="Times New Roman" w:eastAsia="宋体" w:cs="Times New Roman"/>
                      <w:sz w:val="18"/>
                      <w:szCs w:val="18"/>
                      <w:lang w:val="en-US" w:eastAsia="zh-CN"/>
                    </w:rPr>
                  </w:pPr>
                  <w:r>
                    <w:rPr>
                      <w:rFonts w:hint="eastAsia" w:ascii="Times New Roman" w:cs="Times New Roman"/>
                      <w:sz w:val="18"/>
                      <w:szCs w:val="18"/>
                      <w:lang w:val="en-US" w:eastAsia="zh-CN"/>
                    </w:rPr>
                    <w:t>2.5</w:t>
                  </w:r>
                </w:p>
              </w:tc>
              <w:tc>
                <w:tcPr>
                  <w:tcW w:w="2494" w:type="dxa"/>
                  <w:tcBorders>
                    <w:top w:val="single" w:color="auto" w:sz="2" w:space="0"/>
                    <w:left w:val="single" w:color="auto" w:sz="4" w:space="0"/>
                    <w:bottom w:val="single" w:color="auto" w:sz="2" w:space="0"/>
                    <w:right w:val="single" w:color="auto" w:sz="2" w:space="0"/>
                  </w:tcBorders>
                  <w:vAlign w:val="center"/>
                </w:tcPr>
                <w:p w14:paraId="04C7FDA5">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换热器，90套</w:t>
                  </w:r>
                  <w:r>
                    <w:rPr>
                      <w:rFonts w:hint="eastAsia" w:ascii="Times New Roman" w:cs="Times New Roman"/>
                      <w:sz w:val="18"/>
                      <w:szCs w:val="18"/>
                      <w:lang w:val="en-US" w:eastAsia="zh-CN"/>
                    </w:rPr>
                    <w:t>/a</w:t>
                  </w:r>
                </w:p>
              </w:tc>
            </w:tr>
            <w:tr w14:paraId="02F0BAF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left w:val="single" w:color="auto" w:sz="2" w:space="0"/>
                    <w:right w:val="single" w:color="auto" w:sz="2" w:space="0"/>
                  </w:tcBorders>
                  <w:vAlign w:val="center"/>
                </w:tcPr>
                <w:p w14:paraId="3070D94B">
                  <w:pPr>
                    <w:pStyle w:val="200"/>
                    <w:spacing w:beforeLines="0" w:afterLines="0" w:line="240" w:lineRule="exact"/>
                    <w:rPr>
                      <w:rFonts w:hint="default" w:ascii="Times New Roman" w:hAnsi="Times New Roman" w:cs="Times New Roman"/>
                      <w:sz w:val="18"/>
                      <w:szCs w:val="18"/>
                    </w:rPr>
                  </w:pPr>
                </w:p>
              </w:tc>
              <w:tc>
                <w:tcPr>
                  <w:tcW w:w="1845" w:type="dxa"/>
                  <w:vMerge w:val="continue"/>
                  <w:tcBorders>
                    <w:left w:val="single" w:color="auto" w:sz="2" w:space="0"/>
                    <w:right w:val="single" w:color="auto" w:sz="2" w:space="0"/>
                  </w:tcBorders>
                  <w:vAlign w:val="center"/>
                </w:tcPr>
                <w:p w14:paraId="483C90B0">
                  <w:pPr>
                    <w:pStyle w:val="200"/>
                    <w:spacing w:beforeLines="0" w:afterLines="0" w:line="240" w:lineRule="exact"/>
                    <w:rPr>
                      <w:rFonts w:hint="default" w:ascii="Times New Roman" w:hAnsi="Times New Roman" w:cs="Times New Roman"/>
                      <w:sz w:val="18"/>
                      <w:szCs w:val="18"/>
                    </w:rPr>
                  </w:pPr>
                </w:p>
              </w:tc>
              <w:tc>
                <w:tcPr>
                  <w:tcW w:w="1390" w:type="dxa"/>
                  <w:tcBorders>
                    <w:top w:val="single" w:color="auto" w:sz="2" w:space="0"/>
                    <w:left w:val="single" w:color="auto" w:sz="2" w:space="0"/>
                    <w:bottom w:val="single" w:color="auto" w:sz="2" w:space="0"/>
                    <w:right w:val="single" w:color="auto" w:sz="2" w:space="0"/>
                  </w:tcBorders>
                  <w:vAlign w:val="center"/>
                </w:tcPr>
                <w:p w14:paraId="0BE52821">
                  <w:pPr>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01BD59CB">
                  <w:pPr>
                    <w:pStyle w:val="200"/>
                    <w:spacing w:beforeLines="0" w:afterLines="0" w:line="240" w:lineRule="exact"/>
                    <w:rPr>
                      <w:rFonts w:hint="eastAsia" w:ascii="Times New Roman" w:hAnsi="Times New Roman" w:cs="Times New Roman"/>
                      <w:sz w:val="18"/>
                      <w:szCs w:val="18"/>
                      <w:lang w:val="en-US" w:eastAsia="zh-CN"/>
                    </w:rPr>
                  </w:pPr>
                  <w:r>
                    <w:rPr>
                      <w:rFonts w:hint="eastAsia" w:ascii="Times New Roman" w:cs="Times New Roman"/>
                      <w:sz w:val="18"/>
                      <w:szCs w:val="18"/>
                      <w:lang w:val="en-US" w:eastAsia="zh-CN"/>
                    </w:rPr>
                    <w:t>4</w:t>
                  </w:r>
                </w:p>
              </w:tc>
              <w:tc>
                <w:tcPr>
                  <w:tcW w:w="2494" w:type="dxa"/>
                  <w:tcBorders>
                    <w:top w:val="single" w:color="auto" w:sz="2" w:space="0"/>
                    <w:left w:val="single" w:color="auto" w:sz="4" w:space="0"/>
                    <w:bottom w:val="single" w:color="auto" w:sz="2" w:space="0"/>
                    <w:right w:val="single" w:color="auto" w:sz="2" w:space="0"/>
                  </w:tcBorders>
                  <w:vAlign w:val="center"/>
                </w:tcPr>
                <w:p w14:paraId="6856C9C6">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气压罐，自用+产品</w:t>
                  </w:r>
                  <w:r>
                    <w:rPr>
                      <w:rFonts w:hint="eastAsia" w:ascii="Times New Roman" w:cs="Times New Roman"/>
                      <w:sz w:val="18"/>
                      <w:szCs w:val="18"/>
                      <w:lang w:val="en-US" w:eastAsia="zh-CN"/>
                    </w:rPr>
                    <w:t>约7</w:t>
                  </w:r>
                  <w:r>
                    <w:rPr>
                      <w:rFonts w:hint="eastAsia" w:ascii="Times New Roman" w:hAnsi="Times New Roman" w:cs="Times New Roman"/>
                      <w:sz w:val="18"/>
                      <w:szCs w:val="18"/>
                      <w:lang w:val="en-US" w:eastAsia="zh-CN"/>
                    </w:rPr>
                    <w:t>00套</w:t>
                  </w:r>
                  <w:r>
                    <w:rPr>
                      <w:rFonts w:hint="eastAsia" w:ascii="Times New Roman" w:cs="Times New Roman"/>
                      <w:sz w:val="18"/>
                      <w:szCs w:val="18"/>
                      <w:lang w:val="en-US" w:eastAsia="zh-CN"/>
                    </w:rPr>
                    <w:t>/a</w:t>
                  </w:r>
                </w:p>
              </w:tc>
            </w:tr>
            <w:tr w14:paraId="264F32F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left w:val="single" w:color="auto" w:sz="2" w:space="0"/>
                    <w:right w:val="single" w:color="auto" w:sz="2" w:space="0"/>
                  </w:tcBorders>
                  <w:vAlign w:val="center"/>
                </w:tcPr>
                <w:p w14:paraId="0FBB6D09">
                  <w:pPr>
                    <w:pStyle w:val="200"/>
                    <w:spacing w:beforeLines="0" w:afterLines="0" w:line="240" w:lineRule="exact"/>
                    <w:rPr>
                      <w:rFonts w:hint="default" w:ascii="Times New Roman" w:hAnsi="Times New Roman" w:cs="Times New Roman"/>
                      <w:sz w:val="18"/>
                      <w:szCs w:val="18"/>
                    </w:rPr>
                  </w:pPr>
                </w:p>
              </w:tc>
              <w:tc>
                <w:tcPr>
                  <w:tcW w:w="1845" w:type="dxa"/>
                  <w:vMerge w:val="continue"/>
                  <w:tcBorders>
                    <w:left w:val="single" w:color="auto" w:sz="2" w:space="0"/>
                    <w:right w:val="single" w:color="auto" w:sz="2" w:space="0"/>
                  </w:tcBorders>
                  <w:vAlign w:val="center"/>
                </w:tcPr>
                <w:p w14:paraId="3D2AD7F1">
                  <w:pPr>
                    <w:pStyle w:val="200"/>
                    <w:spacing w:beforeLines="0" w:afterLines="0" w:line="240" w:lineRule="exact"/>
                    <w:rPr>
                      <w:rFonts w:hint="default" w:ascii="Times New Roman" w:hAnsi="Times New Roman" w:cs="Times New Roman"/>
                      <w:sz w:val="18"/>
                      <w:szCs w:val="18"/>
                    </w:rPr>
                  </w:pPr>
                </w:p>
              </w:tc>
              <w:tc>
                <w:tcPr>
                  <w:tcW w:w="1390" w:type="dxa"/>
                  <w:tcBorders>
                    <w:top w:val="single" w:color="auto" w:sz="2" w:space="0"/>
                    <w:left w:val="single" w:color="auto" w:sz="2" w:space="0"/>
                    <w:bottom w:val="single" w:color="auto" w:sz="2" w:space="0"/>
                    <w:right w:val="single" w:color="auto" w:sz="2" w:space="0"/>
                  </w:tcBorders>
                  <w:vAlign w:val="center"/>
                </w:tcPr>
                <w:p w14:paraId="31198980">
                  <w:pPr>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0AAFDB65">
                  <w:pPr>
                    <w:pStyle w:val="200"/>
                    <w:spacing w:beforeLines="0" w:afterLines="0" w:line="240" w:lineRule="exact"/>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0.8</w:t>
                  </w:r>
                </w:p>
              </w:tc>
              <w:tc>
                <w:tcPr>
                  <w:tcW w:w="2494" w:type="dxa"/>
                  <w:tcBorders>
                    <w:top w:val="single" w:color="auto" w:sz="2" w:space="0"/>
                    <w:left w:val="single" w:color="auto" w:sz="4" w:space="0"/>
                    <w:bottom w:val="single" w:color="auto" w:sz="2" w:space="0"/>
                    <w:right w:val="single" w:color="auto" w:sz="2" w:space="0"/>
                  </w:tcBorders>
                  <w:vAlign w:val="center"/>
                </w:tcPr>
                <w:p w14:paraId="19F89498">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水泵，自用+产品1800套</w:t>
                  </w:r>
                  <w:r>
                    <w:rPr>
                      <w:rFonts w:hint="eastAsia" w:ascii="Times New Roman" w:cs="Times New Roman"/>
                      <w:sz w:val="18"/>
                      <w:szCs w:val="18"/>
                      <w:lang w:val="en-US" w:eastAsia="zh-CN"/>
                    </w:rPr>
                    <w:t>/a</w:t>
                  </w:r>
                </w:p>
              </w:tc>
            </w:tr>
            <w:tr w14:paraId="1E740E6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left w:val="single" w:color="auto" w:sz="2" w:space="0"/>
                    <w:right w:val="single" w:color="auto" w:sz="2" w:space="0"/>
                  </w:tcBorders>
                  <w:vAlign w:val="center"/>
                </w:tcPr>
                <w:p w14:paraId="05D04228">
                  <w:pPr>
                    <w:pStyle w:val="200"/>
                    <w:spacing w:beforeLines="0" w:afterLines="0" w:line="240" w:lineRule="exact"/>
                    <w:rPr>
                      <w:rFonts w:hint="default" w:ascii="Times New Roman" w:hAnsi="Times New Roman" w:cs="Times New Roman"/>
                      <w:sz w:val="18"/>
                      <w:szCs w:val="18"/>
                    </w:rPr>
                  </w:pPr>
                </w:p>
              </w:tc>
              <w:tc>
                <w:tcPr>
                  <w:tcW w:w="1845" w:type="dxa"/>
                  <w:vMerge w:val="continue"/>
                  <w:tcBorders>
                    <w:left w:val="single" w:color="auto" w:sz="2" w:space="0"/>
                    <w:right w:val="single" w:color="auto" w:sz="2" w:space="0"/>
                  </w:tcBorders>
                  <w:vAlign w:val="center"/>
                </w:tcPr>
                <w:p w14:paraId="0899AF1E">
                  <w:pPr>
                    <w:pStyle w:val="200"/>
                    <w:spacing w:beforeLines="0" w:afterLines="0" w:line="240" w:lineRule="exact"/>
                    <w:rPr>
                      <w:rFonts w:hint="default" w:ascii="Times New Roman" w:hAnsi="Times New Roman" w:cs="Times New Roman"/>
                      <w:sz w:val="18"/>
                      <w:szCs w:val="18"/>
                    </w:rPr>
                  </w:pPr>
                </w:p>
              </w:tc>
              <w:tc>
                <w:tcPr>
                  <w:tcW w:w="1390" w:type="dxa"/>
                  <w:tcBorders>
                    <w:top w:val="single" w:color="auto" w:sz="2" w:space="0"/>
                    <w:left w:val="single" w:color="auto" w:sz="2" w:space="0"/>
                    <w:bottom w:val="single" w:color="auto" w:sz="2" w:space="0"/>
                    <w:right w:val="single" w:color="auto" w:sz="2" w:space="0"/>
                  </w:tcBorders>
                  <w:vAlign w:val="center"/>
                </w:tcPr>
                <w:p w14:paraId="5ADE0B82">
                  <w:pPr>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13A19679">
                  <w:pPr>
                    <w:pStyle w:val="200"/>
                    <w:spacing w:beforeLines="0" w:afterLines="0" w:line="240" w:lineRule="exact"/>
                    <w:rPr>
                      <w:rFonts w:hint="eastAsia" w:ascii="Times New Roman" w:hAnsi="Times New Roman" w:cs="Times New Roman"/>
                      <w:sz w:val="18"/>
                      <w:szCs w:val="18"/>
                      <w:lang w:val="en-US" w:eastAsia="zh-CN"/>
                    </w:rPr>
                  </w:pPr>
                  <w:r>
                    <w:rPr>
                      <w:rFonts w:hint="eastAsia" w:ascii="Times New Roman" w:cs="Times New Roman"/>
                      <w:sz w:val="18"/>
                      <w:szCs w:val="18"/>
                      <w:lang w:val="en-US" w:eastAsia="zh-CN"/>
                    </w:rPr>
                    <w:t>4.5</w:t>
                  </w:r>
                </w:p>
              </w:tc>
              <w:tc>
                <w:tcPr>
                  <w:tcW w:w="2494" w:type="dxa"/>
                  <w:tcBorders>
                    <w:top w:val="single" w:color="auto" w:sz="2" w:space="0"/>
                    <w:left w:val="single" w:color="auto" w:sz="4" w:space="0"/>
                    <w:bottom w:val="single" w:color="auto" w:sz="2" w:space="0"/>
                    <w:right w:val="single" w:color="auto" w:sz="2" w:space="0"/>
                  </w:tcBorders>
                  <w:vAlign w:val="center"/>
                </w:tcPr>
                <w:p w14:paraId="0A02957A">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cs="Times New Roman"/>
                      <w:sz w:val="18"/>
                      <w:szCs w:val="18"/>
                      <w:lang w:val="en-US" w:eastAsia="zh-CN"/>
                    </w:rPr>
                    <w:t>热水锅炉，10套/a</w:t>
                  </w:r>
                </w:p>
              </w:tc>
            </w:tr>
            <w:tr w14:paraId="12F0912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left w:val="single" w:color="auto" w:sz="2" w:space="0"/>
                    <w:right w:val="single" w:color="auto" w:sz="2" w:space="0"/>
                  </w:tcBorders>
                  <w:vAlign w:val="center"/>
                </w:tcPr>
                <w:p w14:paraId="66600B6F">
                  <w:pPr>
                    <w:pStyle w:val="200"/>
                    <w:spacing w:beforeLines="0" w:afterLines="0" w:line="240" w:lineRule="exact"/>
                    <w:rPr>
                      <w:rFonts w:hint="default" w:ascii="Times New Roman" w:hAnsi="Times New Roman" w:cs="Times New Roman"/>
                      <w:sz w:val="18"/>
                      <w:szCs w:val="18"/>
                    </w:rPr>
                  </w:pPr>
                </w:p>
              </w:tc>
              <w:tc>
                <w:tcPr>
                  <w:tcW w:w="1845" w:type="dxa"/>
                  <w:vMerge w:val="continue"/>
                  <w:tcBorders>
                    <w:left w:val="single" w:color="auto" w:sz="2" w:space="0"/>
                    <w:bottom w:val="single" w:color="auto" w:sz="2" w:space="0"/>
                    <w:right w:val="single" w:color="auto" w:sz="2" w:space="0"/>
                  </w:tcBorders>
                  <w:vAlign w:val="center"/>
                </w:tcPr>
                <w:p w14:paraId="2863843F">
                  <w:pPr>
                    <w:pStyle w:val="200"/>
                    <w:spacing w:beforeLines="0" w:afterLines="0" w:line="240" w:lineRule="exact"/>
                    <w:rPr>
                      <w:rFonts w:hint="default" w:ascii="Times New Roman" w:hAnsi="Times New Roman" w:cs="Times New Roman"/>
                      <w:sz w:val="18"/>
                      <w:szCs w:val="18"/>
                    </w:rPr>
                  </w:pPr>
                </w:p>
              </w:tc>
              <w:tc>
                <w:tcPr>
                  <w:tcW w:w="1390" w:type="dxa"/>
                  <w:tcBorders>
                    <w:top w:val="single" w:color="auto" w:sz="2" w:space="0"/>
                    <w:left w:val="single" w:color="auto" w:sz="2" w:space="0"/>
                    <w:bottom w:val="single" w:color="auto" w:sz="2" w:space="0"/>
                    <w:right w:val="single" w:color="auto" w:sz="2" w:space="0"/>
                  </w:tcBorders>
                  <w:vAlign w:val="center"/>
                </w:tcPr>
                <w:p w14:paraId="263FB8FB">
                  <w:pPr>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2209E90F">
                  <w:pPr>
                    <w:pStyle w:val="200"/>
                    <w:spacing w:beforeLines="0" w:afterLines="0" w:line="240" w:lineRule="exact"/>
                    <w:rPr>
                      <w:rFonts w:hint="eastAsia" w:ascii="Times New Roman" w:hAnsi="Times New Roman" w:cs="Times New Roman"/>
                      <w:sz w:val="18"/>
                      <w:szCs w:val="18"/>
                      <w:lang w:val="en-US" w:eastAsia="zh-CN"/>
                    </w:rPr>
                  </w:pPr>
                  <w:r>
                    <w:rPr>
                      <w:rFonts w:hint="eastAsia" w:ascii="Times New Roman" w:cs="Times New Roman"/>
                      <w:sz w:val="18"/>
                      <w:szCs w:val="18"/>
                      <w:lang w:val="en-US" w:eastAsia="zh-CN"/>
                    </w:rPr>
                    <w:t>6</w:t>
                  </w:r>
                </w:p>
              </w:tc>
              <w:tc>
                <w:tcPr>
                  <w:tcW w:w="2494" w:type="dxa"/>
                  <w:tcBorders>
                    <w:top w:val="single" w:color="auto" w:sz="2" w:space="0"/>
                    <w:left w:val="single" w:color="auto" w:sz="4" w:space="0"/>
                    <w:bottom w:val="single" w:color="auto" w:sz="2" w:space="0"/>
                    <w:right w:val="single" w:color="auto" w:sz="2" w:space="0"/>
                  </w:tcBorders>
                  <w:vAlign w:val="center"/>
                </w:tcPr>
                <w:p w14:paraId="3B835E4A">
                  <w:pPr>
                    <w:pStyle w:val="200"/>
                    <w:spacing w:beforeLines="0" w:afterLines="0" w:line="240" w:lineRule="exact"/>
                    <w:jc w:val="center"/>
                    <w:rPr>
                      <w:rFonts w:hint="default"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给水设备，</w:t>
                  </w:r>
                  <w:r>
                    <w:rPr>
                      <w:rFonts w:hint="eastAsia" w:ascii="Times New Roman" w:cs="Times New Roman"/>
                      <w:sz w:val="18"/>
                      <w:szCs w:val="18"/>
                      <w:lang w:val="en-US" w:eastAsia="zh-CN"/>
                    </w:rPr>
                    <w:t>约5</w:t>
                  </w:r>
                  <w:r>
                    <w:rPr>
                      <w:rFonts w:hint="eastAsia" w:ascii="Times New Roman" w:hAnsi="Times New Roman" w:cs="Times New Roman"/>
                      <w:sz w:val="18"/>
                      <w:szCs w:val="18"/>
                      <w:lang w:val="en-US" w:eastAsia="zh-CN"/>
                    </w:rPr>
                    <w:t>00套</w:t>
                  </w:r>
                  <w:r>
                    <w:rPr>
                      <w:rFonts w:hint="eastAsia" w:ascii="Times New Roman" w:cs="Times New Roman"/>
                      <w:sz w:val="18"/>
                      <w:szCs w:val="18"/>
                      <w:lang w:val="en-US" w:eastAsia="zh-CN"/>
                    </w:rPr>
                    <w:t>/a</w:t>
                  </w:r>
                </w:p>
              </w:tc>
            </w:tr>
            <w:tr w14:paraId="001A925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90" w:hRule="atLeast"/>
                <w:jc w:val="center"/>
              </w:trPr>
              <w:tc>
                <w:tcPr>
                  <w:tcW w:w="1673" w:type="dxa"/>
                  <w:vMerge w:val="continue"/>
                  <w:tcBorders>
                    <w:top w:val="single" w:color="auto" w:sz="2" w:space="0"/>
                    <w:left w:val="single" w:color="auto" w:sz="2" w:space="0"/>
                    <w:bottom w:val="single" w:color="auto" w:sz="2" w:space="0"/>
                    <w:right w:val="single" w:color="auto" w:sz="2" w:space="0"/>
                  </w:tcBorders>
                  <w:vAlign w:val="center"/>
                </w:tcPr>
                <w:p w14:paraId="392A522C">
                  <w:pPr>
                    <w:pStyle w:val="200"/>
                    <w:spacing w:beforeLines="0" w:afterLines="0" w:line="240" w:lineRule="exact"/>
                    <w:rPr>
                      <w:rFonts w:hint="default" w:ascii="Times New Roman" w:hAnsi="Times New Roman" w:cs="Times New Roman"/>
                      <w:sz w:val="18"/>
                      <w:szCs w:val="18"/>
                    </w:rPr>
                  </w:pPr>
                </w:p>
              </w:tc>
              <w:tc>
                <w:tcPr>
                  <w:tcW w:w="1845" w:type="dxa"/>
                  <w:tcBorders>
                    <w:top w:val="single" w:color="auto" w:sz="2" w:space="0"/>
                    <w:left w:val="single" w:color="auto" w:sz="2" w:space="0"/>
                    <w:bottom w:val="single" w:color="auto" w:sz="2" w:space="0"/>
                    <w:right w:val="single" w:color="auto" w:sz="2" w:space="0"/>
                  </w:tcBorders>
                  <w:vAlign w:val="center"/>
                </w:tcPr>
                <w:p w14:paraId="2DC86328">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底漆涂层厚度</w:t>
                  </w:r>
                </w:p>
              </w:tc>
              <w:tc>
                <w:tcPr>
                  <w:tcW w:w="1390" w:type="dxa"/>
                  <w:tcBorders>
                    <w:top w:val="single" w:color="auto" w:sz="2" w:space="0"/>
                    <w:left w:val="single" w:color="auto" w:sz="2" w:space="0"/>
                    <w:bottom w:val="single" w:color="auto" w:sz="2" w:space="0"/>
                    <w:right w:val="single" w:color="auto" w:sz="2" w:space="0"/>
                  </w:tcBorders>
                  <w:vAlign w:val="center"/>
                </w:tcPr>
                <w:p w14:paraId="45A6322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μm</w:t>
                  </w:r>
                </w:p>
              </w:tc>
              <w:tc>
                <w:tcPr>
                  <w:tcW w:w="3501" w:type="dxa"/>
                  <w:gridSpan w:val="2"/>
                  <w:tcBorders>
                    <w:top w:val="single" w:color="auto" w:sz="2" w:space="0"/>
                    <w:left w:val="single" w:color="auto" w:sz="2" w:space="0"/>
                    <w:bottom w:val="single" w:color="auto" w:sz="2" w:space="0"/>
                    <w:right w:val="single" w:color="auto" w:sz="2" w:space="0"/>
                  </w:tcBorders>
                  <w:vAlign w:val="center"/>
                </w:tcPr>
                <w:p w14:paraId="286AF5A7">
                  <w:pPr>
                    <w:pStyle w:val="200"/>
                    <w:spacing w:beforeLines="0" w:afterLines="0" w:line="240" w:lineRule="exact"/>
                    <w:rPr>
                      <w:rFonts w:hint="eastAsia" w:ascii="Times New Roman" w:hAnsi="Times New Roman" w:eastAsia="宋体" w:cs="Times New Roman"/>
                      <w:color w:val="000000"/>
                      <w:kern w:val="0"/>
                      <w:sz w:val="18"/>
                      <w:szCs w:val="18"/>
                      <w:lang w:val="en-US" w:eastAsia="zh-CN" w:bidi="ar-SA"/>
                    </w:rPr>
                  </w:pPr>
                  <w:r>
                    <w:rPr>
                      <w:rFonts w:hint="eastAsia" w:ascii="Times New Roman" w:cs="Times New Roman"/>
                      <w:sz w:val="18"/>
                      <w:szCs w:val="18"/>
                      <w:lang w:val="en-US" w:eastAsia="zh-CN"/>
                    </w:rPr>
                    <w:t>6</w:t>
                  </w:r>
                  <w:r>
                    <w:rPr>
                      <w:rFonts w:hint="default" w:ascii="Times New Roman" w:hAnsi="Times New Roman" w:cs="Times New Roman"/>
                      <w:sz w:val="18"/>
                      <w:szCs w:val="18"/>
                    </w:rPr>
                    <w:t>0</w:t>
                  </w:r>
                </w:p>
              </w:tc>
            </w:tr>
            <w:tr w14:paraId="50D733F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top w:val="single" w:color="auto" w:sz="2" w:space="0"/>
                    <w:left w:val="single" w:color="auto" w:sz="2" w:space="0"/>
                    <w:bottom w:val="single" w:color="auto" w:sz="2" w:space="0"/>
                    <w:right w:val="single" w:color="auto" w:sz="2" w:space="0"/>
                  </w:tcBorders>
                  <w:vAlign w:val="center"/>
                </w:tcPr>
                <w:p w14:paraId="5DCB2F28">
                  <w:pPr>
                    <w:pStyle w:val="200"/>
                    <w:spacing w:beforeLines="0" w:afterLines="0" w:line="240" w:lineRule="exact"/>
                    <w:rPr>
                      <w:rFonts w:hint="default" w:ascii="Times New Roman" w:hAnsi="Times New Roman" w:cs="Times New Roman"/>
                      <w:sz w:val="18"/>
                      <w:szCs w:val="18"/>
                    </w:rPr>
                  </w:pPr>
                </w:p>
              </w:tc>
              <w:tc>
                <w:tcPr>
                  <w:tcW w:w="1845" w:type="dxa"/>
                  <w:tcBorders>
                    <w:top w:val="single" w:color="auto" w:sz="2" w:space="0"/>
                    <w:left w:val="single" w:color="auto" w:sz="2" w:space="0"/>
                    <w:bottom w:val="single" w:color="auto" w:sz="2" w:space="0"/>
                    <w:right w:val="single" w:color="auto" w:sz="2" w:space="0"/>
                  </w:tcBorders>
                  <w:vAlign w:val="center"/>
                </w:tcPr>
                <w:p w14:paraId="1D8A121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涂料利用率</w:t>
                  </w:r>
                </w:p>
              </w:tc>
              <w:tc>
                <w:tcPr>
                  <w:tcW w:w="1390" w:type="dxa"/>
                  <w:tcBorders>
                    <w:top w:val="single" w:color="auto" w:sz="2" w:space="0"/>
                    <w:left w:val="single" w:color="auto" w:sz="2" w:space="0"/>
                    <w:bottom w:val="single" w:color="auto" w:sz="2" w:space="0"/>
                    <w:right w:val="single" w:color="auto" w:sz="2" w:space="0"/>
                  </w:tcBorders>
                  <w:vAlign w:val="center"/>
                </w:tcPr>
                <w:p w14:paraId="6D427F30">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w:t>
                  </w:r>
                </w:p>
              </w:tc>
              <w:tc>
                <w:tcPr>
                  <w:tcW w:w="3501" w:type="dxa"/>
                  <w:gridSpan w:val="2"/>
                  <w:tcBorders>
                    <w:top w:val="single" w:color="auto" w:sz="2" w:space="0"/>
                    <w:left w:val="single" w:color="auto" w:sz="2" w:space="0"/>
                    <w:bottom w:val="single" w:color="auto" w:sz="2" w:space="0"/>
                    <w:right w:val="single" w:color="auto" w:sz="2" w:space="0"/>
                  </w:tcBorders>
                  <w:vAlign w:val="center"/>
                </w:tcPr>
                <w:p w14:paraId="61C7D9F4">
                  <w:pPr>
                    <w:pStyle w:val="200"/>
                    <w:spacing w:beforeLines="0" w:afterLines="0" w:line="240" w:lineRule="exact"/>
                    <w:rPr>
                      <w:rFonts w:hint="default" w:ascii="Times New Roman" w:hAnsi="Times New Roman" w:eastAsia="宋体" w:cs="Times New Roman"/>
                      <w:color w:val="000000"/>
                      <w:kern w:val="0"/>
                      <w:sz w:val="18"/>
                      <w:szCs w:val="18"/>
                      <w:lang w:val="en-US" w:eastAsia="zh-CN" w:bidi="ar-SA"/>
                    </w:rPr>
                  </w:pPr>
                  <w:r>
                    <w:rPr>
                      <w:rFonts w:hint="default" w:ascii="Times New Roman" w:hAnsi="Times New Roman" w:cs="Times New Roman"/>
                      <w:sz w:val="18"/>
                      <w:szCs w:val="18"/>
                    </w:rPr>
                    <w:t>70</w:t>
                  </w:r>
                </w:p>
              </w:tc>
            </w:tr>
            <w:tr w14:paraId="66E5569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restart"/>
                  <w:tcBorders>
                    <w:top w:val="single" w:color="auto" w:sz="2" w:space="0"/>
                    <w:left w:val="single" w:color="auto" w:sz="2" w:space="0"/>
                    <w:bottom w:val="single" w:color="auto" w:sz="2" w:space="0"/>
                    <w:right w:val="single" w:color="auto" w:sz="2" w:space="0"/>
                  </w:tcBorders>
                  <w:vAlign w:val="center"/>
                </w:tcPr>
                <w:p w14:paraId="4B460BB2">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面涂</w:t>
                  </w:r>
                </w:p>
              </w:tc>
              <w:tc>
                <w:tcPr>
                  <w:tcW w:w="1845" w:type="dxa"/>
                  <w:vMerge w:val="restart"/>
                  <w:tcBorders>
                    <w:top w:val="single" w:color="auto" w:sz="2" w:space="0"/>
                    <w:left w:val="single" w:color="auto" w:sz="2" w:space="0"/>
                    <w:right w:val="single" w:color="auto" w:sz="2" w:space="0"/>
                  </w:tcBorders>
                  <w:vAlign w:val="center"/>
                </w:tcPr>
                <w:p w14:paraId="25DF50E5">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涂装面积</w:t>
                  </w:r>
                </w:p>
              </w:tc>
              <w:tc>
                <w:tcPr>
                  <w:tcW w:w="1390" w:type="dxa"/>
                  <w:tcBorders>
                    <w:top w:val="single" w:color="auto" w:sz="2" w:space="0"/>
                    <w:left w:val="single" w:color="auto" w:sz="2" w:space="0"/>
                    <w:bottom w:val="single" w:color="auto" w:sz="2" w:space="0"/>
                    <w:right w:val="single" w:color="auto" w:sz="2" w:space="0"/>
                  </w:tcBorders>
                  <w:vAlign w:val="center"/>
                </w:tcPr>
                <w:p w14:paraId="461AA280">
                  <w:pPr>
                    <w:pStyle w:val="200"/>
                    <w:spacing w:beforeLines="0" w:afterLines="0" w:line="240" w:lineRule="exact"/>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02FBA4CE">
                  <w:pPr>
                    <w:pStyle w:val="200"/>
                    <w:spacing w:beforeLines="0" w:afterLines="0" w:line="240" w:lineRule="exact"/>
                    <w:rPr>
                      <w:rFonts w:hint="eastAsia" w:ascii="Times New Roman" w:hAnsi="Times New Roman" w:eastAsia="宋体" w:cs="Times New Roman"/>
                      <w:sz w:val="18"/>
                      <w:szCs w:val="18"/>
                      <w:lang w:eastAsia="zh-CN"/>
                    </w:rPr>
                  </w:pPr>
                  <w:r>
                    <w:rPr>
                      <w:rFonts w:hint="eastAsia" w:ascii="Times New Roman" w:cs="Times New Roman"/>
                      <w:sz w:val="18"/>
                      <w:szCs w:val="18"/>
                      <w:lang w:val="en-US" w:eastAsia="zh-CN"/>
                    </w:rPr>
                    <w:t>2.5</w:t>
                  </w:r>
                </w:p>
              </w:tc>
              <w:tc>
                <w:tcPr>
                  <w:tcW w:w="2494" w:type="dxa"/>
                  <w:tcBorders>
                    <w:top w:val="single" w:color="auto" w:sz="2" w:space="0"/>
                    <w:left w:val="single" w:color="auto" w:sz="4" w:space="0"/>
                    <w:bottom w:val="single" w:color="auto" w:sz="2" w:space="0"/>
                    <w:right w:val="single" w:color="auto" w:sz="2" w:space="0"/>
                  </w:tcBorders>
                  <w:vAlign w:val="center"/>
                </w:tcPr>
                <w:p w14:paraId="0A7067EA">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换热器，90套</w:t>
                  </w:r>
                  <w:r>
                    <w:rPr>
                      <w:rFonts w:hint="eastAsia" w:ascii="Times New Roman" w:cs="Times New Roman"/>
                      <w:sz w:val="18"/>
                      <w:szCs w:val="18"/>
                      <w:lang w:val="en-US" w:eastAsia="zh-CN"/>
                    </w:rPr>
                    <w:t>/a</w:t>
                  </w:r>
                </w:p>
              </w:tc>
            </w:tr>
            <w:tr w14:paraId="64E9488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left w:val="single" w:color="auto" w:sz="2" w:space="0"/>
                    <w:right w:val="single" w:color="auto" w:sz="2" w:space="0"/>
                  </w:tcBorders>
                  <w:vAlign w:val="center"/>
                </w:tcPr>
                <w:p w14:paraId="21FFDA8A">
                  <w:pPr>
                    <w:pStyle w:val="200"/>
                    <w:spacing w:beforeLines="0" w:afterLines="0" w:line="240" w:lineRule="exact"/>
                    <w:rPr>
                      <w:rFonts w:hint="default" w:ascii="Times New Roman" w:hAnsi="Times New Roman" w:cs="Times New Roman"/>
                      <w:sz w:val="18"/>
                      <w:szCs w:val="18"/>
                    </w:rPr>
                  </w:pPr>
                </w:p>
              </w:tc>
              <w:tc>
                <w:tcPr>
                  <w:tcW w:w="1845" w:type="dxa"/>
                  <w:vMerge w:val="continue"/>
                  <w:tcBorders>
                    <w:left w:val="single" w:color="auto" w:sz="2" w:space="0"/>
                    <w:right w:val="single" w:color="auto" w:sz="2" w:space="0"/>
                  </w:tcBorders>
                  <w:vAlign w:val="center"/>
                </w:tcPr>
                <w:p w14:paraId="2AB5EA56">
                  <w:pPr>
                    <w:pStyle w:val="200"/>
                    <w:spacing w:beforeLines="0" w:afterLines="0" w:line="240" w:lineRule="exact"/>
                    <w:rPr>
                      <w:rFonts w:hint="default" w:ascii="Times New Roman" w:hAnsi="Times New Roman" w:cs="Times New Roman"/>
                      <w:sz w:val="18"/>
                      <w:szCs w:val="18"/>
                    </w:rPr>
                  </w:pPr>
                </w:p>
              </w:tc>
              <w:tc>
                <w:tcPr>
                  <w:tcW w:w="1390" w:type="dxa"/>
                  <w:tcBorders>
                    <w:top w:val="single" w:color="auto" w:sz="2" w:space="0"/>
                    <w:left w:val="single" w:color="auto" w:sz="2" w:space="0"/>
                    <w:bottom w:val="single" w:color="auto" w:sz="2" w:space="0"/>
                    <w:right w:val="single" w:color="auto" w:sz="2" w:space="0"/>
                  </w:tcBorders>
                  <w:vAlign w:val="center"/>
                </w:tcPr>
                <w:p w14:paraId="0C819AA0">
                  <w:pPr>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11089368">
                  <w:pPr>
                    <w:pStyle w:val="200"/>
                    <w:spacing w:beforeLines="0" w:afterLines="0" w:line="240" w:lineRule="exact"/>
                    <w:rPr>
                      <w:rFonts w:hint="eastAsia" w:ascii="Times New Roman" w:hAnsi="Times New Roman" w:cs="Times New Roman"/>
                      <w:sz w:val="18"/>
                      <w:szCs w:val="18"/>
                      <w:lang w:val="en-US" w:eastAsia="zh-CN"/>
                    </w:rPr>
                  </w:pPr>
                  <w:r>
                    <w:rPr>
                      <w:rFonts w:hint="eastAsia" w:ascii="Times New Roman" w:cs="Times New Roman"/>
                      <w:sz w:val="18"/>
                      <w:szCs w:val="18"/>
                      <w:lang w:val="en-US" w:eastAsia="zh-CN"/>
                    </w:rPr>
                    <w:t>4</w:t>
                  </w:r>
                </w:p>
              </w:tc>
              <w:tc>
                <w:tcPr>
                  <w:tcW w:w="2494" w:type="dxa"/>
                  <w:tcBorders>
                    <w:top w:val="single" w:color="auto" w:sz="2" w:space="0"/>
                    <w:left w:val="single" w:color="auto" w:sz="4" w:space="0"/>
                    <w:bottom w:val="single" w:color="auto" w:sz="2" w:space="0"/>
                    <w:right w:val="single" w:color="auto" w:sz="2" w:space="0"/>
                  </w:tcBorders>
                  <w:vAlign w:val="center"/>
                </w:tcPr>
                <w:p w14:paraId="0ADB68A9">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气压罐，自用+产品</w:t>
                  </w:r>
                  <w:r>
                    <w:rPr>
                      <w:rFonts w:hint="eastAsia" w:ascii="Times New Roman" w:cs="Times New Roman"/>
                      <w:sz w:val="18"/>
                      <w:szCs w:val="18"/>
                      <w:lang w:val="en-US" w:eastAsia="zh-CN"/>
                    </w:rPr>
                    <w:t>约7</w:t>
                  </w:r>
                  <w:r>
                    <w:rPr>
                      <w:rFonts w:hint="eastAsia" w:ascii="Times New Roman" w:hAnsi="Times New Roman" w:cs="Times New Roman"/>
                      <w:sz w:val="18"/>
                      <w:szCs w:val="18"/>
                      <w:lang w:val="en-US" w:eastAsia="zh-CN"/>
                    </w:rPr>
                    <w:t>00套</w:t>
                  </w:r>
                  <w:r>
                    <w:rPr>
                      <w:rFonts w:hint="eastAsia" w:ascii="Times New Roman" w:cs="Times New Roman"/>
                      <w:sz w:val="18"/>
                      <w:szCs w:val="18"/>
                      <w:lang w:val="en-US" w:eastAsia="zh-CN"/>
                    </w:rPr>
                    <w:t>/a</w:t>
                  </w:r>
                </w:p>
              </w:tc>
            </w:tr>
            <w:tr w14:paraId="5B7FD3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left w:val="single" w:color="auto" w:sz="2" w:space="0"/>
                    <w:right w:val="single" w:color="auto" w:sz="2" w:space="0"/>
                  </w:tcBorders>
                  <w:vAlign w:val="center"/>
                </w:tcPr>
                <w:p w14:paraId="7F739C51">
                  <w:pPr>
                    <w:pStyle w:val="200"/>
                    <w:spacing w:beforeLines="0" w:afterLines="0" w:line="240" w:lineRule="exact"/>
                    <w:rPr>
                      <w:rFonts w:hint="default" w:ascii="Times New Roman" w:hAnsi="Times New Roman" w:cs="Times New Roman"/>
                      <w:sz w:val="18"/>
                      <w:szCs w:val="18"/>
                    </w:rPr>
                  </w:pPr>
                </w:p>
              </w:tc>
              <w:tc>
                <w:tcPr>
                  <w:tcW w:w="1845" w:type="dxa"/>
                  <w:vMerge w:val="continue"/>
                  <w:tcBorders>
                    <w:left w:val="single" w:color="auto" w:sz="2" w:space="0"/>
                    <w:right w:val="single" w:color="auto" w:sz="2" w:space="0"/>
                  </w:tcBorders>
                  <w:vAlign w:val="center"/>
                </w:tcPr>
                <w:p w14:paraId="453F600B">
                  <w:pPr>
                    <w:pStyle w:val="200"/>
                    <w:spacing w:beforeLines="0" w:afterLines="0" w:line="240" w:lineRule="exact"/>
                    <w:rPr>
                      <w:rFonts w:hint="default" w:ascii="Times New Roman" w:hAnsi="Times New Roman" w:cs="Times New Roman"/>
                      <w:sz w:val="18"/>
                      <w:szCs w:val="18"/>
                    </w:rPr>
                  </w:pPr>
                </w:p>
              </w:tc>
              <w:tc>
                <w:tcPr>
                  <w:tcW w:w="1390" w:type="dxa"/>
                  <w:tcBorders>
                    <w:top w:val="single" w:color="auto" w:sz="2" w:space="0"/>
                    <w:left w:val="single" w:color="auto" w:sz="2" w:space="0"/>
                    <w:bottom w:val="single" w:color="auto" w:sz="2" w:space="0"/>
                    <w:right w:val="single" w:color="auto" w:sz="2" w:space="0"/>
                  </w:tcBorders>
                  <w:vAlign w:val="center"/>
                </w:tcPr>
                <w:p w14:paraId="52D67E72">
                  <w:pPr>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73C999E6">
                  <w:pPr>
                    <w:pStyle w:val="200"/>
                    <w:spacing w:beforeLines="0" w:afterLines="0" w:line="240" w:lineRule="exact"/>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0.8</w:t>
                  </w:r>
                </w:p>
              </w:tc>
              <w:tc>
                <w:tcPr>
                  <w:tcW w:w="2494" w:type="dxa"/>
                  <w:tcBorders>
                    <w:top w:val="single" w:color="auto" w:sz="2" w:space="0"/>
                    <w:left w:val="single" w:color="auto" w:sz="4" w:space="0"/>
                    <w:bottom w:val="single" w:color="auto" w:sz="2" w:space="0"/>
                    <w:right w:val="single" w:color="auto" w:sz="2" w:space="0"/>
                  </w:tcBorders>
                  <w:vAlign w:val="center"/>
                </w:tcPr>
                <w:p w14:paraId="67ED6902">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水泵，自用+产品1800套</w:t>
                  </w:r>
                  <w:r>
                    <w:rPr>
                      <w:rFonts w:hint="eastAsia" w:ascii="Times New Roman" w:cs="Times New Roman"/>
                      <w:sz w:val="18"/>
                      <w:szCs w:val="18"/>
                      <w:lang w:val="en-US" w:eastAsia="zh-CN"/>
                    </w:rPr>
                    <w:t>/a</w:t>
                  </w:r>
                </w:p>
              </w:tc>
            </w:tr>
            <w:tr w14:paraId="6E8D30A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left w:val="single" w:color="auto" w:sz="2" w:space="0"/>
                    <w:right w:val="single" w:color="auto" w:sz="2" w:space="0"/>
                  </w:tcBorders>
                  <w:vAlign w:val="center"/>
                </w:tcPr>
                <w:p w14:paraId="720E27B5">
                  <w:pPr>
                    <w:pStyle w:val="200"/>
                    <w:spacing w:beforeLines="0" w:afterLines="0" w:line="240" w:lineRule="exact"/>
                    <w:rPr>
                      <w:rFonts w:hint="default" w:ascii="Times New Roman" w:hAnsi="Times New Roman" w:cs="Times New Roman"/>
                      <w:sz w:val="18"/>
                      <w:szCs w:val="18"/>
                    </w:rPr>
                  </w:pPr>
                </w:p>
              </w:tc>
              <w:tc>
                <w:tcPr>
                  <w:tcW w:w="1845" w:type="dxa"/>
                  <w:vMerge w:val="continue"/>
                  <w:tcBorders>
                    <w:left w:val="single" w:color="auto" w:sz="2" w:space="0"/>
                    <w:right w:val="single" w:color="auto" w:sz="2" w:space="0"/>
                  </w:tcBorders>
                  <w:vAlign w:val="center"/>
                </w:tcPr>
                <w:p w14:paraId="48909992">
                  <w:pPr>
                    <w:pStyle w:val="200"/>
                    <w:spacing w:beforeLines="0" w:afterLines="0" w:line="240" w:lineRule="exact"/>
                    <w:rPr>
                      <w:rFonts w:hint="default" w:ascii="Times New Roman" w:hAnsi="Times New Roman" w:cs="Times New Roman"/>
                      <w:sz w:val="18"/>
                      <w:szCs w:val="18"/>
                    </w:rPr>
                  </w:pPr>
                </w:p>
              </w:tc>
              <w:tc>
                <w:tcPr>
                  <w:tcW w:w="1390" w:type="dxa"/>
                  <w:tcBorders>
                    <w:top w:val="single" w:color="auto" w:sz="2" w:space="0"/>
                    <w:left w:val="single" w:color="auto" w:sz="2" w:space="0"/>
                    <w:bottom w:val="single" w:color="auto" w:sz="2" w:space="0"/>
                    <w:right w:val="single" w:color="auto" w:sz="2" w:space="0"/>
                  </w:tcBorders>
                  <w:vAlign w:val="center"/>
                </w:tcPr>
                <w:p w14:paraId="3B31CDFF">
                  <w:pPr>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00F3324C">
                  <w:pPr>
                    <w:pStyle w:val="200"/>
                    <w:spacing w:beforeLines="0" w:afterLines="0" w:line="240" w:lineRule="exact"/>
                    <w:rPr>
                      <w:rFonts w:hint="eastAsia" w:ascii="Times New Roman" w:hAnsi="Times New Roman" w:cs="Times New Roman"/>
                      <w:sz w:val="18"/>
                      <w:szCs w:val="18"/>
                      <w:lang w:val="en-US" w:eastAsia="zh-CN"/>
                    </w:rPr>
                  </w:pPr>
                  <w:r>
                    <w:rPr>
                      <w:rFonts w:hint="eastAsia" w:ascii="Times New Roman" w:cs="Times New Roman"/>
                      <w:sz w:val="18"/>
                      <w:szCs w:val="18"/>
                      <w:lang w:val="en-US" w:eastAsia="zh-CN"/>
                    </w:rPr>
                    <w:t>4.5</w:t>
                  </w:r>
                </w:p>
              </w:tc>
              <w:tc>
                <w:tcPr>
                  <w:tcW w:w="2494" w:type="dxa"/>
                  <w:tcBorders>
                    <w:top w:val="single" w:color="auto" w:sz="2" w:space="0"/>
                    <w:left w:val="single" w:color="auto" w:sz="4" w:space="0"/>
                    <w:bottom w:val="single" w:color="auto" w:sz="2" w:space="0"/>
                    <w:right w:val="single" w:color="auto" w:sz="2" w:space="0"/>
                  </w:tcBorders>
                  <w:vAlign w:val="center"/>
                </w:tcPr>
                <w:p w14:paraId="63C3B13D">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cs="Times New Roman"/>
                      <w:sz w:val="18"/>
                      <w:szCs w:val="18"/>
                      <w:lang w:val="en-US" w:eastAsia="zh-CN"/>
                    </w:rPr>
                    <w:t>热水锅炉，10套/a</w:t>
                  </w:r>
                </w:p>
              </w:tc>
            </w:tr>
            <w:tr w14:paraId="4FCFA65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left w:val="single" w:color="auto" w:sz="2" w:space="0"/>
                    <w:right w:val="single" w:color="auto" w:sz="2" w:space="0"/>
                  </w:tcBorders>
                  <w:vAlign w:val="center"/>
                </w:tcPr>
                <w:p w14:paraId="275371E1">
                  <w:pPr>
                    <w:pStyle w:val="200"/>
                    <w:spacing w:beforeLines="0" w:afterLines="0" w:line="240" w:lineRule="exact"/>
                    <w:rPr>
                      <w:rFonts w:hint="default" w:ascii="Times New Roman" w:hAnsi="Times New Roman" w:cs="Times New Roman"/>
                      <w:sz w:val="18"/>
                      <w:szCs w:val="18"/>
                    </w:rPr>
                  </w:pPr>
                </w:p>
              </w:tc>
              <w:tc>
                <w:tcPr>
                  <w:tcW w:w="1845" w:type="dxa"/>
                  <w:vMerge w:val="continue"/>
                  <w:tcBorders>
                    <w:left w:val="single" w:color="auto" w:sz="2" w:space="0"/>
                    <w:bottom w:val="single" w:color="auto" w:sz="2" w:space="0"/>
                    <w:right w:val="single" w:color="auto" w:sz="2" w:space="0"/>
                  </w:tcBorders>
                  <w:vAlign w:val="center"/>
                </w:tcPr>
                <w:p w14:paraId="1D3D74AA">
                  <w:pPr>
                    <w:pStyle w:val="200"/>
                    <w:spacing w:beforeLines="0" w:afterLines="0" w:line="240" w:lineRule="exact"/>
                    <w:rPr>
                      <w:rFonts w:hint="default" w:ascii="Times New Roman" w:hAnsi="Times New Roman" w:cs="Times New Roman"/>
                      <w:sz w:val="18"/>
                      <w:szCs w:val="18"/>
                    </w:rPr>
                  </w:pPr>
                </w:p>
              </w:tc>
              <w:tc>
                <w:tcPr>
                  <w:tcW w:w="1390" w:type="dxa"/>
                  <w:tcBorders>
                    <w:top w:val="single" w:color="auto" w:sz="2" w:space="0"/>
                    <w:left w:val="single" w:color="auto" w:sz="2" w:space="0"/>
                    <w:bottom w:val="single" w:color="auto" w:sz="2" w:space="0"/>
                    <w:right w:val="single" w:color="auto" w:sz="2" w:space="0"/>
                  </w:tcBorders>
                  <w:vAlign w:val="center"/>
                </w:tcPr>
                <w:p w14:paraId="4CC54631">
                  <w:pPr>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r>
                    <w:rPr>
                      <w:rFonts w:hint="eastAsia" w:ascii="Times New Roman" w:hAnsi="Times New Roman" w:cs="Times New Roman"/>
                      <w:sz w:val="18"/>
                      <w:szCs w:val="18"/>
                      <w:lang w:eastAsia="zh-CN"/>
                    </w:rPr>
                    <w:t>套</w:t>
                  </w:r>
                </w:p>
              </w:tc>
              <w:tc>
                <w:tcPr>
                  <w:tcW w:w="1007" w:type="dxa"/>
                  <w:tcBorders>
                    <w:top w:val="single" w:color="auto" w:sz="2" w:space="0"/>
                    <w:left w:val="single" w:color="auto" w:sz="2" w:space="0"/>
                    <w:bottom w:val="single" w:color="auto" w:sz="2" w:space="0"/>
                    <w:right w:val="single" w:color="auto" w:sz="4" w:space="0"/>
                  </w:tcBorders>
                  <w:vAlign w:val="center"/>
                </w:tcPr>
                <w:p w14:paraId="7DDDAE10">
                  <w:pPr>
                    <w:pStyle w:val="200"/>
                    <w:spacing w:beforeLines="0" w:afterLines="0" w:line="240" w:lineRule="exact"/>
                    <w:rPr>
                      <w:rFonts w:hint="eastAsia" w:ascii="Times New Roman" w:hAnsi="Times New Roman" w:cs="Times New Roman"/>
                      <w:sz w:val="18"/>
                      <w:szCs w:val="18"/>
                      <w:lang w:val="en-US" w:eastAsia="zh-CN"/>
                    </w:rPr>
                  </w:pPr>
                  <w:r>
                    <w:rPr>
                      <w:rFonts w:hint="eastAsia" w:ascii="Times New Roman" w:cs="Times New Roman"/>
                      <w:sz w:val="18"/>
                      <w:szCs w:val="18"/>
                      <w:lang w:val="en-US" w:eastAsia="zh-CN"/>
                    </w:rPr>
                    <w:t>6</w:t>
                  </w:r>
                </w:p>
              </w:tc>
              <w:tc>
                <w:tcPr>
                  <w:tcW w:w="2494" w:type="dxa"/>
                  <w:tcBorders>
                    <w:top w:val="single" w:color="auto" w:sz="2" w:space="0"/>
                    <w:left w:val="single" w:color="auto" w:sz="4" w:space="0"/>
                    <w:bottom w:val="single" w:color="auto" w:sz="2" w:space="0"/>
                    <w:right w:val="single" w:color="auto" w:sz="2" w:space="0"/>
                  </w:tcBorders>
                  <w:vAlign w:val="center"/>
                </w:tcPr>
                <w:p w14:paraId="10DE5C1E">
                  <w:pPr>
                    <w:pStyle w:val="200"/>
                    <w:spacing w:beforeLines="0" w:afterLines="0" w:line="240" w:lineRule="exact"/>
                    <w:jc w:val="center"/>
                    <w:rPr>
                      <w:rFonts w:hint="eastAsia"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给水设备，</w:t>
                  </w:r>
                  <w:r>
                    <w:rPr>
                      <w:rFonts w:hint="eastAsia" w:ascii="Times New Roman" w:cs="Times New Roman"/>
                      <w:sz w:val="18"/>
                      <w:szCs w:val="18"/>
                      <w:lang w:val="en-US" w:eastAsia="zh-CN"/>
                    </w:rPr>
                    <w:t>约5</w:t>
                  </w:r>
                  <w:r>
                    <w:rPr>
                      <w:rFonts w:hint="eastAsia" w:ascii="Times New Roman" w:hAnsi="Times New Roman" w:cs="Times New Roman"/>
                      <w:sz w:val="18"/>
                      <w:szCs w:val="18"/>
                      <w:lang w:val="en-US" w:eastAsia="zh-CN"/>
                    </w:rPr>
                    <w:t>00套</w:t>
                  </w:r>
                  <w:r>
                    <w:rPr>
                      <w:rFonts w:hint="eastAsia" w:ascii="Times New Roman" w:cs="Times New Roman"/>
                      <w:sz w:val="18"/>
                      <w:szCs w:val="18"/>
                      <w:lang w:val="en-US" w:eastAsia="zh-CN"/>
                    </w:rPr>
                    <w:t>/a</w:t>
                  </w:r>
                </w:p>
              </w:tc>
            </w:tr>
            <w:tr w14:paraId="0086FAB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top w:val="single" w:color="auto" w:sz="2" w:space="0"/>
                    <w:left w:val="single" w:color="auto" w:sz="2" w:space="0"/>
                    <w:bottom w:val="single" w:color="auto" w:sz="2" w:space="0"/>
                    <w:right w:val="single" w:color="auto" w:sz="2" w:space="0"/>
                  </w:tcBorders>
                  <w:vAlign w:val="center"/>
                </w:tcPr>
                <w:p w14:paraId="3996943E">
                  <w:pPr>
                    <w:pStyle w:val="200"/>
                    <w:spacing w:beforeLines="0" w:afterLines="0" w:line="240" w:lineRule="exact"/>
                    <w:rPr>
                      <w:rFonts w:hint="default" w:ascii="Times New Roman" w:hAnsi="Times New Roman" w:cs="Times New Roman"/>
                      <w:sz w:val="18"/>
                      <w:szCs w:val="18"/>
                    </w:rPr>
                  </w:pPr>
                </w:p>
              </w:tc>
              <w:tc>
                <w:tcPr>
                  <w:tcW w:w="1845" w:type="dxa"/>
                  <w:tcBorders>
                    <w:top w:val="single" w:color="auto" w:sz="2" w:space="0"/>
                    <w:left w:val="single" w:color="auto" w:sz="2" w:space="0"/>
                    <w:bottom w:val="single" w:color="auto" w:sz="2" w:space="0"/>
                    <w:right w:val="single" w:color="auto" w:sz="2" w:space="0"/>
                  </w:tcBorders>
                  <w:vAlign w:val="center"/>
                </w:tcPr>
                <w:p w14:paraId="3AC34BAE">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面涂膜厚度</w:t>
                  </w:r>
                </w:p>
              </w:tc>
              <w:tc>
                <w:tcPr>
                  <w:tcW w:w="1390" w:type="dxa"/>
                  <w:tcBorders>
                    <w:top w:val="single" w:color="auto" w:sz="2" w:space="0"/>
                    <w:left w:val="single" w:color="auto" w:sz="2" w:space="0"/>
                    <w:bottom w:val="single" w:color="auto" w:sz="2" w:space="0"/>
                    <w:right w:val="single" w:color="auto" w:sz="2" w:space="0"/>
                  </w:tcBorders>
                  <w:vAlign w:val="center"/>
                </w:tcPr>
                <w:p w14:paraId="08B20D36">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μm</w:t>
                  </w:r>
                </w:p>
              </w:tc>
              <w:tc>
                <w:tcPr>
                  <w:tcW w:w="3501" w:type="dxa"/>
                  <w:gridSpan w:val="2"/>
                  <w:tcBorders>
                    <w:top w:val="single" w:color="auto" w:sz="2" w:space="0"/>
                    <w:left w:val="single" w:color="auto" w:sz="2" w:space="0"/>
                    <w:bottom w:val="single" w:color="auto" w:sz="2" w:space="0"/>
                    <w:right w:val="single" w:color="auto" w:sz="2" w:space="0"/>
                  </w:tcBorders>
                  <w:vAlign w:val="center"/>
                </w:tcPr>
                <w:p w14:paraId="27FC62E7">
                  <w:pPr>
                    <w:pStyle w:val="200"/>
                    <w:spacing w:beforeLines="0" w:afterLines="0" w:line="240" w:lineRule="exact"/>
                    <w:rPr>
                      <w:rFonts w:hint="default" w:ascii="Times New Roman" w:hAnsi="Times New Roman" w:cs="Times New Roman"/>
                      <w:sz w:val="18"/>
                      <w:szCs w:val="18"/>
                    </w:rPr>
                  </w:pPr>
                  <w:r>
                    <w:rPr>
                      <w:rFonts w:hint="eastAsia" w:ascii="Times New Roman" w:hAnsi="Times New Roman" w:cs="Times New Roman"/>
                      <w:sz w:val="18"/>
                      <w:szCs w:val="18"/>
                      <w:lang w:val="en-US" w:eastAsia="zh-CN"/>
                    </w:rPr>
                    <w:t>6</w:t>
                  </w:r>
                  <w:r>
                    <w:rPr>
                      <w:rFonts w:hint="default" w:ascii="Times New Roman" w:hAnsi="Times New Roman" w:cs="Times New Roman"/>
                      <w:sz w:val="18"/>
                      <w:szCs w:val="18"/>
                    </w:rPr>
                    <w:t>0</w:t>
                  </w:r>
                </w:p>
              </w:tc>
            </w:tr>
            <w:tr w14:paraId="6D4873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673" w:type="dxa"/>
                  <w:vMerge w:val="continue"/>
                  <w:tcBorders>
                    <w:top w:val="single" w:color="auto" w:sz="2" w:space="0"/>
                    <w:left w:val="single" w:color="auto" w:sz="2" w:space="0"/>
                    <w:bottom w:val="single" w:color="auto" w:sz="2" w:space="0"/>
                    <w:right w:val="single" w:color="auto" w:sz="2" w:space="0"/>
                  </w:tcBorders>
                  <w:vAlign w:val="center"/>
                </w:tcPr>
                <w:p w14:paraId="7167630A">
                  <w:pPr>
                    <w:pStyle w:val="200"/>
                    <w:spacing w:beforeLines="0" w:afterLines="0" w:line="240" w:lineRule="exact"/>
                    <w:rPr>
                      <w:rFonts w:hint="default" w:ascii="Times New Roman" w:hAnsi="Times New Roman" w:cs="Times New Roman"/>
                      <w:sz w:val="18"/>
                      <w:szCs w:val="18"/>
                    </w:rPr>
                  </w:pPr>
                </w:p>
              </w:tc>
              <w:tc>
                <w:tcPr>
                  <w:tcW w:w="1845" w:type="dxa"/>
                  <w:tcBorders>
                    <w:top w:val="single" w:color="auto" w:sz="2" w:space="0"/>
                    <w:left w:val="single" w:color="auto" w:sz="2" w:space="0"/>
                    <w:bottom w:val="single" w:color="auto" w:sz="2" w:space="0"/>
                    <w:right w:val="single" w:color="auto" w:sz="2" w:space="0"/>
                  </w:tcBorders>
                  <w:vAlign w:val="center"/>
                </w:tcPr>
                <w:p w14:paraId="4BAA67B2">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涂料利用率</w:t>
                  </w:r>
                </w:p>
              </w:tc>
              <w:tc>
                <w:tcPr>
                  <w:tcW w:w="1390" w:type="dxa"/>
                  <w:tcBorders>
                    <w:top w:val="single" w:color="auto" w:sz="2" w:space="0"/>
                    <w:left w:val="single" w:color="auto" w:sz="2" w:space="0"/>
                    <w:bottom w:val="single" w:color="auto" w:sz="2" w:space="0"/>
                    <w:right w:val="single" w:color="auto" w:sz="2" w:space="0"/>
                  </w:tcBorders>
                  <w:vAlign w:val="center"/>
                </w:tcPr>
                <w:p w14:paraId="03B999C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w:t>
                  </w:r>
                </w:p>
              </w:tc>
              <w:tc>
                <w:tcPr>
                  <w:tcW w:w="3501" w:type="dxa"/>
                  <w:gridSpan w:val="2"/>
                  <w:tcBorders>
                    <w:top w:val="single" w:color="auto" w:sz="2" w:space="0"/>
                    <w:left w:val="single" w:color="auto" w:sz="2" w:space="0"/>
                    <w:bottom w:val="single" w:color="auto" w:sz="2" w:space="0"/>
                    <w:right w:val="single" w:color="auto" w:sz="2" w:space="0"/>
                  </w:tcBorders>
                  <w:vAlign w:val="center"/>
                </w:tcPr>
                <w:p w14:paraId="24D7EB50">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70</w:t>
                  </w:r>
                </w:p>
              </w:tc>
            </w:tr>
          </w:tbl>
          <w:p w14:paraId="6AF9E43A">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拟建项目底漆、面漆的用量计算公式为：</w:t>
            </w:r>
          </w:p>
          <w:p w14:paraId="39D36292">
            <w:pPr>
              <w:spacing w:line="360" w:lineRule="auto"/>
              <w:ind w:firstLine="482"/>
              <w:rPr>
                <w:rFonts w:hint="default" w:ascii="Times New Roman" w:hAnsi="Times New Roman" w:cs="Times New Roman"/>
                <w:b/>
                <w:bCs/>
                <w:i/>
                <w:highlight w:val="yellow"/>
              </w:rPr>
            </w:pPr>
            <w:r>
              <w:rPr>
                <w:rFonts w:hint="default" w:ascii="Times New Roman" w:hAnsi="Times New Roman" w:cs="Times New Roman"/>
              </w:rPr>
              <w:drawing>
                <wp:inline distT="0" distB="0" distL="114300" distR="114300">
                  <wp:extent cx="1609725" cy="228600"/>
                  <wp:effectExtent l="0" t="0" r="9525" b="0"/>
                  <wp:docPr id="4"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6"/>
                          <pic:cNvPicPr>
                            <a:picLocks noChangeAspect="1"/>
                          </pic:cNvPicPr>
                        </pic:nvPicPr>
                        <pic:blipFill>
                          <a:blip r:embed="rId37"/>
                          <a:stretch>
                            <a:fillRect/>
                          </a:stretch>
                        </pic:blipFill>
                        <pic:spPr>
                          <a:xfrm>
                            <a:off x="0" y="0"/>
                            <a:ext cx="1609725" cy="228600"/>
                          </a:xfrm>
                          <a:prstGeom prst="rect">
                            <a:avLst/>
                          </a:prstGeom>
                          <a:noFill/>
                          <a:ln>
                            <a:noFill/>
                          </a:ln>
                        </pic:spPr>
                      </pic:pic>
                    </a:graphicData>
                  </a:graphic>
                </wp:inline>
              </w:drawing>
            </w:r>
          </w:p>
          <w:p w14:paraId="3E64D7D0">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其中：m——某种漆用量（t/a）；</w:t>
            </w:r>
          </w:p>
          <w:p w14:paraId="6AB4ACF6">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ρ——该漆密度，单位：g/cm</w:t>
            </w:r>
            <w:r>
              <w:rPr>
                <w:rFonts w:hint="default" w:ascii="Times New Roman" w:hAnsi="Times New Roman" w:cs="Times New Roman"/>
                <w:szCs w:val="21"/>
                <w:vertAlign w:val="superscript"/>
              </w:rPr>
              <w:t>3</w:t>
            </w:r>
            <w:r>
              <w:rPr>
                <w:rFonts w:hint="default" w:ascii="Times New Roman" w:hAnsi="Times New Roman" w:cs="Times New Roman"/>
                <w:szCs w:val="21"/>
              </w:rPr>
              <w:t>；</w:t>
            </w:r>
          </w:p>
          <w:p w14:paraId="6D1CF3F3">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δ——涂层厚度（μm）；</w:t>
            </w:r>
          </w:p>
          <w:p w14:paraId="46E96BD0">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s——涂装面积（m</w:t>
            </w:r>
            <w:r>
              <w:rPr>
                <w:rFonts w:hint="default" w:ascii="Times New Roman" w:hAnsi="Times New Roman" w:cs="Times New Roman"/>
                <w:szCs w:val="21"/>
                <w:vertAlign w:val="superscript"/>
              </w:rPr>
              <w:t>2</w:t>
            </w:r>
            <w:r>
              <w:rPr>
                <w:rFonts w:hint="default" w:ascii="Times New Roman" w:hAnsi="Times New Roman" w:cs="Times New Roman"/>
                <w:szCs w:val="21"/>
              </w:rPr>
              <w:t>）；</w:t>
            </w:r>
          </w:p>
          <w:p w14:paraId="4832D086">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NV——该漆中的固体份（%）；</w:t>
            </w:r>
          </w:p>
          <w:p w14:paraId="42FC02A3">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ε——上漆率。</w:t>
            </w:r>
          </w:p>
          <w:p w14:paraId="5743FBA6">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根据表2-4，本项目按照涂料中固体分最小占比进行折算涂料最大使用量，漆料使用计算参数见下表。</w:t>
            </w:r>
          </w:p>
          <w:p w14:paraId="781F60E1">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表2-1</w:t>
            </w:r>
            <w:r>
              <w:rPr>
                <w:rFonts w:hint="eastAsia" w:ascii="宋体" w:hAnsi="宋体" w:eastAsia="宋体" w:cs="宋体"/>
                <w:b/>
                <w:bCs/>
                <w:lang w:val="en-US" w:eastAsia="zh-CN"/>
              </w:rPr>
              <w:t>2</w:t>
            </w:r>
            <w:r>
              <w:rPr>
                <w:rFonts w:hint="eastAsia" w:ascii="宋体" w:hAnsi="宋体" w:eastAsia="宋体" w:cs="宋体"/>
                <w:b/>
                <w:bCs/>
                <w:lang w:val="de-DE"/>
              </w:rPr>
              <w:t xml:space="preserve">  漆料用量计算参数一览表</w:t>
            </w:r>
          </w:p>
          <w:tbl>
            <w:tblPr>
              <w:tblStyle w:val="81"/>
              <w:tblW w:w="4994"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801"/>
              <w:gridCol w:w="763"/>
              <w:gridCol w:w="1071"/>
              <w:gridCol w:w="1067"/>
              <w:gridCol w:w="1071"/>
              <w:gridCol w:w="806"/>
              <w:gridCol w:w="1094"/>
              <w:gridCol w:w="870"/>
              <w:gridCol w:w="866"/>
            </w:tblGrid>
            <w:tr w14:paraId="50A46BA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476" w:type="pct"/>
                  <w:tcBorders>
                    <w:top w:val="single" w:color="auto" w:sz="2" w:space="0"/>
                    <w:left w:val="single" w:color="auto" w:sz="2" w:space="0"/>
                    <w:bottom w:val="single" w:color="auto" w:sz="4" w:space="0"/>
                    <w:right w:val="single" w:color="auto" w:sz="4" w:space="0"/>
                  </w:tcBorders>
                  <w:vAlign w:val="center"/>
                </w:tcPr>
                <w:p w14:paraId="3D1876E0">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产品</w:t>
                  </w:r>
                </w:p>
              </w:tc>
              <w:tc>
                <w:tcPr>
                  <w:tcW w:w="453" w:type="pct"/>
                  <w:tcBorders>
                    <w:top w:val="single" w:color="auto" w:sz="2" w:space="0"/>
                    <w:left w:val="single" w:color="auto" w:sz="4" w:space="0"/>
                    <w:bottom w:val="single" w:color="auto" w:sz="4" w:space="0"/>
                    <w:right w:val="single" w:color="auto" w:sz="4" w:space="0"/>
                  </w:tcBorders>
                  <w:vAlign w:val="center"/>
                </w:tcPr>
                <w:p w14:paraId="26D23237">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涂装</w:t>
                  </w:r>
                </w:p>
                <w:p w14:paraId="6E6750A4">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工序</w:t>
                  </w:r>
                </w:p>
              </w:tc>
              <w:tc>
                <w:tcPr>
                  <w:tcW w:w="636" w:type="pct"/>
                  <w:tcBorders>
                    <w:top w:val="single" w:color="auto" w:sz="2" w:space="0"/>
                    <w:left w:val="single" w:color="auto" w:sz="4" w:space="0"/>
                    <w:bottom w:val="single" w:color="auto" w:sz="4" w:space="0"/>
                    <w:right w:val="single" w:color="auto" w:sz="4" w:space="0"/>
                  </w:tcBorders>
                  <w:vAlign w:val="center"/>
                </w:tcPr>
                <w:p w14:paraId="71153B42">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涂料密度ρ（g/cm</w:t>
                  </w:r>
                  <w:r>
                    <w:rPr>
                      <w:rFonts w:hint="default" w:ascii="Times New Roman" w:hAnsi="Times New Roman" w:cs="Times New Roman"/>
                      <w:sz w:val="18"/>
                      <w:szCs w:val="18"/>
                      <w:vertAlign w:val="superscript"/>
                    </w:rPr>
                    <w:t>3</w:t>
                  </w:r>
                  <w:r>
                    <w:rPr>
                      <w:rFonts w:hint="default" w:ascii="Times New Roman" w:hAnsi="Times New Roman" w:cs="Times New Roman"/>
                      <w:sz w:val="18"/>
                      <w:szCs w:val="18"/>
                    </w:rPr>
                    <w:t>）</w:t>
                  </w:r>
                </w:p>
              </w:tc>
              <w:tc>
                <w:tcPr>
                  <w:tcW w:w="634" w:type="pct"/>
                  <w:tcBorders>
                    <w:top w:val="single" w:color="auto" w:sz="2" w:space="0"/>
                    <w:left w:val="single" w:color="auto" w:sz="4" w:space="0"/>
                    <w:bottom w:val="single" w:color="auto" w:sz="4" w:space="0"/>
                    <w:right w:val="single" w:color="auto" w:sz="4" w:space="0"/>
                  </w:tcBorders>
                  <w:vAlign w:val="center"/>
                </w:tcPr>
                <w:p w14:paraId="389A8B3B">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干涂膜厚度δ（μm）</w:t>
                  </w:r>
                </w:p>
              </w:tc>
              <w:tc>
                <w:tcPr>
                  <w:tcW w:w="636" w:type="pct"/>
                  <w:tcBorders>
                    <w:top w:val="single" w:color="auto" w:sz="2" w:space="0"/>
                    <w:left w:val="single" w:color="auto" w:sz="4" w:space="0"/>
                    <w:bottom w:val="single" w:color="auto" w:sz="4" w:space="0"/>
                    <w:right w:val="single" w:color="auto" w:sz="4" w:space="0"/>
                  </w:tcBorders>
                  <w:vAlign w:val="center"/>
                </w:tcPr>
                <w:p w14:paraId="0E23334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涂装总面积s（万m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p>
              </w:tc>
              <w:tc>
                <w:tcPr>
                  <w:tcW w:w="479" w:type="pct"/>
                  <w:tcBorders>
                    <w:top w:val="single" w:color="auto" w:sz="2" w:space="0"/>
                    <w:left w:val="single" w:color="auto" w:sz="4" w:space="0"/>
                    <w:bottom w:val="single" w:color="auto" w:sz="4" w:space="0"/>
                    <w:right w:val="single" w:color="auto" w:sz="4" w:space="0"/>
                  </w:tcBorders>
                  <w:vAlign w:val="center"/>
                </w:tcPr>
                <w:p w14:paraId="64AF5397">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喷涂次数</w:t>
                  </w:r>
                </w:p>
              </w:tc>
              <w:tc>
                <w:tcPr>
                  <w:tcW w:w="650" w:type="pct"/>
                  <w:tcBorders>
                    <w:top w:val="single" w:color="auto" w:sz="2" w:space="0"/>
                    <w:left w:val="single" w:color="auto" w:sz="4" w:space="0"/>
                    <w:bottom w:val="single" w:color="auto" w:sz="4" w:space="0"/>
                    <w:right w:val="single" w:color="auto" w:sz="4" w:space="0"/>
                  </w:tcBorders>
                  <w:vAlign w:val="center"/>
                </w:tcPr>
                <w:p w14:paraId="0FD3B4EC">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漆中的固体份NV</w:t>
                  </w:r>
                </w:p>
              </w:tc>
              <w:tc>
                <w:tcPr>
                  <w:tcW w:w="517" w:type="pct"/>
                  <w:tcBorders>
                    <w:top w:val="single" w:color="auto" w:sz="2" w:space="0"/>
                    <w:left w:val="single" w:color="auto" w:sz="4" w:space="0"/>
                    <w:bottom w:val="single" w:color="auto" w:sz="4" w:space="0"/>
                    <w:right w:val="single" w:color="auto" w:sz="4" w:space="0"/>
                  </w:tcBorders>
                  <w:vAlign w:val="center"/>
                </w:tcPr>
                <w:p w14:paraId="6B69E7C0">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上漆率ε</w:t>
                  </w:r>
                </w:p>
              </w:tc>
              <w:tc>
                <w:tcPr>
                  <w:tcW w:w="514" w:type="pct"/>
                  <w:tcBorders>
                    <w:top w:val="single" w:color="auto" w:sz="2" w:space="0"/>
                    <w:left w:val="single" w:color="auto" w:sz="4" w:space="0"/>
                    <w:bottom w:val="single" w:color="auto" w:sz="4" w:space="0"/>
                    <w:right w:val="single" w:color="auto" w:sz="2" w:space="0"/>
                  </w:tcBorders>
                  <w:vAlign w:val="center"/>
                </w:tcPr>
                <w:p w14:paraId="10DE251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涂料年用量（t/a）</w:t>
                  </w:r>
                </w:p>
              </w:tc>
            </w:tr>
            <w:tr w14:paraId="3C53FF5A">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76" w:type="pct"/>
                  <w:vMerge w:val="restart"/>
                  <w:tcBorders>
                    <w:top w:val="single" w:color="auto" w:sz="4" w:space="0"/>
                    <w:left w:val="single" w:color="auto" w:sz="2" w:space="0"/>
                    <w:right w:val="single" w:color="auto" w:sz="4" w:space="0"/>
                  </w:tcBorders>
                  <w:vAlign w:val="center"/>
                </w:tcPr>
                <w:p w14:paraId="76B46D54">
                  <w:pPr>
                    <w:pStyle w:val="200"/>
                    <w:spacing w:beforeLines="0" w:afterLines="0" w:line="240" w:lineRule="exact"/>
                    <w:rPr>
                      <w:rFonts w:hint="eastAsia" w:ascii="Times New Roman" w:hAnsi="Times New Roman" w:eastAsia="宋体" w:cs="Times New Roman"/>
                      <w:sz w:val="18"/>
                      <w:szCs w:val="18"/>
                      <w:lang w:eastAsia="zh-CN"/>
                    </w:rPr>
                  </w:pPr>
                  <w:r>
                    <w:rPr>
                      <w:rFonts w:hint="eastAsia" w:ascii="Times New Roman" w:hAnsi="Times New Roman" w:cs="Times New Roman"/>
                      <w:sz w:val="18"/>
                      <w:szCs w:val="18"/>
                      <w:lang w:eastAsia="zh-CN"/>
                    </w:rPr>
                    <w:t>给水设备等</w:t>
                  </w:r>
                </w:p>
              </w:tc>
              <w:tc>
                <w:tcPr>
                  <w:tcW w:w="453" w:type="pct"/>
                  <w:tcBorders>
                    <w:top w:val="single" w:color="auto" w:sz="4" w:space="0"/>
                    <w:left w:val="single" w:color="auto" w:sz="4" w:space="0"/>
                    <w:bottom w:val="single" w:color="auto" w:sz="4" w:space="0"/>
                    <w:right w:val="single" w:color="auto" w:sz="4" w:space="0"/>
                  </w:tcBorders>
                  <w:vAlign w:val="center"/>
                </w:tcPr>
                <w:p w14:paraId="66DBF65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底漆</w:t>
                  </w:r>
                </w:p>
              </w:tc>
              <w:tc>
                <w:tcPr>
                  <w:tcW w:w="636" w:type="pct"/>
                  <w:tcBorders>
                    <w:top w:val="single" w:color="auto" w:sz="4" w:space="0"/>
                    <w:left w:val="single" w:color="auto" w:sz="4" w:space="0"/>
                    <w:bottom w:val="single" w:color="auto" w:sz="4" w:space="0"/>
                    <w:right w:val="single" w:color="auto" w:sz="4" w:space="0"/>
                  </w:tcBorders>
                  <w:vAlign w:val="center"/>
                </w:tcPr>
                <w:p w14:paraId="24F30038">
                  <w:pPr>
                    <w:jc w:val="center"/>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rPr>
                    <w:t>1.</w:t>
                  </w:r>
                  <w:r>
                    <w:rPr>
                      <w:rFonts w:hint="eastAsia" w:ascii="Times New Roman" w:hAnsi="Times New Roman" w:cs="Times New Roman"/>
                      <w:color w:val="000000"/>
                      <w:sz w:val="18"/>
                      <w:szCs w:val="18"/>
                      <w:lang w:val="en-US" w:eastAsia="zh-CN"/>
                    </w:rPr>
                    <w:t>35</w:t>
                  </w:r>
                </w:p>
              </w:tc>
              <w:tc>
                <w:tcPr>
                  <w:tcW w:w="634" w:type="pct"/>
                  <w:tcBorders>
                    <w:top w:val="single" w:color="auto" w:sz="4" w:space="0"/>
                    <w:left w:val="single" w:color="auto" w:sz="4" w:space="0"/>
                    <w:bottom w:val="single" w:color="auto" w:sz="4" w:space="0"/>
                    <w:right w:val="single" w:color="auto" w:sz="4" w:space="0"/>
                  </w:tcBorders>
                  <w:vAlign w:val="center"/>
                </w:tcPr>
                <w:p w14:paraId="56ED863E">
                  <w:pPr>
                    <w:pStyle w:val="200"/>
                    <w:spacing w:beforeLines="0" w:afterLines="0" w:line="240" w:lineRule="exact"/>
                    <w:rPr>
                      <w:rFonts w:hint="default" w:ascii="Times New Roman" w:hAnsi="Times New Roman" w:cs="Times New Roman"/>
                      <w:sz w:val="18"/>
                      <w:szCs w:val="18"/>
                      <w:lang w:val="en-US"/>
                    </w:rPr>
                  </w:pPr>
                  <w:r>
                    <w:rPr>
                      <w:rFonts w:hint="eastAsia" w:ascii="Times New Roman" w:cs="Times New Roman"/>
                      <w:sz w:val="18"/>
                      <w:szCs w:val="18"/>
                      <w:lang w:val="en-US" w:eastAsia="zh-CN"/>
                    </w:rPr>
                    <w:t>60</w:t>
                  </w:r>
                </w:p>
              </w:tc>
              <w:tc>
                <w:tcPr>
                  <w:tcW w:w="636" w:type="pct"/>
                  <w:tcBorders>
                    <w:top w:val="single" w:color="auto" w:sz="4" w:space="0"/>
                    <w:left w:val="single" w:color="auto" w:sz="4" w:space="0"/>
                    <w:bottom w:val="single" w:color="auto" w:sz="4" w:space="0"/>
                    <w:right w:val="single" w:color="auto" w:sz="4" w:space="0"/>
                  </w:tcBorders>
                  <w:vAlign w:val="center"/>
                </w:tcPr>
                <w:p w14:paraId="11407512">
                  <w:pPr>
                    <w:pStyle w:val="200"/>
                    <w:spacing w:beforeLines="0" w:afterLines="0" w:line="240" w:lineRule="exact"/>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0.751</w:t>
                  </w:r>
                </w:p>
              </w:tc>
              <w:tc>
                <w:tcPr>
                  <w:tcW w:w="479" w:type="pct"/>
                  <w:tcBorders>
                    <w:top w:val="single" w:color="auto" w:sz="4" w:space="0"/>
                    <w:left w:val="single" w:color="auto" w:sz="4" w:space="0"/>
                    <w:bottom w:val="single" w:color="auto" w:sz="4" w:space="0"/>
                    <w:right w:val="single" w:color="auto" w:sz="4" w:space="0"/>
                  </w:tcBorders>
                  <w:vAlign w:val="center"/>
                </w:tcPr>
                <w:p w14:paraId="470E940F">
                  <w:pPr>
                    <w:pStyle w:val="200"/>
                    <w:spacing w:beforeLines="0" w:afterLines="0" w:line="240" w:lineRule="exact"/>
                    <w:rPr>
                      <w:rFonts w:hint="eastAsia" w:ascii="Times New Roman" w:hAnsi="Times New Roman" w:eastAsia="宋体" w:cs="Times New Roman"/>
                      <w:sz w:val="18"/>
                      <w:szCs w:val="18"/>
                      <w:lang w:eastAsia="zh-CN"/>
                    </w:rPr>
                  </w:pPr>
                  <w:r>
                    <w:rPr>
                      <w:rFonts w:hint="eastAsia" w:ascii="Times New Roman" w:cs="Times New Roman"/>
                      <w:sz w:val="18"/>
                      <w:szCs w:val="18"/>
                      <w:lang w:val="en-US" w:eastAsia="zh-CN"/>
                    </w:rPr>
                    <w:t>1</w:t>
                  </w:r>
                </w:p>
              </w:tc>
              <w:tc>
                <w:tcPr>
                  <w:tcW w:w="650" w:type="pct"/>
                  <w:tcBorders>
                    <w:top w:val="single" w:color="auto" w:sz="4" w:space="0"/>
                    <w:left w:val="single" w:color="auto" w:sz="4" w:space="0"/>
                    <w:bottom w:val="single" w:color="auto" w:sz="4" w:space="0"/>
                    <w:right w:val="single" w:color="auto" w:sz="4" w:space="0"/>
                  </w:tcBorders>
                  <w:vAlign w:val="center"/>
                </w:tcPr>
                <w:p w14:paraId="7E128777">
                  <w:pPr>
                    <w:pStyle w:val="200"/>
                    <w:spacing w:beforeLines="0" w:afterLines="0" w:line="240" w:lineRule="exact"/>
                    <w:rPr>
                      <w:rFonts w:hint="default" w:ascii="Times New Roman" w:hAnsi="Times New Roman" w:cs="Times New Roman"/>
                      <w:sz w:val="18"/>
                      <w:szCs w:val="18"/>
                    </w:rPr>
                  </w:pPr>
                  <w:r>
                    <w:rPr>
                      <w:rFonts w:hint="eastAsia" w:ascii="Times New Roman" w:hAnsi="Times New Roman" w:cs="Times New Roman"/>
                      <w:sz w:val="18"/>
                      <w:szCs w:val="18"/>
                      <w:lang w:val="en-US" w:eastAsia="zh-CN"/>
                    </w:rPr>
                    <w:t>90</w:t>
                  </w:r>
                  <w:r>
                    <w:rPr>
                      <w:rFonts w:hint="default" w:ascii="Times New Roman" w:hAnsi="Times New Roman" w:cs="Times New Roman"/>
                      <w:sz w:val="18"/>
                      <w:szCs w:val="18"/>
                    </w:rPr>
                    <w:t>.5%</w:t>
                  </w:r>
                </w:p>
              </w:tc>
              <w:tc>
                <w:tcPr>
                  <w:tcW w:w="517" w:type="pct"/>
                  <w:tcBorders>
                    <w:top w:val="single" w:color="auto" w:sz="4" w:space="0"/>
                    <w:left w:val="single" w:color="auto" w:sz="4" w:space="0"/>
                    <w:bottom w:val="single" w:color="auto" w:sz="4" w:space="0"/>
                    <w:right w:val="single" w:color="auto" w:sz="4" w:space="0"/>
                  </w:tcBorders>
                  <w:vAlign w:val="center"/>
                </w:tcPr>
                <w:p w14:paraId="6C89EC9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70%</w:t>
                  </w:r>
                </w:p>
              </w:tc>
              <w:tc>
                <w:tcPr>
                  <w:tcW w:w="514" w:type="pct"/>
                  <w:tcBorders>
                    <w:top w:val="single" w:color="auto" w:sz="4" w:space="0"/>
                    <w:left w:val="single" w:color="auto" w:sz="4" w:space="0"/>
                    <w:bottom w:val="single" w:color="auto" w:sz="4" w:space="0"/>
                    <w:right w:val="single" w:color="auto" w:sz="2" w:space="0"/>
                  </w:tcBorders>
                  <w:vAlign w:val="center"/>
                </w:tcPr>
                <w:p w14:paraId="111C85FD">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 xml:space="preserve">0.96 </w:t>
                  </w:r>
                </w:p>
              </w:tc>
            </w:tr>
            <w:tr w14:paraId="3EC27C2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476" w:type="pct"/>
                  <w:vMerge w:val="continue"/>
                  <w:tcBorders>
                    <w:left w:val="single" w:color="auto" w:sz="2" w:space="0"/>
                    <w:right w:val="single" w:color="auto" w:sz="4" w:space="0"/>
                  </w:tcBorders>
                  <w:vAlign w:val="center"/>
                </w:tcPr>
                <w:p w14:paraId="5A2CF50B">
                  <w:pPr>
                    <w:pStyle w:val="200"/>
                    <w:spacing w:beforeLines="0" w:afterLines="0" w:line="240" w:lineRule="exact"/>
                    <w:rPr>
                      <w:rFonts w:hint="default" w:ascii="Times New Roman" w:hAnsi="Times New Roman" w:cs="Times New Roman"/>
                      <w:sz w:val="18"/>
                      <w:szCs w:val="18"/>
                    </w:rPr>
                  </w:pPr>
                </w:p>
              </w:tc>
              <w:tc>
                <w:tcPr>
                  <w:tcW w:w="453" w:type="pct"/>
                  <w:tcBorders>
                    <w:top w:val="single" w:color="auto" w:sz="4" w:space="0"/>
                    <w:left w:val="single" w:color="auto" w:sz="4" w:space="0"/>
                    <w:bottom w:val="single" w:color="auto" w:sz="4" w:space="0"/>
                    <w:right w:val="single" w:color="auto" w:sz="4" w:space="0"/>
                  </w:tcBorders>
                  <w:vAlign w:val="center"/>
                </w:tcPr>
                <w:p w14:paraId="44E1A0E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面漆</w:t>
                  </w:r>
                </w:p>
              </w:tc>
              <w:tc>
                <w:tcPr>
                  <w:tcW w:w="636" w:type="pct"/>
                  <w:tcBorders>
                    <w:top w:val="single" w:color="auto" w:sz="4" w:space="0"/>
                    <w:left w:val="single" w:color="auto" w:sz="4" w:space="0"/>
                    <w:bottom w:val="single" w:color="auto" w:sz="4" w:space="0"/>
                    <w:right w:val="single" w:color="auto" w:sz="4" w:space="0"/>
                  </w:tcBorders>
                  <w:vAlign w:val="center"/>
                </w:tcPr>
                <w:p w14:paraId="6F4A5D1C">
                  <w:pPr>
                    <w:jc w:val="center"/>
                    <w:rPr>
                      <w:rFonts w:hint="eastAsia"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rPr>
                    <w:t>1.2</w:t>
                  </w:r>
                  <w:r>
                    <w:rPr>
                      <w:rFonts w:hint="eastAsia" w:ascii="Times New Roman" w:hAnsi="Times New Roman" w:cs="Times New Roman"/>
                      <w:color w:val="000000"/>
                      <w:sz w:val="18"/>
                      <w:szCs w:val="18"/>
                      <w:lang w:val="en-US" w:eastAsia="zh-CN"/>
                    </w:rPr>
                    <w:t>5</w:t>
                  </w:r>
                </w:p>
              </w:tc>
              <w:tc>
                <w:tcPr>
                  <w:tcW w:w="634" w:type="pct"/>
                  <w:tcBorders>
                    <w:top w:val="single" w:color="auto" w:sz="4" w:space="0"/>
                    <w:left w:val="single" w:color="auto" w:sz="4" w:space="0"/>
                    <w:bottom w:val="single" w:color="auto" w:sz="4" w:space="0"/>
                    <w:right w:val="single" w:color="auto" w:sz="4" w:space="0"/>
                  </w:tcBorders>
                  <w:vAlign w:val="center"/>
                </w:tcPr>
                <w:p w14:paraId="27611D92">
                  <w:pPr>
                    <w:pStyle w:val="200"/>
                    <w:spacing w:beforeLines="0" w:afterLines="0" w:line="240" w:lineRule="exact"/>
                    <w:rPr>
                      <w:rFonts w:hint="default" w:ascii="Times New Roman" w:hAnsi="Times New Roman" w:cs="Times New Roman"/>
                      <w:sz w:val="18"/>
                      <w:szCs w:val="18"/>
                    </w:rPr>
                  </w:pPr>
                  <w:r>
                    <w:rPr>
                      <w:rFonts w:hint="eastAsia" w:ascii="Times New Roman" w:hAnsi="Times New Roman" w:cs="Times New Roman"/>
                      <w:sz w:val="18"/>
                      <w:szCs w:val="18"/>
                      <w:lang w:val="en-US" w:eastAsia="zh-CN"/>
                    </w:rPr>
                    <w:t>6</w:t>
                  </w:r>
                  <w:r>
                    <w:rPr>
                      <w:rFonts w:hint="default" w:ascii="Times New Roman" w:hAnsi="Times New Roman" w:cs="Times New Roman"/>
                      <w:sz w:val="18"/>
                      <w:szCs w:val="18"/>
                    </w:rPr>
                    <w:t>0</w:t>
                  </w:r>
                </w:p>
              </w:tc>
              <w:tc>
                <w:tcPr>
                  <w:tcW w:w="636" w:type="pct"/>
                  <w:tcBorders>
                    <w:top w:val="single" w:color="auto" w:sz="4" w:space="0"/>
                    <w:left w:val="single" w:color="auto" w:sz="4" w:space="0"/>
                    <w:bottom w:val="single" w:color="auto" w:sz="4" w:space="0"/>
                    <w:right w:val="single" w:color="auto" w:sz="4" w:space="0"/>
                  </w:tcBorders>
                  <w:vAlign w:val="center"/>
                </w:tcPr>
                <w:p w14:paraId="2C848892">
                  <w:pPr>
                    <w:pStyle w:val="200"/>
                    <w:spacing w:beforeLines="0" w:afterLines="0" w:line="240" w:lineRule="exact"/>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0.751</w:t>
                  </w:r>
                </w:p>
              </w:tc>
              <w:tc>
                <w:tcPr>
                  <w:tcW w:w="479" w:type="pct"/>
                  <w:tcBorders>
                    <w:top w:val="single" w:color="auto" w:sz="4" w:space="0"/>
                    <w:left w:val="single" w:color="auto" w:sz="4" w:space="0"/>
                    <w:bottom w:val="single" w:color="auto" w:sz="4" w:space="0"/>
                    <w:right w:val="single" w:color="auto" w:sz="4" w:space="0"/>
                  </w:tcBorders>
                  <w:vAlign w:val="center"/>
                </w:tcPr>
                <w:p w14:paraId="41BCCB1E">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1</w:t>
                  </w:r>
                </w:p>
              </w:tc>
              <w:tc>
                <w:tcPr>
                  <w:tcW w:w="650" w:type="pct"/>
                  <w:tcBorders>
                    <w:top w:val="single" w:color="auto" w:sz="4" w:space="0"/>
                    <w:left w:val="single" w:color="auto" w:sz="4" w:space="0"/>
                    <w:bottom w:val="single" w:color="auto" w:sz="4" w:space="0"/>
                    <w:right w:val="single" w:color="auto" w:sz="4" w:space="0"/>
                  </w:tcBorders>
                  <w:vAlign w:val="center"/>
                </w:tcPr>
                <w:p w14:paraId="3797C287">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9</w:t>
                  </w:r>
                  <w:r>
                    <w:rPr>
                      <w:rFonts w:hint="eastAsia" w:ascii="Times New Roman" w:hAnsi="Times New Roman" w:cs="Times New Roman"/>
                      <w:sz w:val="18"/>
                      <w:szCs w:val="18"/>
                      <w:lang w:val="en-US" w:eastAsia="zh-CN"/>
                    </w:rPr>
                    <w:t>5</w:t>
                  </w:r>
                  <w:r>
                    <w:rPr>
                      <w:rFonts w:hint="default" w:ascii="Times New Roman" w:hAnsi="Times New Roman" w:cs="Times New Roman"/>
                      <w:sz w:val="18"/>
                      <w:szCs w:val="18"/>
                    </w:rPr>
                    <w:t>.5%</w:t>
                  </w:r>
                </w:p>
              </w:tc>
              <w:tc>
                <w:tcPr>
                  <w:tcW w:w="517" w:type="pct"/>
                  <w:tcBorders>
                    <w:top w:val="single" w:color="auto" w:sz="4" w:space="0"/>
                    <w:left w:val="single" w:color="auto" w:sz="4" w:space="0"/>
                    <w:bottom w:val="single" w:color="auto" w:sz="4" w:space="0"/>
                    <w:right w:val="single" w:color="auto" w:sz="4" w:space="0"/>
                  </w:tcBorders>
                  <w:vAlign w:val="center"/>
                </w:tcPr>
                <w:p w14:paraId="4D61A5DB">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70%</w:t>
                  </w:r>
                </w:p>
              </w:tc>
              <w:tc>
                <w:tcPr>
                  <w:tcW w:w="514" w:type="pct"/>
                  <w:tcBorders>
                    <w:top w:val="single" w:color="auto" w:sz="4" w:space="0"/>
                    <w:left w:val="single" w:color="auto" w:sz="4" w:space="0"/>
                    <w:bottom w:val="single" w:color="auto" w:sz="4" w:space="0"/>
                    <w:right w:val="single" w:color="auto" w:sz="2" w:space="0"/>
                  </w:tcBorders>
                  <w:vAlign w:val="center"/>
                </w:tcPr>
                <w:p w14:paraId="3CD9F8AE">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 xml:space="preserve">0.84 </w:t>
                  </w:r>
                </w:p>
              </w:tc>
            </w:tr>
            <w:tr w14:paraId="435B9391">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476" w:type="pct"/>
                  <w:vMerge w:val="continue"/>
                  <w:tcBorders>
                    <w:left w:val="single" w:color="auto" w:sz="2" w:space="0"/>
                    <w:bottom w:val="single" w:color="auto" w:sz="2" w:space="0"/>
                    <w:right w:val="single" w:color="auto" w:sz="4" w:space="0"/>
                  </w:tcBorders>
                  <w:vAlign w:val="center"/>
                </w:tcPr>
                <w:p w14:paraId="60D64103">
                  <w:pPr>
                    <w:pStyle w:val="200"/>
                    <w:spacing w:beforeLines="0" w:afterLines="0" w:line="240" w:lineRule="exact"/>
                    <w:rPr>
                      <w:rFonts w:hint="default" w:ascii="Times New Roman" w:hAnsi="Times New Roman" w:cs="Times New Roman"/>
                      <w:sz w:val="18"/>
                      <w:szCs w:val="18"/>
                    </w:rPr>
                  </w:pPr>
                </w:p>
              </w:tc>
              <w:tc>
                <w:tcPr>
                  <w:tcW w:w="453" w:type="pct"/>
                  <w:tcBorders>
                    <w:top w:val="single" w:color="auto" w:sz="4" w:space="0"/>
                    <w:left w:val="single" w:color="auto" w:sz="4" w:space="0"/>
                    <w:bottom w:val="single" w:color="auto" w:sz="2" w:space="0"/>
                    <w:right w:val="single" w:color="auto" w:sz="4" w:space="0"/>
                  </w:tcBorders>
                  <w:vAlign w:val="center"/>
                </w:tcPr>
                <w:p w14:paraId="1E542C7F">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总计</w:t>
                  </w:r>
                </w:p>
              </w:tc>
              <w:tc>
                <w:tcPr>
                  <w:tcW w:w="636" w:type="pct"/>
                  <w:tcBorders>
                    <w:top w:val="single" w:color="auto" w:sz="4" w:space="0"/>
                    <w:left w:val="single" w:color="auto" w:sz="4" w:space="0"/>
                    <w:bottom w:val="single" w:color="auto" w:sz="2" w:space="0"/>
                    <w:right w:val="single" w:color="auto" w:sz="4" w:space="0"/>
                  </w:tcBorders>
                  <w:vAlign w:val="center"/>
                </w:tcPr>
                <w:p w14:paraId="484F4BE5">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w:t>
                  </w:r>
                </w:p>
              </w:tc>
              <w:tc>
                <w:tcPr>
                  <w:tcW w:w="634" w:type="pct"/>
                  <w:tcBorders>
                    <w:top w:val="single" w:color="auto" w:sz="4" w:space="0"/>
                    <w:left w:val="single" w:color="auto" w:sz="4" w:space="0"/>
                    <w:bottom w:val="single" w:color="auto" w:sz="2" w:space="0"/>
                    <w:right w:val="single" w:color="auto" w:sz="4" w:space="0"/>
                  </w:tcBorders>
                  <w:vAlign w:val="center"/>
                </w:tcPr>
                <w:p w14:paraId="57106B8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w:t>
                  </w:r>
                </w:p>
              </w:tc>
              <w:tc>
                <w:tcPr>
                  <w:tcW w:w="636" w:type="pct"/>
                  <w:tcBorders>
                    <w:top w:val="single" w:color="auto" w:sz="4" w:space="0"/>
                    <w:left w:val="single" w:color="auto" w:sz="4" w:space="0"/>
                    <w:bottom w:val="single" w:color="auto" w:sz="2" w:space="0"/>
                    <w:right w:val="single" w:color="auto" w:sz="4" w:space="0"/>
                  </w:tcBorders>
                  <w:vAlign w:val="center"/>
                </w:tcPr>
                <w:p w14:paraId="15007FFB">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w:t>
                  </w:r>
                </w:p>
              </w:tc>
              <w:tc>
                <w:tcPr>
                  <w:tcW w:w="479" w:type="pct"/>
                  <w:tcBorders>
                    <w:top w:val="single" w:color="auto" w:sz="4" w:space="0"/>
                    <w:left w:val="single" w:color="auto" w:sz="4" w:space="0"/>
                    <w:bottom w:val="single" w:color="auto" w:sz="2" w:space="0"/>
                    <w:right w:val="single" w:color="auto" w:sz="4" w:space="0"/>
                  </w:tcBorders>
                  <w:vAlign w:val="center"/>
                </w:tcPr>
                <w:p w14:paraId="0372060F">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w:t>
                  </w:r>
                </w:p>
              </w:tc>
              <w:tc>
                <w:tcPr>
                  <w:tcW w:w="650" w:type="pct"/>
                  <w:tcBorders>
                    <w:top w:val="single" w:color="auto" w:sz="4" w:space="0"/>
                    <w:left w:val="single" w:color="auto" w:sz="4" w:space="0"/>
                    <w:bottom w:val="single" w:color="auto" w:sz="2" w:space="0"/>
                    <w:right w:val="single" w:color="auto" w:sz="4" w:space="0"/>
                  </w:tcBorders>
                  <w:vAlign w:val="center"/>
                </w:tcPr>
                <w:p w14:paraId="758A206B">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w:t>
                  </w:r>
                </w:p>
              </w:tc>
              <w:tc>
                <w:tcPr>
                  <w:tcW w:w="517" w:type="pct"/>
                  <w:tcBorders>
                    <w:top w:val="single" w:color="auto" w:sz="4" w:space="0"/>
                    <w:left w:val="single" w:color="auto" w:sz="4" w:space="0"/>
                    <w:bottom w:val="single" w:color="auto" w:sz="2" w:space="0"/>
                    <w:right w:val="single" w:color="auto" w:sz="4" w:space="0"/>
                  </w:tcBorders>
                  <w:vAlign w:val="center"/>
                </w:tcPr>
                <w:p w14:paraId="74A252C4">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w:t>
                  </w:r>
                </w:p>
              </w:tc>
              <w:tc>
                <w:tcPr>
                  <w:tcW w:w="514" w:type="pct"/>
                  <w:tcBorders>
                    <w:top w:val="single" w:color="auto" w:sz="4" w:space="0"/>
                    <w:left w:val="single" w:color="auto" w:sz="4" w:space="0"/>
                    <w:bottom w:val="single" w:color="auto" w:sz="2" w:space="0"/>
                    <w:right w:val="single" w:color="auto" w:sz="2" w:space="0"/>
                  </w:tcBorders>
                  <w:vAlign w:val="center"/>
                </w:tcPr>
                <w:p w14:paraId="4E8B7A95">
                  <w:pPr>
                    <w:pStyle w:val="200"/>
                    <w:spacing w:beforeLines="0" w:afterLines="0" w:line="240" w:lineRule="exact"/>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1.8</w:t>
                  </w:r>
                </w:p>
              </w:tc>
            </w:tr>
          </w:tbl>
          <w:p w14:paraId="24865743">
            <w:pPr>
              <w:pStyle w:val="1041"/>
              <w:spacing w:line="360" w:lineRule="auto"/>
              <w:ind w:firstLine="31680"/>
              <w:rPr>
                <w:rFonts w:hint="eastAsia" w:ascii="宋体" w:hAnsi="宋体" w:eastAsia="宋体" w:cs="宋体"/>
                <w:b/>
                <w:bCs w:val="0"/>
                <w:szCs w:val="21"/>
              </w:rPr>
            </w:pPr>
            <w:r>
              <w:rPr>
                <w:rFonts w:hint="eastAsia" w:ascii="宋体" w:hAnsi="宋体" w:eastAsia="宋体" w:cs="宋体"/>
                <w:b/>
                <w:bCs w:val="0"/>
                <w:szCs w:val="21"/>
              </w:rPr>
              <w:t>2）稀释剂的用量核算</w:t>
            </w:r>
          </w:p>
          <w:p w14:paraId="3C2DB98E">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本项目底漆与稀释剂的使用比例为1:0.</w:t>
            </w:r>
            <w:r>
              <w:rPr>
                <w:rFonts w:hint="default" w:ascii="Times New Roman" w:hAnsi="Times New Roman" w:cs="Times New Roman"/>
                <w:szCs w:val="21"/>
                <w:lang w:val="en-US" w:eastAsia="zh-CN"/>
              </w:rPr>
              <w:t>4</w:t>
            </w:r>
            <w:r>
              <w:rPr>
                <w:rFonts w:hint="default" w:ascii="Times New Roman" w:hAnsi="Times New Roman" w:cs="Times New Roman"/>
                <w:szCs w:val="21"/>
              </w:rPr>
              <w:t>，面漆与稀释剂的使用比例为1:0.</w:t>
            </w:r>
            <w:r>
              <w:rPr>
                <w:rFonts w:hint="default" w:ascii="Times New Roman" w:hAnsi="Times New Roman" w:cs="Times New Roman"/>
                <w:szCs w:val="21"/>
                <w:lang w:val="en-US" w:eastAsia="zh-CN"/>
              </w:rPr>
              <w:t>4</w:t>
            </w:r>
            <w:r>
              <w:rPr>
                <w:rFonts w:hint="default" w:ascii="Times New Roman" w:hAnsi="Times New Roman" w:cs="Times New Roman"/>
                <w:szCs w:val="21"/>
              </w:rPr>
              <w:t>，</w:t>
            </w:r>
            <w:r>
              <w:rPr>
                <w:rFonts w:hint="eastAsia" w:ascii="Times New Roman" w:hAnsi="Times New Roman" w:cs="Times New Roman"/>
                <w:szCs w:val="21"/>
                <w:lang w:eastAsia="zh-CN"/>
              </w:rPr>
              <w:t>项目底漆、面漆全部使用</w:t>
            </w:r>
            <w:r>
              <w:rPr>
                <w:rFonts w:hint="eastAsia" w:ascii="Times New Roman" w:hAnsi="Times New Roman" w:cs="Times New Roman"/>
                <w:szCs w:val="21"/>
                <w:lang w:val="en-US" w:eastAsia="zh-CN"/>
              </w:rPr>
              <w:t>200#溶剂型稀释剂。</w:t>
            </w:r>
            <w:r>
              <w:rPr>
                <w:rFonts w:hint="default" w:ascii="Times New Roman" w:hAnsi="Times New Roman" w:cs="Times New Roman"/>
                <w:szCs w:val="21"/>
              </w:rPr>
              <w:t>根据表2-10</w:t>
            </w:r>
            <w:r>
              <w:rPr>
                <w:rFonts w:hint="eastAsia" w:ascii="Times New Roman" w:hAnsi="Times New Roman" w:cs="Times New Roman"/>
                <w:szCs w:val="21"/>
                <w:lang w:eastAsia="zh-CN"/>
              </w:rPr>
              <w:t>数据</w:t>
            </w:r>
            <w:r>
              <w:rPr>
                <w:rFonts w:hint="default" w:ascii="Times New Roman" w:hAnsi="Times New Roman" w:cs="Times New Roman"/>
                <w:szCs w:val="21"/>
                <w:lang w:eastAsia="zh-CN"/>
              </w:rPr>
              <w:t>，</w:t>
            </w:r>
            <w:r>
              <w:rPr>
                <w:rFonts w:hint="default" w:ascii="Times New Roman" w:hAnsi="Times New Roman" w:cs="Times New Roman"/>
                <w:szCs w:val="21"/>
              </w:rPr>
              <w:t>本项目稀释剂使用情况见表2-11。</w:t>
            </w:r>
          </w:p>
          <w:p w14:paraId="198A4D97">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表2-1</w:t>
            </w:r>
            <w:r>
              <w:rPr>
                <w:rFonts w:hint="eastAsia" w:ascii="宋体" w:hAnsi="宋体" w:eastAsia="宋体" w:cs="宋体"/>
                <w:b/>
                <w:bCs/>
                <w:lang w:val="en-US" w:eastAsia="zh-CN"/>
              </w:rPr>
              <w:t>3</w:t>
            </w:r>
            <w:r>
              <w:rPr>
                <w:rFonts w:hint="eastAsia" w:ascii="宋体" w:hAnsi="宋体" w:eastAsia="宋体" w:cs="宋体"/>
                <w:b/>
                <w:bCs/>
                <w:lang w:val="de-DE"/>
              </w:rPr>
              <w:t xml:space="preserve">  稀释剂用量计算参数一览表</w:t>
            </w:r>
          </w:p>
          <w:tbl>
            <w:tblPr>
              <w:tblStyle w:val="81"/>
              <w:tblW w:w="4992"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2045"/>
              <w:gridCol w:w="1944"/>
              <w:gridCol w:w="2208"/>
              <w:gridCol w:w="2209"/>
            </w:tblGrid>
            <w:tr w14:paraId="1609C95C">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1216" w:type="pct"/>
                  <w:tcBorders>
                    <w:top w:val="single" w:color="auto" w:sz="2" w:space="0"/>
                    <w:left w:val="single" w:color="auto" w:sz="2" w:space="0"/>
                    <w:bottom w:val="single" w:color="auto" w:sz="4" w:space="0"/>
                    <w:right w:val="single" w:color="auto" w:sz="4" w:space="0"/>
                  </w:tcBorders>
                  <w:vAlign w:val="center"/>
                </w:tcPr>
                <w:p w14:paraId="184AE7D4">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产品</w:t>
                  </w:r>
                </w:p>
              </w:tc>
              <w:tc>
                <w:tcPr>
                  <w:tcW w:w="1156" w:type="pct"/>
                  <w:tcBorders>
                    <w:top w:val="single" w:color="auto" w:sz="2" w:space="0"/>
                    <w:left w:val="single" w:color="auto" w:sz="4" w:space="0"/>
                    <w:bottom w:val="single" w:color="auto" w:sz="4" w:space="0"/>
                    <w:right w:val="single" w:color="auto" w:sz="4" w:space="0"/>
                  </w:tcBorders>
                  <w:vAlign w:val="center"/>
                </w:tcPr>
                <w:p w14:paraId="5101B392">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涂装工序</w:t>
                  </w:r>
                </w:p>
              </w:tc>
              <w:tc>
                <w:tcPr>
                  <w:tcW w:w="1313" w:type="pct"/>
                  <w:tcBorders>
                    <w:top w:val="single" w:color="auto" w:sz="2" w:space="0"/>
                    <w:left w:val="single" w:color="auto" w:sz="4" w:space="0"/>
                    <w:bottom w:val="single" w:color="auto" w:sz="4" w:space="0"/>
                    <w:right w:val="single" w:color="auto" w:sz="4" w:space="0"/>
                  </w:tcBorders>
                  <w:vAlign w:val="center"/>
                </w:tcPr>
                <w:p w14:paraId="59271D0B">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涂料年用量（t/a）</w:t>
                  </w:r>
                </w:p>
              </w:tc>
              <w:tc>
                <w:tcPr>
                  <w:tcW w:w="1313" w:type="pct"/>
                  <w:tcBorders>
                    <w:top w:val="single" w:color="auto" w:sz="2" w:space="0"/>
                    <w:left w:val="single" w:color="auto" w:sz="4" w:space="0"/>
                    <w:bottom w:val="single" w:color="auto" w:sz="4" w:space="0"/>
                    <w:right w:val="single" w:color="auto" w:sz="2" w:space="0"/>
                  </w:tcBorders>
                  <w:vAlign w:val="center"/>
                </w:tcPr>
                <w:p w14:paraId="06F19614">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稀释剂用量（t/a）</w:t>
                  </w:r>
                </w:p>
              </w:tc>
            </w:tr>
            <w:tr w14:paraId="7EDE9CA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1216" w:type="pct"/>
                  <w:vMerge w:val="restart"/>
                  <w:tcBorders>
                    <w:top w:val="single" w:color="auto" w:sz="4" w:space="0"/>
                    <w:left w:val="single" w:color="auto" w:sz="2" w:space="0"/>
                    <w:bottom w:val="single" w:color="auto" w:sz="4" w:space="0"/>
                    <w:right w:val="single" w:color="auto" w:sz="4" w:space="0"/>
                  </w:tcBorders>
                  <w:vAlign w:val="center"/>
                </w:tcPr>
                <w:p w14:paraId="6702B687">
                  <w:pPr>
                    <w:pStyle w:val="200"/>
                    <w:spacing w:beforeLines="0" w:afterLines="0" w:line="240" w:lineRule="exact"/>
                    <w:rPr>
                      <w:rFonts w:hint="default" w:ascii="Times New Roman" w:hAnsi="Times New Roman" w:cs="Times New Roman"/>
                      <w:sz w:val="18"/>
                      <w:szCs w:val="18"/>
                    </w:rPr>
                  </w:pPr>
                  <w:r>
                    <w:rPr>
                      <w:rFonts w:hint="eastAsia" w:ascii="Times New Roman" w:hAnsi="Times New Roman" w:cs="Times New Roman"/>
                      <w:sz w:val="18"/>
                      <w:szCs w:val="18"/>
                      <w:lang w:eastAsia="zh-CN"/>
                    </w:rPr>
                    <w:t>给水设备等</w:t>
                  </w:r>
                </w:p>
              </w:tc>
              <w:tc>
                <w:tcPr>
                  <w:tcW w:w="1156" w:type="pct"/>
                  <w:tcBorders>
                    <w:top w:val="single" w:color="auto" w:sz="4" w:space="0"/>
                    <w:left w:val="single" w:color="auto" w:sz="4" w:space="0"/>
                    <w:bottom w:val="single" w:color="auto" w:sz="4" w:space="0"/>
                    <w:right w:val="single" w:color="auto" w:sz="4" w:space="0"/>
                  </w:tcBorders>
                  <w:vAlign w:val="center"/>
                </w:tcPr>
                <w:p w14:paraId="42F6C127">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底涂</w:t>
                  </w:r>
                </w:p>
              </w:tc>
              <w:tc>
                <w:tcPr>
                  <w:tcW w:w="2207" w:type="dxa"/>
                  <w:tcBorders>
                    <w:top w:val="single" w:color="auto" w:sz="4" w:space="0"/>
                    <w:left w:val="single" w:color="auto" w:sz="4" w:space="0"/>
                    <w:bottom w:val="single" w:color="auto" w:sz="4" w:space="0"/>
                    <w:right w:val="single" w:color="auto" w:sz="4" w:space="0"/>
                  </w:tcBorders>
                  <w:vAlign w:val="center"/>
                </w:tcPr>
                <w:p w14:paraId="066B0B24">
                  <w:pPr>
                    <w:keepNext w:val="0"/>
                    <w:keepLines w:val="0"/>
                    <w:widowControl/>
                    <w:suppressLineNumbers w:val="0"/>
                    <w:jc w:val="center"/>
                    <w:textAlignment w:val="center"/>
                    <w:rPr>
                      <w:rFonts w:hint="default" w:ascii="Times New Roman" w:hAnsi="Times New Roman" w:cs="Times New Roman"/>
                      <w:sz w:val="18"/>
                      <w:szCs w:val="18"/>
                    </w:rPr>
                  </w:pPr>
                  <w:r>
                    <w:rPr>
                      <w:rFonts w:hint="default" w:ascii="Times New Roman" w:hAnsi="Times New Roman" w:eastAsia="宋体" w:cs="Times New Roman"/>
                      <w:i w:val="0"/>
                      <w:iCs w:val="0"/>
                      <w:color w:val="000000"/>
                      <w:kern w:val="0"/>
                      <w:sz w:val="18"/>
                      <w:szCs w:val="18"/>
                      <w:u w:val="none"/>
                      <w:lang w:val="en-US" w:eastAsia="zh-CN" w:bidi="ar"/>
                    </w:rPr>
                    <w:t xml:space="preserve">0.96 </w:t>
                  </w:r>
                </w:p>
              </w:tc>
              <w:tc>
                <w:tcPr>
                  <w:tcW w:w="1313" w:type="pct"/>
                  <w:tcBorders>
                    <w:top w:val="single" w:color="auto" w:sz="4" w:space="0"/>
                    <w:left w:val="single" w:color="auto" w:sz="4" w:space="0"/>
                    <w:bottom w:val="single" w:color="auto" w:sz="4" w:space="0"/>
                    <w:right w:val="single" w:color="auto" w:sz="2" w:space="0"/>
                  </w:tcBorders>
                  <w:vAlign w:val="center"/>
                </w:tcPr>
                <w:p w14:paraId="642CCF14">
                  <w:pPr>
                    <w:pStyle w:val="200"/>
                    <w:spacing w:beforeLines="0" w:afterLines="0" w:line="240" w:lineRule="exact"/>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rPr>
                    <w:t>0.</w:t>
                  </w:r>
                  <w:r>
                    <w:rPr>
                      <w:rFonts w:hint="eastAsia" w:ascii="Times New Roman" w:hAnsi="Times New Roman" w:cs="Times New Roman"/>
                      <w:color w:val="000000"/>
                      <w:sz w:val="18"/>
                      <w:szCs w:val="18"/>
                      <w:lang w:val="en-US" w:eastAsia="zh-CN"/>
                    </w:rPr>
                    <w:t>384</w:t>
                  </w:r>
                </w:p>
              </w:tc>
            </w:tr>
            <w:tr w14:paraId="40CBE104">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1216" w:type="pct"/>
                  <w:vMerge w:val="continue"/>
                  <w:tcBorders>
                    <w:top w:val="single" w:color="auto" w:sz="4" w:space="0"/>
                    <w:left w:val="single" w:color="auto" w:sz="2" w:space="0"/>
                    <w:bottom w:val="single" w:color="auto" w:sz="4" w:space="0"/>
                    <w:right w:val="single" w:color="auto" w:sz="4" w:space="0"/>
                  </w:tcBorders>
                  <w:vAlign w:val="center"/>
                </w:tcPr>
                <w:p w14:paraId="42F93C82">
                  <w:pPr>
                    <w:pStyle w:val="200"/>
                    <w:spacing w:beforeLines="0" w:afterLines="0" w:line="240" w:lineRule="exact"/>
                    <w:rPr>
                      <w:rFonts w:hint="default" w:ascii="Times New Roman" w:hAnsi="Times New Roman" w:cs="Times New Roman"/>
                      <w:sz w:val="18"/>
                      <w:szCs w:val="18"/>
                    </w:rPr>
                  </w:pPr>
                </w:p>
              </w:tc>
              <w:tc>
                <w:tcPr>
                  <w:tcW w:w="1156" w:type="pct"/>
                  <w:tcBorders>
                    <w:top w:val="single" w:color="auto" w:sz="4" w:space="0"/>
                    <w:left w:val="single" w:color="auto" w:sz="4" w:space="0"/>
                    <w:bottom w:val="single" w:color="auto" w:sz="4" w:space="0"/>
                    <w:right w:val="single" w:color="auto" w:sz="4" w:space="0"/>
                  </w:tcBorders>
                  <w:vAlign w:val="center"/>
                </w:tcPr>
                <w:p w14:paraId="56BED59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面涂</w:t>
                  </w:r>
                </w:p>
              </w:tc>
              <w:tc>
                <w:tcPr>
                  <w:tcW w:w="2207" w:type="dxa"/>
                  <w:tcBorders>
                    <w:top w:val="single" w:color="auto" w:sz="4" w:space="0"/>
                    <w:left w:val="single" w:color="auto" w:sz="4" w:space="0"/>
                    <w:bottom w:val="single" w:color="auto" w:sz="4" w:space="0"/>
                    <w:right w:val="single" w:color="auto" w:sz="4" w:space="0"/>
                  </w:tcBorders>
                  <w:vAlign w:val="center"/>
                </w:tcPr>
                <w:p w14:paraId="43A02BFF">
                  <w:pPr>
                    <w:keepNext w:val="0"/>
                    <w:keepLines w:val="0"/>
                    <w:widowControl/>
                    <w:suppressLineNumbers w:val="0"/>
                    <w:jc w:val="center"/>
                    <w:textAlignment w:val="center"/>
                    <w:rPr>
                      <w:rFonts w:hint="default" w:ascii="Times New Roman" w:hAnsi="Times New Roman" w:cs="Times New Roman"/>
                      <w:sz w:val="18"/>
                      <w:szCs w:val="18"/>
                    </w:rPr>
                  </w:pPr>
                  <w:r>
                    <w:rPr>
                      <w:rFonts w:hint="default" w:ascii="Times New Roman" w:hAnsi="Times New Roman" w:eastAsia="宋体" w:cs="Times New Roman"/>
                      <w:i w:val="0"/>
                      <w:iCs w:val="0"/>
                      <w:color w:val="000000"/>
                      <w:kern w:val="0"/>
                      <w:sz w:val="18"/>
                      <w:szCs w:val="18"/>
                      <w:u w:val="none"/>
                      <w:lang w:val="en-US" w:eastAsia="zh-CN" w:bidi="ar"/>
                    </w:rPr>
                    <w:t xml:space="preserve">0.84 </w:t>
                  </w:r>
                </w:p>
              </w:tc>
              <w:tc>
                <w:tcPr>
                  <w:tcW w:w="1313" w:type="pct"/>
                  <w:tcBorders>
                    <w:top w:val="single" w:color="auto" w:sz="4" w:space="0"/>
                    <w:left w:val="single" w:color="auto" w:sz="4" w:space="0"/>
                    <w:bottom w:val="single" w:color="auto" w:sz="4" w:space="0"/>
                    <w:right w:val="single" w:color="auto" w:sz="2" w:space="0"/>
                  </w:tcBorders>
                  <w:vAlign w:val="center"/>
                </w:tcPr>
                <w:p w14:paraId="7BAE73CC">
                  <w:pPr>
                    <w:pStyle w:val="200"/>
                    <w:spacing w:beforeLines="0" w:afterLines="0" w:line="240" w:lineRule="exact"/>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rPr>
                    <w:t>0.</w:t>
                  </w:r>
                  <w:r>
                    <w:rPr>
                      <w:rFonts w:hint="eastAsia" w:ascii="Times New Roman" w:hAnsi="Times New Roman" w:cs="Times New Roman"/>
                      <w:color w:val="000000"/>
                      <w:sz w:val="18"/>
                      <w:szCs w:val="18"/>
                      <w:lang w:val="en-US" w:eastAsia="zh-CN"/>
                    </w:rPr>
                    <w:t>336</w:t>
                  </w:r>
                </w:p>
              </w:tc>
            </w:tr>
            <w:tr w14:paraId="464928DE">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2372" w:type="pct"/>
                  <w:gridSpan w:val="2"/>
                  <w:tcBorders>
                    <w:top w:val="single" w:color="auto" w:sz="4" w:space="0"/>
                    <w:left w:val="single" w:color="auto" w:sz="2" w:space="0"/>
                    <w:bottom w:val="single" w:color="auto" w:sz="4" w:space="0"/>
                    <w:right w:val="single" w:color="auto" w:sz="4" w:space="0"/>
                  </w:tcBorders>
                  <w:vAlign w:val="center"/>
                </w:tcPr>
                <w:p w14:paraId="46EA1FA7">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小计</w:t>
                  </w:r>
                </w:p>
              </w:tc>
              <w:tc>
                <w:tcPr>
                  <w:tcW w:w="2207" w:type="dxa"/>
                  <w:tcBorders>
                    <w:top w:val="single" w:color="auto" w:sz="4" w:space="0"/>
                    <w:left w:val="single" w:color="auto" w:sz="4" w:space="0"/>
                    <w:bottom w:val="single" w:color="auto" w:sz="4" w:space="0"/>
                    <w:right w:val="single" w:color="auto" w:sz="4" w:space="0"/>
                  </w:tcBorders>
                  <w:vAlign w:val="center"/>
                </w:tcPr>
                <w:p w14:paraId="7F20C23A">
                  <w:pPr>
                    <w:pStyle w:val="200"/>
                    <w:spacing w:beforeLines="0" w:afterLines="0" w:line="240" w:lineRule="exact"/>
                    <w:rPr>
                      <w:rFonts w:hint="default" w:ascii="Times New Roman" w:hAnsi="Times New Roman" w:eastAsia="宋体" w:cs="Times New Roman"/>
                      <w:color w:val="000000"/>
                      <w:kern w:val="0"/>
                      <w:sz w:val="18"/>
                      <w:szCs w:val="18"/>
                      <w:lang w:val="en-US" w:eastAsia="zh-CN" w:bidi="ar-SA"/>
                    </w:rPr>
                  </w:pPr>
                  <w:r>
                    <w:rPr>
                      <w:rFonts w:hint="eastAsia" w:ascii="Times New Roman" w:hAnsi="Times New Roman" w:cs="Times New Roman"/>
                      <w:sz w:val="18"/>
                      <w:szCs w:val="18"/>
                      <w:lang w:val="en-US" w:eastAsia="zh-CN"/>
                    </w:rPr>
                    <w:t>1.8</w:t>
                  </w:r>
                </w:p>
              </w:tc>
              <w:tc>
                <w:tcPr>
                  <w:tcW w:w="1313" w:type="pct"/>
                  <w:tcBorders>
                    <w:top w:val="single" w:color="auto" w:sz="4" w:space="0"/>
                    <w:left w:val="single" w:color="auto" w:sz="4" w:space="0"/>
                    <w:bottom w:val="single" w:color="auto" w:sz="4" w:space="0"/>
                    <w:right w:val="single" w:color="auto" w:sz="2" w:space="0"/>
                  </w:tcBorders>
                  <w:vAlign w:val="center"/>
                </w:tcPr>
                <w:p w14:paraId="02FBEEA1">
                  <w:pPr>
                    <w:pStyle w:val="200"/>
                    <w:spacing w:beforeLines="0" w:afterLines="0" w:line="240" w:lineRule="exact"/>
                    <w:rPr>
                      <w:rFonts w:hint="default" w:ascii="Times New Roman" w:hAnsi="Times New Roman" w:cs="Times New Roman"/>
                      <w:color w:val="000000"/>
                      <w:sz w:val="18"/>
                      <w:szCs w:val="18"/>
                      <w:lang w:val="en-US"/>
                    </w:rPr>
                  </w:pPr>
                  <w:r>
                    <w:rPr>
                      <w:rFonts w:hint="eastAsia" w:ascii="Times New Roman" w:hAnsi="Times New Roman" w:cs="Times New Roman"/>
                      <w:color w:val="000000"/>
                      <w:sz w:val="18"/>
                      <w:szCs w:val="18"/>
                      <w:lang w:val="en-US" w:eastAsia="zh-CN"/>
                    </w:rPr>
                    <w:t>0.72</w:t>
                  </w:r>
                </w:p>
              </w:tc>
            </w:tr>
          </w:tbl>
          <w:p w14:paraId="524B70F1">
            <w:pPr>
              <w:pStyle w:val="1041"/>
              <w:spacing w:line="360" w:lineRule="auto"/>
              <w:ind w:firstLine="31680"/>
              <w:rPr>
                <w:rFonts w:hint="eastAsia" w:ascii="宋体" w:hAnsi="宋体" w:eastAsia="宋体" w:cs="宋体"/>
                <w:b/>
                <w:bCs w:val="0"/>
                <w:szCs w:val="21"/>
              </w:rPr>
            </w:pPr>
            <w:r>
              <w:rPr>
                <w:rFonts w:hint="eastAsia" w:ascii="宋体" w:hAnsi="宋体" w:eastAsia="宋体" w:cs="宋体"/>
                <w:b/>
                <w:bCs w:val="0"/>
                <w:szCs w:val="21"/>
              </w:rPr>
              <w:t>3）物料平衡</w:t>
            </w:r>
          </w:p>
          <w:p w14:paraId="10A3B227">
            <w:pPr>
              <w:spacing w:line="360" w:lineRule="auto"/>
              <w:ind w:firstLine="420" w:firstLineChars="200"/>
              <w:jc w:val="both"/>
              <w:outlineLvl w:val="0"/>
              <w:rPr>
                <w:rFonts w:hint="eastAsia" w:ascii="黑体" w:hAnsi="黑体" w:eastAsia="黑体" w:cs="黑体"/>
                <w:b w:val="0"/>
                <w:bCs w:val="0"/>
                <w:sz w:val="21"/>
                <w:szCs w:val="21"/>
                <w:highlight w:val="none"/>
              </w:rPr>
            </w:pPr>
            <w:r>
              <w:rPr>
                <w:rFonts w:hint="eastAsia" w:cs="Times New Roman"/>
                <w:sz w:val="21"/>
                <w:szCs w:val="21"/>
                <w:lang w:eastAsia="zh-CN"/>
              </w:rPr>
              <w:t>油性漆中</w:t>
            </w:r>
            <w:r>
              <w:rPr>
                <w:rFonts w:hint="eastAsia" w:cs="Times New Roman"/>
                <w:sz w:val="21"/>
                <w:szCs w:val="21"/>
                <w:lang w:val="en-US" w:eastAsia="zh-CN"/>
              </w:rPr>
              <w:t>VOCs含量</w:t>
            </w:r>
            <w:r>
              <w:rPr>
                <w:rFonts w:hint="eastAsia" w:cs="Times New Roman"/>
                <w:sz w:val="21"/>
                <w:szCs w:val="21"/>
                <w:lang w:eastAsia="zh-CN"/>
              </w:rPr>
              <w:t>按挥发性有机溶剂全部挥发计，稀释剂中</w:t>
            </w:r>
            <w:r>
              <w:rPr>
                <w:rFonts w:hint="eastAsia" w:cs="Times New Roman"/>
                <w:sz w:val="21"/>
                <w:szCs w:val="21"/>
                <w:lang w:val="en-US" w:eastAsia="zh-CN"/>
              </w:rPr>
              <w:t>VOCs含量</w:t>
            </w:r>
            <w:r>
              <w:rPr>
                <w:rFonts w:hint="eastAsia" w:cs="Times New Roman"/>
                <w:sz w:val="21"/>
                <w:szCs w:val="21"/>
                <w:lang w:eastAsia="zh-CN"/>
              </w:rPr>
              <w:t>按挥发性有机溶剂全部挥发计，项目油性漆、稀释剂挥发性有机物及固形物占比如下表：</w:t>
            </w:r>
          </w:p>
          <w:p w14:paraId="5B43E49A">
            <w:pPr>
              <w:spacing w:line="360" w:lineRule="auto"/>
              <w:ind w:firstLine="422" w:firstLineChars="200"/>
              <w:jc w:val="center"/>
              <w:outlineLvl w:val="0"/>
              <w:rPr>
                <w:rFonts w:hint="eastAsia" w:ascii="宋体" w:hAnsi="宋体" w:eastAsia="宋体" w:cs="宋体"/>
                <w:b/>
                <w:bCs/>
                <w:sz w:val="21"/>
                <w:szCs w:val="21"/>
                <w:highlight w:val="none"/>
              </w:rPr>
            </w:pPr>
            <w:r>
              <w:rPr>
                <w:rFonts w:hint="eastAsia" w:ascii="宋体" w:hAnsi="宋体" w:eastAsia="宋体" w:cs="宋体"/>
                <w:b/>
                <w:bCs/>
                <w:sz w:val="21"/>
                <w:szCs w:val="21"/>
                <w:highlight w:val="none"/>
              </w:rPr>
              <w:t xml:space="preserve">表 </w:t>
            </w:r>
            <w:r>
              <w:rPr>
                <w:rFonts w:hint="eastAsia" w:ascii="宋体" w:hAnsi="宋体" w:eastAsia="宋体" w:cs="宋体"/>
                <w:b/>
                <w:bCs/>
                <w:sz w:val="21"/>
                <w:szCs w:val="21"/>
                <w:highlight w:val="none"/>
                <w:lang w:val="en-US" w:eastAsia="zh-CN"/>
              </w:rPr>
              <w:t>2-14</w:t>
            </w:r>
            <w:r>
              <w:rPr>
                <w:rFonts w:hint="eastAsia" w:ascii="宋体" w:hAnsi="宋体" w:eastAsia="宋体" w:cs="宋体"/>
                <w:b/>
                <w:bCs/>
                <w:sz w:val="21"/>
                <w:szCs w:val="21"/>
                <w:highlight w:val="none"/>
              </w:rPr>
              <w:t>原料油漆和稀释剂固形物、挥发性有机</w:t>
            </w:r>
            <w:r>
              <w:rPr>
                <w:rFonts w:hint="eastAsia" w:ascii="宋体" w:hAnsi="宋体" w:eastAsia="宋体" w:cs="宋体"/>
                <w:b/>
                <w:bCs/>
                <w:sz w:val="21"/>
                <w:szCs w:val="21"/>
                <w:highlight w:val="none"/>
                <w:lang w:eastAsia="zh-CN"/>
              </w:rPr>
              <w:t>物</w:t>
            </w:r>
            <w:r>
              <w:rPr>
                <w:rFonts w:hint="eastAsia" w:ascii="宋体" w:hAnsi="宋体" w:eastAsia="宋体" w:cs="宋体"/>
                <w:b/>
                <w:bCs/>
                <w:sz w:val="21"/>
                <w:szCs w:val="21"/>
                <w:highlight w:val="none"/>
              </w:rPr>
              <w:t>占比一览表</w:t>
            </w:r>
          </w:p>
          <w:tbl>
            <w:tblPr>
              <w:tblStyle w:val="82"/>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12"/>
              <w:gridCol w:w="4546"/>
              <w:gridCol w:w="2656"/>
            </w:tblGrid>
            <w:tr w14:paraId="7FFC0A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noWrap w:val="0"/>
                  <w:vAlign w:val="center"/>
                </w:tcPr>
                <w:p w14:paraId="5161B29F">
                  <w:pPr>
                    <w:spacing w:line="240" w:lineRule="auto"/>
                    <w:jc w:val="center"/>
                    <w:outlineLvl w:val="0"/>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3620" w:type="dxa"/>
                  <w:noWrap w:val="0"/>
                  <w:vAlign w:val="center"/>
                </w:tcPr>
                <w:p w14:paraId="2A640E8D">
                  <w:pPr>
                    <w:spacing w:line="240" w:lineRule="auto"/>
                    <w:jc w:val="center"/>
                    <w:outlineLvl w:val="0"/>
                    <w:rPr>
                      <w:rFonts w:hint="default" w:ascii="Times New Roman" w:hAnsi="Times New Roman" w:cs="Times New Roman"/>
                      <w:b/>
                      <w:bCs/>
                      <w:sz w:val="18"/>
                      <w:szCs w:val="18"/>
                    </w:rPr>
                  </w:pPr>
                  <w:r>
                    <w:rPr>
                      <w:rFonts w:hint="default" w:ascii="Times New Roman" w:hAnsi="Times New Roman" w:cs="Times New Roman"/>
                      <w:b/>
                      <w:bCs/>
                      <w:sz w:val="18"/>
                      <w:szCs w:val="18"/>
                    </w:rPr>
                    <w:t>组成</w:t>
                  </w:r>
                </w:p>
              </w:tc>
              <w:tc>
                <w:tcPr>
                  <w:tcW w:w="2115" w:type="dxa"/>
                  <w:noWrap w:val="0"/>
                  <w:vAlign w:val="center"/>
                </w:tcPr>
                <w:p w14:paraId="5EF9F001">
                  <w:pPr>
                    <w:spacing w:line="240" w:lineRule="auto"/>
                    <w:jc w:val="center"/>
                    <w:outlineLvl w:val="0"/>
                    <w:rPr>
                      <w:rFonts w:hint="default" w:ascii="Times New Roman" w:hAnsi="Times New Roman" w:cs="Times New Roman"/>
                      <w:b/>
                      <w:bCs/>
                      <w:sz w:val="18"/>
                      <w:szCs w:val="18"/>
                    </w:rPr>
                  </w:pPr>
                  <w:r>
                    <w:rPr>
                      <w:rFonts w:hint="default" w:ascii="Times New Roman" w:hAnsi="Times New Roman" w:cs="Times New Roman"/>
                      <w:b/>
                      <w:bCs/>
                      <w:sz w:val="18"/>
                      <w:szCs w:val="18"/>
                    </w:rPr>
                    <w:t>百分比（%）</w:t>
                  </w:r>
                </w:p>
              </w:tc>
            </w:tr>
            <w:tr w14:paraId="760DB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vMerge w:val="restart"/>
                  <w:noWrap w:val="0"/>
                  <w:vAlign w:val="center"/>
                </w:tcPr>
                <w:p w14:paraId="2631001F">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面漆</w:t>
                  </w:r>
                </w:p>
              </w:tc>
              <w:tc>
                <w:tcPr>
                  <w:tcW w:w="3620" w:type="dxa"/>
                  <w:noWrap w:val="0"/>
                  <w:vAlign w:val="center"/>
                </w:tcPr>
                <w:p w14:paraId="495A3AEF">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固形物（醇酸树脂、颜料等）</w:t>
                  </w:r>
                </w:p>
              </w:tc>
              <w:tc>
                <w:tcPr>
                  <w:tcW w:w="2115" w:type="dxa"/>
                  <w:noWrap w:val="0"/>
                  <w:vAlign w:val="center"/>
                </w:tcPr>
                <w:p w14:paraId="46C25AE9">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90.5</w:t>
                  </w:r>
                </w:p>
              </w:tc>
            </w:tr>
            <w:tr w14:paraId="2843F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vMerge w:val="continue"/>
                  <w:noWrap w:val="0"/>
                  <w:vAlign w:val="center"/>
                </w:tcPr>
                <w:p w14:paraId="32168278">
                  <w:pPr>
                    <w:spacing w:line="240" w:lineRule="auto"/>
                    <w:jc w:val="center"/>
                    <w:outlineLvl w:val="0"/>
                    <w:rPr>
                      <w:rFonts w:hint="default" w:ascii="Times New Roman" w:hAnsi="Times New Roman" w:cs="Times New Roman"/>
                      <w:sz w:val="18"/>
                      <w:szCs w:val="18"/>
                    </w:rPr>
                  </w:pPr>
                </w:p>
              </w:tc>
              <w:tc>
                <w:tcPr>
                  <w:tcW w:w="3620" w:type="dxa"/>
                  <w:noWrap w:val="0"/>
                  <w:vAlign w:val="center"/>
                </w:tcPr>
                <w:p w14:paraId="0765C049">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挥发性有机溶剂（</w:t>
                  </w:r>
                  <w:r>
                    <w:rPr>
                      <w:rFonts w:hint="eastAsia" w:ascii="Times New Roman" w:hAnsi="Times New Roman" w:cs="Times New Roman"/>
                      <w:sz w:val="18"/>
                      <w:szCs w:val="18"/>
                      <w:lang w:val="en-US" w:eastAsia="zh-CN"/>
                    </w:rPr>
                    <w:t>200#溶剂</w:t>
                  </w:r>
                  <w:r>
                    <w:rPr>
                      <w:rFonts w:hint="default" w:ascii="Times New Roman" w:hAnsi="Times New Roman" w:cs="Times New Roman"/>
                      <w:sz w:val="18"/>
                      <w:szCs w:val="18"/>
                    </w:rPr>
                    <w:t>）</w:t>
                  </w:r>
                </w:p>
              </w:tc>
              <w:tc>
                <w:tcPr>
                  <w:tcW w:w="2115" w:type="dxa"/>
                  <w:noWrap w:val="0"/>
                  <w:vAlign w:val="center"/>
                </w:tcPr>
                <w:p w14:paraId="524F3BCD">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9.5</w:t>
                  </w:r>
                </w:p>
              </w:tc>
            </w:tr>
            <w:tr w14:paraId="5A1838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vMerge w:val="restart"/>
                  <w:noWrap w:val="0"/>
                  <w:vAlign w:val="center"/>
                </w:tcPr>
                <w:p w14:paraId="30F3643B">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底漆</w:t>
                  </w:r>
                </w:p>
              </w:tc>
              <w:tc>
                <w:tcPr>
                  <w:tcW w:w="3620" w:type="dxa"/>
                  <w:noWrap w:val="0"/>
                  <w:vAlign w:val="center"/>
                </w:tcPr>
                <w:p w14:paraId="0D7D42BA">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固形物（醇酸树脂、颜料等）</w:t>
                  </w:r>
                </w:p>
              </w:tc>
              <w:tc>
                <w:tcPr>
                  <w:tcW w:w="2115" w:type="dxa"/>
                  <w:noWrap w:val="0"/>
                  <w:vAlign w:val="center"/>
                </w:tcPr>
                <w:p w14:paraId="67009B8E">
                  <w:pPr>
                    <w:spacing w:line="240" w:lineRule="auto"/>
                    <w:jc w:val="center"/>
                    <w:outlineLvl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95</w:t>
                  </w:r>
                  <w:r>
                    <w:rPr>
                      <w:rFonts w:hint="default" w:ascii="Times New Roman" w:hAnsi="Times New Roman" w:cs="Times New Roman"/>
                      <w:sz w:val="18"/>
                      <w:szCs w:val="18"/>
                    </w:rPr>
                    <w:t>.5</w:t>
                  </w:r>
                </w:p>
              </w:tc>
            </w:tr>
            <w:tr w14:paraId="119C3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vMerge w:val="continue"/>
                  <w:noWrap w:val="0"/>
                  <w:vAlign w:val="center"/>
                </w:tcPr>
                <w:p w14:paraId="3E5E3A6C">
                  <w:pPr>
                    <w:spacing w:line="240" w:lineRule="auto"/>
                    <w:jc w:val="center"/>
                    <w:outlineLvl w:val="0"/>
                    <w:rPr>
                      <w:rFonts w:hint="default" w:ascii="Times New Roman" w:hAnsi="Times New Roman" w:cs="Times New Roman"/>
                      <w:sz w:val="18"/>
                      <w:szCs w:val="18"/>
                    </w:rPr>
                  </w:pPr>
                </w:p>
              </w:tc>
              <w:tc>
                <w:tcPr>
                  <w:tcW w:w="3620" w:type="dxa"/>
                  <w:noWrap w:val="0"/>
                  <w:vAlign w:val="center"/>
                </w:tcPr>
                <w:p w14:paraId="4772CA7D">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挥发性有机溶剂（</w:t>
                  </w:r>
                  <w:r>
                    <w:rPr>
                      <w:rFonts w:hint="eastAsia" w:ascii="Times New Roman" w:hAnsi="Times New Roman" w:cs="Times New Roman"/>
                      <w:sz w:val="18"/>
                      <w:szCs w:val="18"/>
                      <w:lang w:val="en-US" w:eastAsia="zh-CN"/>
                    </w:rPr>
                    <w:t>200#溶剂</w:t>
                  </w:r>
                  <w:r>
                    <w:rPr>
                      <w:rFonts w:hint="default" w:ascii="Times New Roman" w:hAnsi="Times New Roman" w:cs="Times New Roman"/>
                      <w:sz w:val="18"/>
                      <w:szCs w:val="18"/>
                    </w:rPr>
                    <w:t>）</w:t>
                  </w:r>
                </w:p>
              </w:tc>
              <w:tc>
                <w:tcPr>
                  <w:tcW w:w="2115" w:type="dxa"/>
                  <w:noWrap w:val="0"/>
                  <w:vAlign w:val="center"/>
                </w:tcPr>
                <w:p w14:paraId="0E6F9053">
                  <w:pPr>
                    <w:spacing w:line="240" w:lineRule="auto"/>
                    <w:jc w:val="center"/>
                    <w:outlineLvl w:val="0"/>
                    <w:rPr>
                      <w:rFonts w:hint="default" w:ascii="Times New Roman" w:hAnsi="Times New Roman" w:cs="Times New Roman"/>
                      <w:sz w:val="18"/>
                      <w:szCs w:val="18"/>
                    </w:rPr>
                  </w:pPr>
                  <w:r>
                    <w:rPr>
                      <w:rFonts w:hint="eastAsia" w:ascii="Times New Roman" w:hAnsi="Times New Roman" w:cs="Times New Roman"/>
                      <w:sz w:val="18"/>
                      <w:szCs w:val="18"/>
                      <w:lang w:val="en-US" w:eastAsia="zh-CN"/>
                    </w:rPr>
                    <w:t>4</w:t>
                  </w:r>
                  <w:r>
                    <w:rPr>
                      <w:rFonts w:hint="default" w:ascii="Times New Roman" w:hAnsi="Times New Roman" w:cs="Times New Roman"/>
                      <w:sz w:val="18"/>
                      <w:szCs w:val="18"/>
                    </w:rPr>
                    <w:t>.5</w:t>
                  </w:r>
                </w:p>
              </w:tc>
            </w:tr>
            <w:tr w14:paraId="517035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vMerge w:val="restart"/>
                  <w:noWrap w:val="0"/>
                  <w:vAlign w:val="center"/>
                </w:tcPr>
                <w:p w14:paraId="75D91B60">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稀释剂</w:t>
                  </w:r>
                </w:p>
              </w:tc>
              <w:tc>
                <w:tcPr>
                  <w:tcW w:w="3620" w:type="dxa"/>
                  <w:noWrap w:val="0"/>
                  <w:vAlign w:val="center"/>
                </w:tcPr>
                <w:p w14:paraId="394F625E">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固形物</w:t>
                  </w:r>
                </w:p>
              </w:tc>
              <w:tc>
                <w:tcPr>
                  <w:tcW w:w="2115" w:type="dxa"/>
                  <w:noWrap w:val="0"/>
                  <w:vAlign w:val="center"/>
                </w:tcPr>
                <w:p w14:paraId="3EAFF18E">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0</w:t>
                  </w:r>
                </w:p>
              </w:tc>
            </w:tr>
            <w:tr w14:paraId="76383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5" w:type="dxa"/>
                  <w:vMerge w:val="continue"/>
                  <w:noWrap w:val="0"/>
                  <w:vAlign w:val="center"/>
                </w:tcPr>
                <w:p w14:paraId="32166F09">
                  <w:pPr>
                    <w:spacing w:line="240" w:lineRule="auto"/>
                    <w:jc w:val="center"/>
                    <w:outlineLvl w:val="0"/>
                    <w:rPr>
                      <w:rFonts w:hint="default" w:ascii="Times New Roman" w:hAnsi="Times New Roman" w:cs="Times New Roman"/>
                      <w:sz w:val="18"/>
                      <w:szCs w:val="18"/>
                    </w:rPr>
                  </w:pPr>
                </w:p>
              </w:tc>
              <w:tc>
                <w:tcPr>
                  <w:tcW w:w="3620" w:type="dxa"/>
                  <w:noWrap w:val="0"/>
                  <w:vAlign w:val="center"/>
                </w:tcPr>
                <w:p w14:paraId="7937CBB9">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挥发性有机溶剂（</w:t>
                  </w:r>
                  <w:r>
                    <w:rPr>
                      <w:rFonts w:hint="eastAsia" w:ascii="Times New Roman" w:hAnsi="Times New Roman" w:cs="Times New Roman"/>
                      <w:sz w:val="18"/>
                      <w:szCs w:val="18"/>
                      <w:lang w:val="en-US" w:eastAsia="zh-CN"/>
                    </w:rPr>
                    <w:t>200#溶剂</w:t>
                  </w:r>
                  <w:r>
                    <w:rPr>
                      <w:rFonts w:hint="default" w:ascii="Times New Roman" w:hAnsi="Times New Roman" w:cs="Times New Roman"/>
                      <w:sz w:val="18"/>
                      <w:szCs w:val="18"/>
                    </w:rPr>
                    <w:t>）</w:t>
                  </w:r>
                </w:p>
              </w:tc>
              <w:tc>
                <w:tcPr>
                  <w:tcW w:w="2115" w:type="dxa"/>
                  <w:noWrap w:val="0"/>
                  <w:vAlign w:val="center"/>
                </w:tcPr>
                <w:p w14:paraId="305267F6">
                  <w:pPr>
                    <w:spacing w:line="240" w:lineRule="auto"/>
                    <w:jc w:val="center"/>
                    <w:outlineLvl w:val="0"/>
                    <w:rPr>
                      <w:rFonts w:hint="default" w:ascii="Times New Roman" w:hAnsi="Times New Roman" w:cs="Times New Roman"/>
                      <w:sz w:val="18"/>
                      <w:szCs w:val="18"/>
                    </w:rPr>
                  </w:pPr>
                  <w:r>
                    <w:rPr>
                      <w:rFonts w:hint="default" w:ascii="Times New Roman" w:hAnsi="Times New Roman" w:cs="Times New Roman"/>
                      <w:sz w:val="18"/>
                      <w:szCs w:val="18"/>
                    </w:rPr>
                    <w:t>100</w:t>
                  </w:r>
                </w:p>
              </w:tc>
            </w:tr>
          </w:tbl>
          <w:p w14:paraId="48BFEA7B">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本项目涂料喷涂过程中固形物约有70%附着在工件上，30%的固形物发生飞溅；漆中的有机废气在调漆</w:t>
            </w:r>
            <w:r>
              <w:rPr>
                <w:rFonts w:hint="default" w:ascii="Times New Roman" w:hAnsi="Times New Roman" w:cs="Times New Roman"/>
                <w:szCs w:val="21"/>
                <w:lang w:eastAsia="zh-CN"/>
              </w:rPr>
              <w:t>及喷漆</w:t>
            </w:r>
            <w:r>
              <w:rPr>
                <w:rFonts w:hint="default" w:ascii="Times New Roman" w:hAnsi="Times New Roman" w:cs="Times New Roman"/>
                <w:szCs w:val="21"/>
              </w:rPr>
              <w:t>过程中挥发</w:t>
            </w:r>
            <w:r>
              <w:rPr>
                <w:rFonts w:hint="eastAsia" w:ascii="Times New Roman" w:hAnsi="Times New Roman" w:cs="Times New Roman"/>
                <w:szCs w:val="21"/>
                <w:lang w:val="en-US" w:eastAsia="zh-CN"/>
              </w:rPr>
              <w:t>6</w:t>
            </w:r>
            <w:r>
              <w:rPr>
                <w:rFonts w:hint="default" w:ascii="Times New Roman" w:hAnsi="Times New Roman" w:cs="Times New Roman"/>
                <w:szCs w:val="21"/>
                <w:lang w:val="en-US" w:eastAsia="zh-CN"/>
              </w:rPr>
              <w:t>0</w:t>
            </w:r>
            <w:r>
              <w:rPr>
                <w:rFonts w:hint="default" w:ascii="Times New Roman" w:hAnsi="Times New Roman" w:cs="Times New Roman"/>
                <w:szCs w:val="21"/>
              </w:rPr>
              <w:t>%，进入漆渣中5%，</w:t>
            </w:r>
            <w:r>
              <w:rPr>
                <w:rFonts w:hint="eastAsia" w:ascii="Times New Roman" w:hAnsi="Times New Roman" w:cs="Times New Roman"/>
                <w:szCs w:val="21"/>
                <w:lang w:eastAsia="zh-CN"/>
              </w:rPr>
              <w:t>晾</w:t>
            </w:r>
            <w:r>
              <w:rPr>
                <w:rFonts w:hint="default" w:ascii="Times New Roman" w:hAnsi="Times New Roman" w:cs="Times New Roman"/>
                <w:szCs w:val="21"/>
              </w:rPr>
              <w:t>干过程挥发</w:t>
            </w:r>
            <w:r>
              <w:rPr>
                <w:rFonts w:hint="eastAsia" w:ascii="Times New Roman" w:hAnsi="Times New Roman" w:cs="Times New Roman"/>
                <w:szCs w:val="21"/>
                <w:lang w:val="en-US" w:eastAsia="zh-CN"/>
              </w:rPr>
              <w:t>3</w:t>
            </w:r>
            <w:r>
              <w:rPr>
                <w:rFonts w:hint="default" w:ascii="Times New Roman" w:hAnsi="Times New Roman" w:cs="Times New Roman"/>
                <w:szCs w:val="21"/>
                <w:lang w:val="en-US" w:eastAsia="zh-CN"/>
              </w:rPr>
              <w:t>3</w:t>
            </w:r>
            <w:r>
              <w:rPr>
                <w:rFonts w:hint="default" w:ascii="Times New Roman" w:hAnsi="Times New Roman" w:cs="Times New Roman"/>
                <w:szCs w:val="21"/>
              </w:rPr>
              <w:t>%，无组织排放2%</w:t>
            </w:r>
            <w:r>
              <w:rPr>
                <w:rFonts w:hint="default" w:ascii="Times New Roman" w:hAnsi="Times New Roman" w:cs="Times New Roman"/>
                <w:szCs w:val="21"/>
                <w:highlight w:val="none"/>
              </w:rPr>
              <w:t>；</w:t>
            </w:r>
            <w:r>
              <w:rPr>
                <w:rFonts w:hint="eastAsia" w:cs="Times New Roman"/>
                <w:szCs w:val="21"/>
                <w:highlight w:val="none"/>
                <w:lang w:eastAsia="zh-CN"/>
              </w:rPr>
              <w:t>迷宫式过滤箱</w:t>
            </w:r>
            <w:r>
              <w:rPr>
                <w:rFonts w:hint="default" w:ascii="Times New Roman" w:hAnsi="Times New Roman" w:cs="Times New Roman"/>
                <w:szCs w:val="21"/>
              </w:rPr>
              <w:t>对漆雾去除率</w:t>
            </w:r>
            <w:r>
              <w:rPr>
                <w:rFonts w:hint="default" w:ascii="Times New Roman" w:hAnsi="Times New Roman" w:cs="Times New Roman"/>
                <w:szCs w:val="21"/>
                <w:lang w:eastAsia="zh-CN"/>
              </w:rPr>
              <w:t>约</w:t>
            </w:r>
            <w:r>
              <w:rPr>
                <w:rFonts w:hint="default" w:ascii="Times New Roman" w:hAnsi="Times New Roman" w:cs="Times New Roman"/>
                <w:szCs w:val="21"/>
              </w:rPr>
              <w:t>95%，</w:t>
            </w:r>
            <w:r>
              <w:rPr>
                <w:rFonts w:hint="eastAsia" w:ascii="Times New Roman" w:hAnsi="Times New Roman" w:cs="Times New Roman"/>
                <w:szCs w:val="21"/>
                <w:lang w:val="en-US" w:eastAsia="zh-CN"/>
              </w:rPr>
              <w:t>两级活性炭吸附</w:t>
            </w:r>
            <w:r>
              <w:rPr>
                <w:rFonts w:hint="default" w:ascii="Times New Roman" w:hAnsi="Times New Roman" w:cs="Times New Roman"/>
                <w:szCs w:val="21"/>
              </w:rPr>
              <w:t>对VOCs</w:t>
            </w:r>
            <w:r>
              <w:rPr>
                <w:rFonts w:hint="default" w:ascii="Times New Roman" w:hAnsi="Times New Roman" w:cs="Times New Roman"/>
                <w:szCs w:val="21"/>
                <w:lang w:eastAsia="zh-CN"/>
              </w:rPr>
              <w:t>处理效</w:t>
            </w:r>
            <w:r>
              <w:rPr>
                <w:rFonts w:hint="default" w:ascii="Times New Roman" w:hAnsi="Times New Roman" w:cs="Times New Roman"/>
                <w:szCs w:val="21"/>
              </w:rPr>
              <w:t>率</w:t>
            </w:r>
            <w:r>
              <w:rPr>
                <w:rFonts w:hint="eastAsia" w:ascii="Times New Roman" w:hAnsi="Times New Roman" w:cs="Times New Roman"/>
                <w:szCs w:val="21"/>
                <w:lang w:eastAsia="zh-CN"/>
              </w:rPr>
              <w:t>按</w:t>
            </w:r>
            <w:r>
              <w:rPr>
                <w:rFonts w:hint="eastAsia" w:ascii="Times New Roman" w:hAnsi="Times New Roman" w:cs="Times New Roman"/>
                <w:szCs w:val="21"/>
                <w:lang w:val="en-US" w:eastAsia="zh-CN"/>
              </w:rPr>
              <w:t>7</w:t>
            </w:r>
            <w:r>
              <w:rPr>
                <w:rFonts w:hint="default" w:ascii="Times New Roman" w:hAnsi="Times New Roman" w:cs="Times New Roman"/>
                <w:szCs w:val="21"/>
                <w:lang w:val="en-US" w:eastAsia="zh-CN"/>
              </w:rPr>
              <w:t>0</w:t>
            </w:r>
            <w:r>
              <w:rPr>
                <w:rFonts w:hint="default" w:ascii="Times New Roman" w:hAnsi="Times New Roman" w:cs="Times New Roman"/>
                <w:szCs w:val="21"/>
              </w:rPr>
              <w:t>%</w:t>
            </w:r>
            <w:r>
              <w:rPr>
                <w:rFonts w:hint="eastAsia" w:ascii="Times New Roman" w:hAnsi="Times New Roman" w:cs="Times New Roman"/>
                <w:szCs w:val="21"/>
                <w:lang w:eastAsia="zh-CN"/>
              </w:rPr>
              <w:t>计</w:t>
            </w:r>
            <w:r>
              <w:rPr>
                <w:rFonts w:hint="default" w:ascii="Times New Roman" w:hAnsi="Times New Roman" w:cs="Times New Roman"/>
                <w:szCs w:val="21"/>
              </w:rPr>
              <w:t>。则本项目底涂和面涂物料平衡关系详见表2-1</w:t>
            </w:r>
            <w:r>
              <w:rPr>
                <w:rFonts w:hint="eastAsia" w:cs="Times New Roman"/>
                <w:szCs w:val="21"/>
                <w:lang w:val="en-US" w:eastAsia="zh-CN"/>
              </w:rPr>
              <w:t>5</w:t>
            </w:r>
            <w:r>
              <w:rPr>
                <w:rFonts w:hint="default" w:ascii="Times New Roman" w:hAnsi="Times New Roman" w:cs="Times New Roman"/>
                <w:szCs w:val="21"/>
              </w:rPr>
              <w:t>和图2-</w:t>
            </w:r>
            <w:r>
              <w:rPr>
                <w:rFonts w:hint="eastAsia" w:cs="Times New Roman"/>
                <w:szCs w:val="21"/>
                <w:lang w:val="en-US" w:eastAsia="zh-CN"/>
              </w:rPr>
              <w:t>4</w:t>
            </w:r>
            <w:r>
              <w:rPr>
                <w:rFonts w:hint="default" w:ascii="Times New Roman" w:hAnsi="Times New Roman" w:cs="Times New Roman"/>
                <w:szCs w:val="21"/>
              </w:rPr>
              <w:t>。</w:t>
            </w:r>
          </w:p>
          <w:p w14:paraId="3DD25621">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表2-1</w:t>
            </w:r>
            <w:r>
              <w:rPr>
                <w:rFonts w:hint="eastAsia" w:ascii="宋体" w:hAnsi="宋体" w:eastAsia="宋体" w:cs="宋体"/>
                <w:b/>
                <w:bCs/>
                <w:lang w:val="en-US" w:eastAsia="zh-CN"/>
              </w:rPr>
              <w:t>5</w:t>
            </w:r>
            <w:r>
              <w:rPr>
                <w:rFonts w:hint="eastAsia" w:ascii="宋体" w:hAnsi="宋体" w:eastAsia="宋体" w:cs="宋体"/>
                <w:b/>
                <w:bCs/>
                <w:lang w:val="de-DE"/>
              </w:rPr>
              <w:t>（1）  底涂物料平衡参数一览表</w:t>
            </w:r>
          </w:p>
          <w:tbl>
            <w:tblPr>
              <w:tblStyle w:val="81"/>
              <w:tblW w:w="499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713"/>
              <w:gridCol w:w="1526"/>
              <w:gridCol w:w="3065"/>
              <w:gridCol w:w="2102"/>
            </w:tblGrid>
            <w:tr w14:paraId="1B7530B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3237" w:type="dxa"/>
                  <w:gridSpan w:val="2"/>
                  <w:tcBorders>
                    <w:top w:val="single" w:color="auto" w:sz="2" w:space="0"/>
                    <w:left w:val="single" w:color="auto" w:sz="2" w:space="0"/>
                    <w:bottom w:val="single" w:color="auto" w:sz="2" w:space="0"/>
                    <w:right w:val="single" w:color="auto" w:sz="2" w:space="0"/>
                  </w:tcBorders>
                  <w:vAlign w:val="center"/>
                </w:tcPr>
                <w:p w14:paraId="05E28107">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输入</w:t>
                  </w:r>
                </w:p>
              </w:tc>
              <w:tc>
                <w:tcPr>
                  <w:tcW w:w="5164" w:type="dxa"/>
                  <w:gridSpan w:val="2"/>
                  <w:tcBorders>
                    <w:top w:val="single" w:color="auto" w:sz="2" w:space="0"/>
                    <w:left w:val="single" w:color="auto" w:sz="2" w:space="0"/>
                    <w:bottom w:val="single" w:color="auto" w:sz="2" w:space="0"/>
                    <w:right w:val="single" w:color="auto" w:sz="2" w:space="0"/>
                  </w:tcBorders>
                  <w:vAlign w:val="center"/>
                </w:tcPr>
                <w:p w14:paraId="5F2C98B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输出</w:t>
                  </w:r>
                </w:p>
              </w:tc>
            </w:tr>
            <w:tr w14:paraId="309ED55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1712" w:type="dxa"/>
                  <w:tcBorders>
                    <w:top w:val="single" w:color="auto" w:sz="2" w:space="0"/>
                    <w:left w:val="single" w:color="auto" w:sz="2" w:space="0"/>
                    <w:bottom w:val="single" w:color="auto" w:sz="2" w:space="0"/>
                    <w:right w:val="single" w:color="auto" w:sz="2" w:space="0"/>
                  </w:tcBorders>
                  <w:vAlign w:val="center"/>
                </w:tcPr>
                <w:p w14:paraId="01DEBA2D">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名称</w:t>
                  </w:r>
                </w:p>
              </w:tc>
              <w:tc>
                <w:tcPr>
                  <w:tcW w:w="1525" w:type="dxa"/>
                  <w:tcBorders>
                    <w:top w:val="single" w:color="auto" w:sz="2" w:space="0"/>
                    <w:left w:val="single" w:color="auto" w:sz="2" w:space="0"/>
                    <w:bottom w:val="single" w:color="auto" w:sz="2" w:space="0"/>
                    <w:right w:val="single" w:color="auto" w:sz="2" w:space="0"/>
                  </w:tcBorders>
                  <w:vAlign w:val="center"/>
                </w:tcPr>
                <w:p w14:paraId="46A5306E">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带入量t/a</w:t>
                  </w:r>
                </w:p>
              </w:tc>
              <w:tc>
                <w:tcPr>
                  <w:tcW w:w="3063" w:type="dxa"/>
                  <w:tcBorders>
                    <w:top w:val="single" w:color="auto" w:sz="2" w:space="0"/>
                    <w:left w:val="single" w:color="auto" w:sz="2" w:space="0"/>
                    <w:bottom w:val="single" w:color="auto" w:sz="2" w:space="0"/>
                    <w:right w:val="single" w:color="auto" w:sz="2" w:space="0"/>
                  </w:tcBorders>
                  <w:vAlign w:val="center"/>
                </w:tcPr>
                <w:p w14:paraId="19957EA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环节</w:t>
                  </w:r>
                </w:p>
              </w:tc>
              <w:tc>
                <w:tcPr>
                  <w:tcW w:w="2101" w:type="dxa"/>
                  <w:tcBorders>
                    <w:top w:val="single" w:color="auto" w:sz="2" w:space="0"/>
                    <w:left w:val="single" w:color="auto" w:sz="2" w:space="0"/>
                    <w:bottom w:val="single" w:color="auto" w:sz="2" w:space="0"/>
                    <w:right w:val="single" w:color="auto" w:sz="2" w:space="0"/>
                  </w:tcBorders>
                  <w:vAlign w:val="center"/>
                </w:tcPr>
                <w:p w14:paraId="19FCBE5B">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排出量t/a</w:t>
                  </w:r>
                </w:p>
              </w:tc>
            </w:tr>
            <w:tr w14:paraId="132C80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restart"/>
                  <w:tcBorders>
                    <w:top w:val="single" w:color="auto" w:sz="2" w:space="0"/>
                    <w:left w:val="single" w:color="auto" w:sz="2" w:space="0"/>
                    <w:bottom w:val="single" w:color="auto" w:sz="2" w:space="0"/>
                    <w:right w:val="single" w:color="auto" w:sz="2" w:space="0"/>
                  </w:tcBorders>
                  <w:vAlign w:val="center"/>
                </w:tcPr>
                <w:p w14:paraId="1D07AF0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VOC</w:t>
                  </w:r>
                </w:p>
              </w:tc>
              <w:tc>
                <w:tcPr>
                  <w:tcW w:w="1525" w:type="dxa"/>
                  <w:vMerge w:val="restart"/>
                  <w:tcBorders>
                    <w:top w:val="single" w:color="auto" w:sz="2" w:space="0"/>
                    <w:left w:val="single" w:color="auto" w:sz="2" w:space="0"/>
                    <w:bottom w:val="single" w:color="auto" w:sz="2" w:space="0"/>
                    <w:right w:val="single" w:color="auto" w:sz="2" w:space="0"/>
                  </w:tcBorders>
                  <w:vAlign w:val="center"/>
                </w:tcPr>
                <w:p w14:paraId="1AC80F09">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default" w:ascii="Times New Roman" w:hAnsi="Times New Roman" w:eastAsia="等线" w:cs="Times New Roman"/>
                      <w:i w:val="0"/>
                      <w:iCs w:val="0"/>
                      <w:color w:val="000000"/>
                      <w:kern w:val="0"/>
                      <w:sz w:val="18"/>
                      <w:szCs w:val="18"/>
                      <w:u w:val="none"/>
                      <w:lang w:val="en-US" w:eastAsia="zh-CN" w:bidi="ar"/>
                    </w:rPr>
                    <w:t>0.4272</w:t>
                  </w:r>
                </w:p>
              </w:tc>
              <w:tc>
                <w:tcPr>
                  <w:tcW w:w="3063" w:type="dxa"/>
                  <w:tcBorders>
                    <w:top w:val="single" w:color="auto" w:sz="2" w:space="0"/>
                    <w:left w:val="single" w:color="auto" w:sz="2" w:space="0"/>
                    <w:bottom w:val="single" w:color="auto" w:sz="2" w:space="0"/>
                    <w:right w:val="single" w:color="auto" w:sz="2" w:space="0"/>
                  </w:tcBorders>
                  <w:vAlign w:val="center"/>
                </w:tcPr>
                <w:p w14:paraId="296BB517">
                  <w:pPr>
                    <w:pStyle w:val="200"/>
                    <w:spacing w:beforeLines="0" w:afterLines="0" w:line="240" w:lineRule="exact"/>
                    <w:jc w:val="center"/>
                    <w:rPr>
                      <w:rFonts w:hint="default" w:ascii="Times New Roman" w:hAnsi="Times New Roman" w:cs="Times New Roman"/>
                      <w:sz w:val="18"/>
                      <w:szCs w:val="18"/>
                    </w:rPr>
                  </w:pPr>
                  <w:r>
                    <w:rPr>
                      <w:rFonts w:hint="default" w:ascii="Times New Roman" w:hAnsi="Times New Roman" w:cs="Times New Roman"/>
                      <w:color w:val="000000"/>
                      <w:sz w:val="18"/>
                      <w:szCs w:val="18"/>
                      <w:lang w:eastAsia="zh-CN"/>
                    </w:rPr>
                    <w:t>调漆及喷漆</w:t>
                  </w:r>
                  <w:r>
                    <w:rPr>
                      <w:rFonts w:hint="default" w:ascii="Times New Roman" w:hAnsi="Times New Roman" w:cs="Times New Roman"/>
                      <w:color w:val="000000"/>
                      <w:sz w:val="18"/>
                      <w:szCs w:val="18"/>
                    </w:rPr>
                    <w:t>过程净化装置去除</w:t>
                  </w:r>
                </w:p>
              </w:tc>
              <w:tc>
                <w:tcPr>
                  <w:tcW w:w="2101" w:type="dxa"/>
                  <w:tcBorders>
                    <w:top w:val="single" w:color="auto" w:sz="2" w:space="0"/>
                    <w:left w:val="single" w:color="auto" w:sz="2" w:space="0"/>
                    <w:bottom w:val="single" w:color="auto" w:sz="2" w:space="0"/>
                    <w:right w:val="single" w:color="auto" w:sz="2" w:space="0"/>
                  </w:tcBorders>
                  <w:vAlign w:val="bottom"/>
                </w:tcPr>
                <w:p w14:paraId="78135975">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0.1794</w:t>
                  </w:r>
                </w:p>
              </w:tc>
            </w:tr>
            <w:tr w14:paraId="7D456AF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6D84C7D8">
                  <w:pPr>
                    <w:pStyle w:val="200"/>
                    <w:spacing w:beforeLines="0" w:afterLines="0" w:line="240" w:lineRule="exact"/>
                    <w:rPr>
                      <w:rFonts w:hint="default" w:ascii="Times New Roman" w:hAnsi="Times New Roman" w:cs="Times New Roman"/>
                      <w:sz w:val="18"/>
                      <w:szCs w:val="18"/>
                    </w:rPr>
                  </w:pPr>
                </w:p>
              </w:tc>
              <w:tc>
                <w:tcPr>
                  <w:tcW w:w="1525" w:type="dxa"/>
                  <w:vMerge w:val="continue"/>
                  <w:tcBorders>
                    <w:top w:val="single" w:color="auto" w:sz="2" w:space="0"/>
                    <w:left w:val="single" w:color="auto" w:sz="2" w:space="0"/>
                    <w:bottom w:val="single" w:color="auto" w:sz="2" w:space="0"/>
                    <w:right w:val="single" w:color="auto" w:sz="2" w:space="0"/>
                  </w:tcBorders>
                  <w:vAlign w:val="center"/>
                </w:tcPr>
                <w:p w14:paraId="792C5782">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3" w:type="dxa"/>
                  <w:tcBorders>
                    <w:top w:val="single" w:color="auto" w:sz="2" w:space="0"/>
                    <w:left w:val="single" w:color="auto" w:sz="2" w:space="0"/>
                    <w:bottom w:val="single" w:color="auto" w:sz="2" w:space="0"/>
                    <w:right w:val="single" w:color="auto" w:sz="2" w:space="0"/>
                  </w:tcBorders>
                  <w:vAlign w:val="center"/>
                </w:tcPr>
                <w:p w14:paraId="66A794E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lang w:eastAsia="zh-CN"/>
                    </w:rPr>
                    <w:t>调漆及喷漆</w:t>
                  </w:r>
                  <w:r>
                    <w:rPr>
                      <w:rFonts w:hint="default" w:ascii="Times New Roman" w:hAnsi="Times New Roman" w:cs="Times New Roman"/>
                      <w:color w:val="000000"/>
                      <w:sz w:val="18"/>
                      <w:szCs w:val="18"/>
                    </w:rPr>
                    <w:t>过程排气筒排放</w:t>
                  </w:r>
                </w:p>
              </w:tc>
              <w:tc>
                <w:tcPr>
                  <w:tcW w:w="2101" w:type="dxa"/>
                  <w:tcBorders>
                    <w:top w:val="single" w:color="auto" w:sz="2" w:space="0"/>
                    <w:left w:val="single" w:color="auto" w:sz="2" w:space="0"/>
                    <w:bottom w:val="single" w:color="auto" w:sz="2" w:space="0"/>
                    <w:right w:val="single" w:color="auto" w:sz="2" w:space="0"/>
                  </w:tcBorders>
                  <w:vAlign w:val="bottom"/>
                </w:tcPr>
                <w:p w14:paraId="0CF66A7E">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0.0769</w:t>
                  </w:r>
                </w:p>
              </w:tc>
            </w:tr>
            <w:tr w14:paraId="1529C25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7EDD786F">
                  <w:pPr>
                    <w:pStyle w:val="200"/>
                    <w:spacing w:beforeLines="0" w:afterLines="0" w:line="240" w:lineRule="exact"/>
                    <w:rPr>
                      <w:rFonts w:hint="default" w:ascii="Times New Roman" w:hAnsi="Times New Roman" w:cs="Times New Roman"/>
                      <w:sz w:val="18"/>
                      <w:szCs w:val="18"/>
                    </w:rPr>
                  </w:pPr>
                </w:p>
              </w:tc>
              <w:tc>
                <w:tcPr>
                  <w:tcW w:w="1525" w:type="dxa"/>
                  <w:vMerge w:val="continue"/>
                  <w:tcBorders>
                    <w:top w:val="single" w:color="auto" w:sz="2" w:space="0"/>
                    <w:left w:val="single" w:color="auto" w:sz="2" w:space="0"/>
                    <w:bottom w:val="single" w:color="auto" w:sz="2" w:space="0"/>
                    <w:right w:val="single" w:color="auto" w:sz="2" w:space="0"/>
                  </w:tcBorders>
                  <w:vAlign w:val="center"/>
                </w:tcPr>
                <w:p w14:paraId="74548A26">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3" w:type="dxa"/>
                  <w:tcBorders>
                    <w:top w:val="single" w:color="auto" w:sz="2" w:space="0"/>
                    <w:left w:val="single" w:color="auto" w:sz="2" w:space="0"/>
                    <w:bottom w:val="single" w:color="auto" w:sz="2" w:space="0"/>
                    <w:right w:val="single" w:color="auto" w:sz="2" w:space="0"/>
                  </w:tcBorders>
                  <w:vAlign w:val="center"/>
                </w:tcPr>
                <w:p w14:paraId="75E4F7D0">
                  <w:pPr>
                    <w:pStyle w:val="200"/>
                    <w:spacing w:beforeLines="0" w:afterLines="0" w:line="240" w:lineRule="exact"/>
                    <w:rPr>
                      <w:rFonts w:hint="default" w:ascii="Times New Roman" w:hAnsi="Times New Roman" w:cs="Times New Roman"/>
                      <w:sz w:val="18"/>
                      <w:szCs w:val="18"/>
                    </w:rPr>
                  </w:pPr>
                  <w:r>
                    <w:rPr>
                      <w:rFonts w:hint="eastAsia" w:ascii="Times New Roman" w:hAnsi="Times New Roman" w:cs="Times New Roman"/>
                      <w:color w:val="000000"/>
                      <w:sz w:val="18"/>
                      <w:szCs w:val="18"/>
                      <w:lang w:eastAsia="zh-CN"/>
                    </w:rPr>
                    <w:t>晾</w:t>
                  </w:r>
                  <w:r>
                    <w:rPr>
                      <w:rFonts w:hint="default" w:ascii="Times New Roman" w:hAnsi="Times New Roman" w:cs="Times New Roman"/>
                      <w:color w:val="000000"/>
                      <w:sz w:val="18"/>
                      <w:szCs w:val="18"/>
                    </w:rPr>
                    <w:t>干过程净化装置去除</w:t>
                  </w:r>
                </w:p>
              </w:tc>
              <w:tc>
                <w:tcPr>
                  <w:tcW w:w="2101" w:type="dxa"/>
                  <w:tcBorders>
                    <w:top w:val="single" w:color="auto" w:sz="2" w:space="0"/>
                    <w:left w:val="single" w:color="auto" w:sz="2" w:space="0"/>
                    <w:bottom w:val="single" w:color="auto" w:sz="2" w:space="0"/>
                    <w:right w:val="single" w:color="auto" w:sz="2" w:space="0"/>
                  </w:tcBorders>
                  <w:vAlign w:val="bottom"/>
                </w:tcPr>
                <w:p w14:paraId="199A11C3">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0.0987</w:t>
                  </w:r>
                </w:p>
              </w:tc>
            </w:tr>
            <w:tr w14:paraId="4E5EF32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113ED5E1">
                  <w:pPr>
                    <w:pStyle w:val="200"/>
                    <w:spacing w:beforeLines="0" w:afterLines="0" w:line="240" w:lineRule="exact"/>
                    <w:rPr>
                      <w:rFonts w:hint="default" w:ascii="Times New Roman" w:hAnsi="Times New Roman" w:cs="Times New Roman"/>
                      <w:sz w:val="18"/>
                      <w:szCs w:val="18"/>
                    </w:rPr>
                  </w:pPr>
                </w:p>
              </w:tc>
              <w:tc>
                <w:tcPr>
                  <w:tcW w:w="1525" w:type="dxa"/>
                  <w:vMerge w:val="continue"/>
                  <w:tcBorders>
                    <w:top w:val="single" w:color="auto" w:sz="2" w:space="0"/>
                    <w:left w:val="single" w:color="auto" w:sz="2" w:space="0"/>
                    <w:bottom w:val="single" w:color="auto" w:sz="2" w:space="0"/>
                    <w:right w:val="single" w:color="auto" w:sz="2" w:space="0"/>
                  </w:tcBorders>
                  <w:vAlign w:val="center"/>
                </w:tcPr>
                <w:p w14:paraId="678251BE">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3" w:type="dxa"/>
                  <w:tcBorders>
                    <w:top w:val="single" w:color="auto" w:sz="2" w:space="0"/>
                    <w:left w:val="single" w:color="auto" w:sz="2" w:space="0"/>
                    <w:bottom w:val="single" w:color="auto" w:sz="2" w:space="0"/>
                    <w:right w:val="single" w:color="auto" w:sz="2" w:space="0"/>
                  </w:tcBorders>
                  <w:vAlign w:val="center"/>
                </w:tcPr>
                <w:p w14:paraId="515A3F11">
                  <w:pPr>
                    <w:pStyle w:val="200"/>
                    <w:spacing w:beforeLines="0" w:afterLines="0" w:line="240" w:lineRule="exact"/>
                    <w:rPr>
                      <w:rFonts w:hint="default" w:ascii="Times New Roman" w:hAnsi="Times New Roman" w:cs="Times New Roman"/>
                      <w:sz w:val="18"/>
                      <w:szCs w:val="18"/>
                    </w:rPr>
                  </w:pPr>
                  <w:r>
                    <w:rPr>
                      <w:rFonts w:hint="eastAsia" w:ascii="Times New Roman" w:hAnsi="Times New Roman" w:cs="Times New Roman"/>
                      <w:color w:val="000000"/>
                      <w:sz w:val="18"/>
                      <w:szCs w:val="18"/>
                      <w:lang w:eastAsia="zh-CN"/>
                    </w:rPr>
                    <w:t>晾</w:t>
                  </w:r>
                  <w:r>
                    <w:rPr>
                      <w:rFonts w:hint="default" w:ascii="Times New Roman" w:hAnsi="Times New Roman" w:cs="Times New Roman"/>
                      <w:color w:val="000000"/>
                      <w:sz w:val="18"/>
                      <w:szCs w:val="18"/>
                    </w:rPr>
                    <w:t>干过程排气筒排放</w:t>
                  </w:r>
                </w:p>
              </w:tc>
              <w:tc>
                <w:tcPr>
                  <w:tcW w:w="2101" w:type="dxa"/>
                  <w:tcBorders>
                    <w:top w:val="single" w:color="auto" w:sz="2" w:space="0"/>
                    <w:left w:val="single" w:color="auto" w:sz="2" w:space="0"/>
                    <w:bottom w:val="single" w:color="auto" w:sz="2" w:space="0"/>
                    <w:right w:val="single" w:color="auto" w:sz="2" w:space="0"/>
                  </w:tcBorders>
                  <w:vAlign w:val="bottom"/>
                </w:tcPr>
                <w:p w14:paraId="4ED9F4A6">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0.0423</w:t>
                  </w:r>
                </w:p>
              </w:tc>
            </w:tr>
            <w:tr w14:paraId="1DE9E3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76684BE2">
                  <w:pPr>
                    <w:pStyle w:val="200"/>
                    <w:spacing w:beforeLines="0" w:afterLines="0" w:line="240" w:lineRule="exact"/>
                    <w:rPr>
                      <w:rFonts w:hint="default" w:ascii="Times New Roman" w:hAnsi="Times New Roman" w:cs="Times New Roman"/>
                      <w:sz w:val="18"/>
                      <w:szCs w:val="18"/>
                    </w:rPr>
                  </w:pPr>
                </w:p>
              </w:tc>
              <w:tc>
                <w:tcPr>
                  <w:tcW w:w="1525" w:type="dxa"/>
                  <w:vMerge w:val="continue"/>
                  <w:tcBorders>
                    <w:top w:val="single" w:color="auto" w:sz="2" w:space="0"/>
                    <w:left w:val="single" w:color="auto" w:sz="2" w:space="0"/>
                    <w:bottom w:val="single" w:color="auto" w:sz="2" w:space="0"/>
                    <w:right w:val="single" w:color="auto" w:sz="2" w:space="0"/>
                  </w:tcBorders>
                  <w:vAlign w:val="center"/>
                </w:tcPr>
                <w:p w14:paraId="67DDE565">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3" w:type="dxa"/>
                  <w:tcBorders>
                    <w:top w:val="single" w:color="auto" w:sz="2" w:space="0"/>
                    <w:left w:val="single" w:color="auto" w:sz="2" w:space="0"/>
                    <w:bottom w:val="single" w:color="auto" w:sz="2" w:space="0"/>
                    <w:right w:val="single" w:color="auto" w:sz="2" w:space="0"/>
                  </w:tcBorders>
                  <w:vAlign w:val="center"/>
                </w:tcPr>
                <w:p w14:paraId="2126785E">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无组织排放</w:t>
                  </w:r>
                </w:p>
              </w:tc>
              <w:tc>
                <w:tcPr>
                  <w:tcW w:w="2101" w:type="dxa"/>
                  <w:tcBorders>
                    <w:top w:val="single" w:color="auto" w:sz="2" w:space="0"/>
                    <w:left w:val="single" w:color="auto" w:sz="2" w:space="0"/>
                    <w:bottom w:val="single" w:color="auto" w:sz="2" w:space="0"/>
                    <w:right w:val="single" w:color="auto" w:sz="2" w:space="0"/>
                  </w:tcBorders>
                  <w:vAlign w:val="bottom"/>
                </w:tcPr>
                <w:p w14:paraId="30F6F33B">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0.0085</w:t>
                  </w:r>
                </w:p>
              </w:tc>
            </w:tr>
            <w:tr w14:paraId="12E7942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7C56E46A">
                  <w:pPr>
                    <w:pStyle w:val="200"/>
                    <w:spacing w:beforeLines="0" w:afterLines="0" w:line="240" w:lineRule="exact"/>
                    <w:rPr>
                      <w:rFonts w:hint="default" w:ascii="Times New Roman" w:hAnsi="Times New Roman" w:cs="Times New Roman"/>
                      <w:sz w:val="18"/>
                      <w:szCs w:val="18"/>
                    </w:rPr>
                  </w:pPr>
                </w:p>
              </w:tc>
              <w:tc>
                <w:tcPr>
                  <w:tcW w:w="1525" w:type="dxa"/>
                  <w:vMerge w:val="continue"/>
                  <w:tcBorders>
                    <w:top w:val="single" w:color="auto" w:sz="2" w:space="0"/>
                    <w:left w:val="single" w:color="auto" w:sz="2" w:space="0"/>
                    <w:bottom w:val="single" w:color="auto" w:sz="2" w:space="0"/>
                    <w:right w:val="single" w:color="auto" w:sz="2" w:space="0"/>
                  </w:tcBorders>
                  <w:vAlign w:val="center"/>
                </w:tcPr>
                <w:p w14:paraId="4B6A1037">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3" w:type="dxa"/>
                  <w:tcBorders>
                    <w:top w:val="single" w:color="auto" w:sz="2" w:space="0"/>
                    <w:left w:val="single" w:color="auto" w:sz="2" w:space="0"/>
                    <w:bottom w:val="single" w:color="auto" w:sz="2" w:space="0"/>
                    <w:right w:val="single" w:color="auto" w:sz="2" w:space="0"/>
                  </w:tcBorders>
                  <w:vAlign w:val="center"/>
                </w:tcPr>
                <w:p w14:paraId="799327D4">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进入漆渣中</w:t>
                  </w:r>
                </w:p>
              </w:tc>
              <w:tc>
                <w:tcPr>
                  <w:tcW w:w="2101" w:type="dxa"/>
                  <w:tcBorders>
                    <w:top w:val="single" w:color="auto" w:sz="2" w:space="0"/>
                    <w:left w:val="single" w:color="auto" w:sz="2" w:space="0"/>
                    <w:bottom w:val="single" w:color="auto" w:sz="2" w:space="0"/>
                    <w:right w:val="single" w:color="auto" w:sz="2" w:space="0"/>
                  </w:tcBorders>
                  <w:vAlign w:val="bottom"/>
                </w:tcPr>
                <w:p w14:paraId="362C4D8E">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0.0214</w:t>
                  </w:r>
                </w:p>
              </w:tc>
            </w:tr>
            <w:tr w14:paraId="1C0CB263">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restart"/>
                  <w:tcBorders>
                    <w:top w:val="single" w:color="auto" w:sz="2" w:space="0"/>
                    <w:left w:val="single" w:color="auto" w:sz="2" w:space="0"/>
                    <w:bottom w:val="single" w:color="auto" w:sz="2" w:space="0"/>
                    <w:right w:val="single" w:color="auto" w:sz="2" w:space="0"/>
                  </w:tcBorders>
                  <w:vAlign w:val="center"/>
                </w:tcPr>
                <w:p w14:paraId="79A900CB">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固形物</w:t>
                  </w:r>
                </w:p>
              </w:tc>
              <w:tc>
                <w:tcPr>
                  <w:tcW w:w="1525" w:type="dxa"/>
                  <w:vMerge w:val="restart"/>
                  <w:tcBorders>
                    <w:top w:val="single" w:color="auto" w:sz="2" w:space="0"/>
                    <w:left w:val="single" w:color="auto" w:sz="2" w:space="0"/>
                    <w:bottom w:val="single" w:color="auto" w:sz="2" w:space="0"/>
                    <w:right w:val="single" w:color="auto" w:sz="2" w:space="0"/>
                  </w:tcBorders>
                  <w:vAlign w:val="center"/>
                </w:tcPr>
                <w:p w14:paraId="7E1D52F2">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default" w:ascii="Times New Roman" w:hAnsi="Times New Roman" w:eastAsia="等线" w:cs="Times New Roman"/>
                      <w:i w:val="0"/>
                      <w:iCs w:val="0"/>
                      <w:color w:val="000000"/>
                      <w:kern w:val="0"/>
                      <w:sz w:val="18"/>
                      <w:szCs w:val="18"/>
                      <w:u w:val="none"/>
                      <w:lang w:val="en-US" w:eastAsia="zh-CN" w:bidi="ar"/>
                    </w:rPr>
                    <w:t>0.9168</w:t>
                  </w:r>
                </w:p>
              </w:tc>
              <w:tc>
                <w:tcPr>
                  <w:tcW w:w="3063" w:type="dxa"/>
                  <w:tcBorders>
                    <w:top w:val="single" w:color="auto" w:sz="2" w:space="0"/>
                    <w:left w:val="single" w:color="auto" w:sz="2" w:space="0"/>
                    <w:bottom w:val="single" w:color="auto" w:sz="2" w:space="0"/>
                    <w:right w:val="single" w:color="auto" w:sz="2" w:space="0"/>
                  </w:tcBorders>
                  <w:vAlign w:val="center"/>
                </w:tcPr>
                <w:p w14:paraId="3E29597D">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产品带走</w:t>
                  </w:r>
                </w:p>
              </w:tc>
              <w:tc>
                <w:tcPr>
                  <w:tcW w:w="2101" w:type="dxa"/>
                  <w:tcBorders>
                    <w:top w:val="single" w:color="auto" w:sz="2" w:space="0"/>
                    <w:left w:val="single" w:color="auto" w:sz="2" w:space="0"/>
                    <w:bottom w:val="single" w:color="auto" w:sz="2" w:space="0"/>
                    <w:right w:val="single" w:color="auto" w:sz="2" w:space="0"/>
                  </w:tcBorders>
                  <w:vAlign w:val="bottom"/>
                </w:tcPr>
                <w:p w14:paraId="06FE29F3">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eastAsia" w:ascii="宋体" w:hAnsi="宋体" w:eastAsia="宋体" w:cs="宋体"/>
                      <w:i w:val="0"/>
                      <w:iCs w:val="0"/>
                      <w:color w:val="000000"/>
                      <w:kern w:val="0"/>
                      <w:sz w:val="18"/>
                      <w:szCs w:val="18"/>
                      <w:u w:val="none"/>
                      <w:lang w:val="en-US" w:eastAsia="zh-CN" w:bidi="ar"/>
                    </w:rPr>
                    <w:t xml:space="preserve">0.6418 </w:t>
                  </w:r>
                </w:p>
              </w:tc>
            </w:tr>
            <w:tr w14:paraId="3EEA713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24892E79">
                  <w:pPr>
                    <w:pStyle w:val="200"/>
                    <w:spacing w:beforeLines="0" w:afterLines="0" w:line="240" w:lineRule="exact"/>
                    <w:rPr>
                      <w:rFonts w:hint="default" w:ascii="Times New Roman" w:hAnsi="Times New Roman" w:cs="Times New Roman"/>
                      <w:sz w:val="18"/>
                      <w:szCs w:val="18"/>
                    </w:rPr>
                  </w:pPr>
                </w:p>
              </w:tc>
              <w:tc>
                <w:tcPr>
                  <w:tcW w:w="1525" w:type="dxa"/>
                  <w:vMerge w:val="continue"/>
                  <w:tcBorders>
                    <w:top w:val="single" w:color="auto" w:sz="2" w:space="0"/>
                    <w:left w:val="single" w:color="auto" w:sz="2" w:space="0"/>
                    <w:bottom w:val="single" w:color="auto" w:sz="2" w:space="0"/>
                    <w:right w:val="single" w:color="auto" w:sz="2" w:space="0"/>
                  </w:tcBorders>
                  <w:vAlign w:val="center"/>
                </w:tcPr>
                <w:p w14:paraId="22C46F0E">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3" w:type="dxa"/>
                  <w:tcBorders>
                    <w:top w:val="single" w:color="auto" w:sz="2" w:space="0"/>
                    <w:left w:val="single" w:color="auto" w:sz="2" w:space="0"/>
                    <w:bottom w:val="single" w:color="auto" w:sz="2" w:space="0"/>
                    <w:right w:val="single" w:color="auto" w:sz="2" w:space="0"/>
                  </w:tcBorders>
                  <w:vAlign w:val="center"/>
                </w:tcPr>
                <w:p w14:paraId="7DC95D01">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进入漆渣中</w:t>
                  </w:r>
                </w:p>
              </w:tc>
              <w:tc>
                <w:tcPr>
                  <w:tcW w:w="2101" w:type="dxa"/>
                  <w:tcBorders>
                    <w:top w:val="single" w:color="auto" w:sz="2" w:space="0"/>
                    <w:left w:val="single" w:color="auto" w:sz="2" w:space="0"/>
                    <w:bottom w:val="single" w:color="auto" w:sz="2" w:space="0"/>
                    <w:right w:val="single" w:color="auto" w:sz="2" w:space="0"/>
                  </w:tcBorders>
                  <w:shd w:val="clear" w:color="auto" w:fill="FFFFFF"/>
                  <w:vAlign w:val="bottom"/>
                </w:tcPr>
                <w:p w14:paraId="185D1B5C">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default" w:ascii="Times New Roman" w:hAnsi="Times New Roman" w:eastAsia="等线" w:cs="Times New Roman"/>
                      <w:i w:val="0"/>
                      <w:iCs w:val="0"/>
                      <w:color w:val="000000"/>
                      <w:kern w:val="0"/>
                      <w:sz w:val="18"/>
                      <w:szCs w:val="18"/>
                      <w:u w:val="none"/>
                      <w:lang w:val="en-US" w:eastAsia="zh-CN" w:bidi="ar"/>
                    </w:rPr>
                    <w:t>0.2475</w:t>
                  </w:r>
                </w:p>
              </w:tc>
            </w:tr>
            <w:tr w14:paraId="5AEDECA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3C6F6F23">
                  <w:pPr>
                    <w:pStyle w:val="200"/>
                    <w:spacing w:beforeLines="0" w:afterLines="0" w:line="240" w:lineRule="exact"/>
                    <w:rPr>
                      <w:rFonts w:hint="default" w:ascii="Times New Roman" w:hAnsi="Times New Roman" w:cs="Times New Roman"/>
                      <w:sz w:val="18"/>
                      <w:szCs w:val="18"/>
                    </w:rPr>
                  </w:pPr>
                </w:p>
              </w:tc>
              <w:tc>
                <w:tcPr>
                  <w:tcW w:w="1525" w:type="dxa"/>
                  <w:vMerge w:val="continue"/>
                  <w:tcBorders>
                    <w:top w:val="single" w:color="auto" w:sz="2" w:space="0"/>
                    <w:left w:val="single" w:color="auto" w:sz="2" w:space="0"/>
                    <w:bottom w:val="single" w:color="auto" w:sz="2" w:space="0"/>
                    <w:right w:val="single" w:color="auto" w:sz="2" w:space="0"/>
                  </w:tcBorders>
                  <w:vAlign w:val="center"/>
                </w:tcPr>
                <w:p w14:paraId="4787FFF7">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3" w:type="dxa"/>
                  <w:tcBorders>
                    <w:top w:val="single" w:color="auto" w:sz="2" w:space="0"/>
                    <w:left w:val="single" w:color="auto" w:sz="2" w:space="0"/>
                    <w:bottom w:val="single" w:color="auto" w:sz="2" w:space="0"/>
                    <w:right w:val="single" w:color="auto" w:sz="2" w:space="0"/>
                  </w:tcBorders>
                  <w:vAlign w:val="center"/>
                </w:tcPr>
                <w:p w14:paraId="767FEE91">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喷漆过程排气筒排放</w:t>
                  </w:r>
                </w:p>
              </w:tc>
              <w:tc>
                <w:tcPr>
                  <w:tcW w:w="2101" w:type="dxa"/>
                  <w:tcBorders>
                    <w:top w:val="single" w:color="auto" w:sz="2" w:space="0"/>
                    <w:left w:val="single" w:color="auto" w:sz="2" w:space="0"/>
                    <w:bottom w:val="single" w:color="auto" w:sz="2" w:space="0"/>
                    <w:right w:val="single" w:color="auto" w:sz="2" w:space="0"/>
                  </w:tcBorders>
                  <w:shd w:val="clear" w:color="auto" w:fill="FFFFFF"/>
                  <w:vAlign w:val="bottom"/>
                </w:tcPr>
                <w:p w14:paraId="2D61EC75">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default" w:ascii="Times New Roman" w:hAnsi="Times New Roman" w:eastAsia="等线" w:cs="Times New Roman"/>
                      <w:i w:val="0"/>
                      <w:iCs w:val="0"/>
                      <w:color w:val="000000"/>
                      <w:kern w:val="0"/>
                      <w:sz w:val="18"/>
                      <w:szCs w:val="18"/>
                      <w:u w:val="none"/>
                      <w:lang w:val="en-US" w:eastAsia="zh-CN" w:bidi="ar"/>
                    </w:rPr>
                    <w:t>0.0275</w:t>
                  </w:r>
                </w:p>
              </w:tc>
            </w:tr>
            <w:tr w14:paraId="42485B0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tcBorders>
                    <w:top w:val="single" w:color="auto" w:sz="2" w:space="0"/>
                    <w:left w:val="single" w:color="auto" w:sz="2" w:space="0"/>
                    <w:bottom w:val="single" w:color="auto" w:sz="2" w:space="0"/>
                    <w:right w:val="single" w:color="auto" w:sz="2" w:space="0"/>
                  </w:tcBorders>
                  <w:vAlign w:val="center"/>
                </w:tcPr>
                <w:p w14:paraId="7E531CE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合计</w:t>
                  </w:r>
                </w:p>
              </w:tc>
              <w:tc>
                <w:tcPr>
                  <w:tcW w:w="1525" w:type="dxa"/>
                  <w:tcBorders>
                    <w:top w:val="single" w:color="auto" w:sz="2" w:space="0"/>
                    <w:left w:val="single" w:color="auto" w:sz="2" w:space="0"/>
                    <w:bottom w:val="single" w:color="auto" w:sz="2" w:space="0"/>
                    <w:right w:val="single" w:color="auto" w:sz="2" w:space="0"/>
                  </w:tcBorders>
                  <w:vAlign w:val="center"/>
                </w:tcPr>
                <w:p w14:paraId="23FAE00F">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default" w:ascii="Times New Roman" w:hAnsi="Times New Roman" w:eastAsia="等线" w:cs="Times New Roman"/>
                      <w:i w:val="0"/>
                      <w:iCs w:val="0"/>
                      <w:color w:val="000000"/>
                      <w:kern w:val="0"/>
                      <w:sz w:val="18"/>
                      <w:szCs w:val="18"/>
                      <w:u w:val="none"/>
                      <w:lang w:val="en-US" w:eastAsia="zh-CN" w:bidi="ar"/>
                    </w:rPr>
                    <w:t>1.344</w:t>
                  </w:r>
                </w:p>
              </w:tc>
              <w:tc>
                <w:tcPr>
                  <w:tcW w:w="3063" w:type="dxa"/>
                  <w:tcBorders>
                    <w:top w:val="single" w:color="auto" w:sz="2" w:space="0"/>
                    <w:left w:val="single" w:color="auto" w:sz="2" w:space="0"/>
                    <w:bottom w:val="single" w:color="auto" w:sz="2" w:space="0"/>
                    <w:right w:val="single" w:color="auto" w:sz="2" w:space="0"/>
                  </w:tcBorders>
                  <w:vAlign w:val="center"/>
                </w:tcPr>
                <w:p w14:paraId="6955597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合计</w:t>
                  </w:r>
                </w:p>
              </w:tc>
              <w:tc>
                <w:tcPr>
                  <w:tcW w:w="2101" w:type="dxa"/>
                  <w:tcBorders>
                    <w:top w:val="single" w:color="auto" w:sz="2" w:space="0"/>
                    <w:left w:val="single" w:color="auto" w:sz="2" w:space="0"/>
                    <w:bottom w:val="single" w:color="auto" w:sz="2" w:space="0"/>
                    <w:right w:val="single" w:color="auto" w:sz="2" w:space="0"/>
                  </w:tcBorders>
                  <w:vAlign w:val="bottom"/>
                </w:tcPr>
                <w:p w14:paraId="6265FF02">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default" w:ascii="Times New Roman" w:hAnsi="Times New Roman" w:eastAsia="等线" w:cs="Times New Roman"/>
                      <w:i w:val="0"/>
                      <w:iCs w:val="0"/>
                      <w:color w:val="000000"/>
                      <w:kern w:val="0"/>
                      <w:sz w:val="18"/>
                      <w:szCs w:val="18"/>
                      <w:u w:val="none"/>
                      <w:lang w:val="en-US" w:eastAsia="zh-CN" w:bidi="ar"/>
                    </w:rPr>
                    <w:t>1.344</w:t>
                  </w:r>
                </w:p>
              </w:tc>
            </w:tr>
            <w:tr w14:paraId="493F6D3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8401" w:type="dxa"/>
                  <w:gridSpan w:val="4"/>
                  <w:tcBorders>
                    <w:top w:val="single" w:color="auto" w:sz="2" w:space="0"/>
                    <w:left w:val="single" w:color="auto" w:sz="2" w:space="0"/>
                    <w:bottom w:val="single" w:color="auto" w:sz="2" w:space="0"/>
                    <w:right w:val="single" w:color="auto" w:sz="2" w:space="0"/>
                  </w:tcBorders>
                  <w:vAlign w:val="center"/>
                </w:tcPr>
                <w:p w14:paraId="427FEC88">
                  <w:pPr>
                    <w:pStyle w:val="200"/>
                    <w:spacing w:beforeLines="0" w:afterLines="0" w:line="240" w:lineRule="exact"/>
                    <w:jc w:val="both"/>
                    <w:rPr>
                      <w:rFonts w:hint="default" w:ascii="Times New Roman" w:hAnsi="Times New Roman" w:cs="Times New Roman"/>
                      <w:sz w:val="18"/>
                      <w:szCs w:val="18"/>
                    </w:rPr>
                  </w:pPr>
                </w:p>
              </w:tc>
            </w:tr>
          </w:tbl>
          <w:p w14:paraId="5834DE3C">
            <w:pPr>
              <w:spacing w:line="360" w:lineRule="auto"/>
              <w:jc w:val="center"/>
              <w:rPr>
                <w:rFonts w:hint="default" w:ascii="Times New Roman" w:hAnsi="Times New Roman" w:eastAsia="黑体" w:cs="Times New Roman"/>
              </w:rPr>
            </w:pPr>
            <w:r>
              <w:rPr>
                <w:rFonts w:hint="default" w:ascii="Times New Roman" w:hAnsi="Times New Roman" w:cs="Times New Roman"/>
              </w:rPr>
              <w:object>
                <v:shape id="_x0000_i1038" o:spt="75" type="#_x0000_t75" style="height:327.1pt;width:434.4pt;" o:ole="t" filled="f" o:preferrelative="t" stroked="f" coordsize="21600,21600">
                  <v:path/>
                  <v:fill on="f" focussize="0,0"/>
                  <v:stroke on="f"/>
                  <v:imagedata r:id="rId39" o:title=""/>
                  <o:lock v:ext="edit" aspectratio="t"/>
                  <w10:wrap type="none"/>
                  <w10:anchorlock/>
                </v:shape>
                <o:OLEObject Type="Embed" ProgID="Visio.Drawing.11" ShapeID="_x0000_i1038" DrawAspect="Content" ObjectID="_1468075738" r:id="rId38">
                  <o:LockedField>false</o:LockedField>
                </o:OLEObject>
              </w:object>
            </w:r>
            <w:r>
              <w:rPr>
                <w:rFonts w:hint="default" w:ascii="Times New Roman" w:hAnsi="Times New Roman" w:eastAsia="黑体" w:cs="Times New Roman"/>
              </w:rPr>
              <w:t>图2-</w:t>
            </w:r>
            <w:r>
              <w:rPr>
                <w:rFonts w:hint="eastAsia" w:eastAsia="黑体" w:cs="Times New Roman"/>
                <w:lang w:val="en-US" w:eastAsia="zh-CN"/>
              </w:rPr>
              <w:t>4</w:t>
            </w:r>
            <w:r>
              <w:rPr>
                <w:rFonts w:hint="default" w:ascii="Times New Roman" w:hAnsi="Times New Roman" w:eastAsia="黑体" w:cs="Times New Roman"/>
              </w:rPr>
              <w:t>（1）底涂物料平衡图</w:t>
            </w:r>
          </w:p>
          <w:p w14:paraId="306F0B7E">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表2-1</w:t>
            </w:r>
            <w:r>
              <w:rPr>
                <w:rFonts w:hint="eastAsia" w:ascii="宋体" w:hAnsi="宋体" w:eastAsia="宋体" w:cs="宋体"/>
                <w:b/>
                <w:bCs/>
                <w:lang w:val="en-US" w:eastAsia="zh-CN"/>
              </w:rPr>
              <w:t>5</w:t>
            </w:r>
            <w:r>
              <w:rPr>
                <w:rFonts w:hint="eastAsia" w:ascii="宋体" w:hAnsi="宋体" w:eastAsia="宋体" w:cs="宋体"/>
                <w:b/>
                <w:bCs/>
                <w:lang w:val="de-DE"/>
              </w:rPr>
              <w:t>（2）  面涂物料平衡参数一览表</w:t>
            </w:r>
          </w:p>
          <w:tbl>
            <w:tblPr>
              <w:tblStyle w:val="81"/>
              <w:tblW w:w="499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712"/>
              <w:gridCol w:w="1405"/>
              <w:gridCol w:w="3188"/>
              <w:gridCol w:w="2101"/>
            </w:tblGrid>
            <w:tr w14:paraId="6296D5C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3116" w:type="dxa"/>
                  <w:gridSpan w:val="2"/>
                  <w:tcBorders>
                    <w:top w:val="single" w:color="auto" w:sz="2" w:space="0"/>
                    <w:left w:val="single" w:color="auto" w:sz="2" w:space="0"/>
                    <w:bottom w:val="single" w:color="auto" w:sz="2" w:space="0"/>
                    <w:right w:val="single" w:color="auto" w:sz="2" w:space="0"/>
                  </w:tcBorders>
                  <w:vAlign w:val="center"/>
                </w:tcPr>
                <w:p w14:paraId="4DAA49DD">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名称</w:t>
                  </w:r>
                </w:p>
              </w:tc>
              <w:tc>
                <w:tcPr>
                  <w:tcW w:w="5286" w:type="dxa"/>
                  <w:gridSpan w:val="2"/>
                  <w:tcBorders>
                    <w:top w:val="single" w:color="auto" w:sz="2" w:space="0"/>
                    <w:left w:val="single" w:color="auto" w:sz="2" w:space="0"/>
                    <w:bottom w:val="single" w:color="auto" w:sz="2" w:space="0"/>
                    <w:right w:val="single" w:color="auto" w:sz="2" w:space="0"/>
                  </w:tcBorders>
                  <w:vAlign w:val="center"/>
                </w:tcPr>
                <w:p w14:paraId="349779A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带入量t/a</w:t>
                  </w:r>
                </w:p>
              </w:tc>
            </w:tr>
            <w:tr w14:paraId="12739AE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1712" w:type="dxa"/>
                  <w:tcBorders>
                    <w:top w:val="single" w:color="auto" w:sz="2" w:space="0"/>
                    <w:left w:val="single" w:color="auto" w:sz="2" w:space="0"/>
                    <w:bottom w:val="single" w:color="auto" w:sz="2" w:space="0"/>
                    <w:right w:val="single" w:color="auto" w:sz="2" w:space="0"/>
                  </w:tcBorders>
                  <w:vAlign w:val="center"/>
                </w:tcPr>
                <w:p w14:paraId="247C17D6">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名称</w:t>
                  </w:r>
                </w:p>
              </w:tc>
              <w:tc>
                <w:tcPr>
                  <w:tcW w:w="1404" w:type="dxa"/>
                  <w:tcBorders>
                    <w:top w:val="single" w:color="auto" w:sz="2" w:space="0"/>
                    <w:left w:val="single" w:color="auto" w:sz="2" w:space="0"/>
                    <w:bottom w:val="single" w:color="auto" w:sz="2" w:space="0"/>
                    <w:right w:val="single" w:color="auto" w:sz="2" w:space="0"/>
                  </w:tcBorders>
                  <w:vAlign w:val="center"/>
                </w:tcPr>
                <w:p w14:paraId="420B02B1">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带入量t/a</w:t>
                  </w:r>
                </w:p>
              </w:tc>
              <w:tc>
                <w:tcPr>
                  <w:tcW w:w="3186" w:type="dxa"/>
                  <w:tcBorders>
                    <w:top w:val="single" w:color="auto" w:sz="2" w:space="0"/>
                    <w:left w:val="single" w:color="auto" w:sz="2" w:space="0"/>
                    <w:bottom w:val="single" w:color="auto" w:sz="2" w:space="0"/>
                    <w:right w:val="single" w:color="auto" w:sz="2" w:space="0"/>
                  </w:tcBorders>
                  <w:vAlign w:val="center"/>
                </w:tcPr>
                <w:p w14:paraId="4C4840E4">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环节</w:t>
                  </w:r>
                </w:p>
              </w:tc>
              <w:tc>
                <w:tcPr>
                  <w:tcW w:w="2100" w:type="dxa"/>
                  <w:tcBorders>
                    <w:top w:val="single" w:color="auto" w:sz="2" w:space="0"/>
                    <w:left w:val="single" w:color="auto" w:sz="2" w:space="0"/>
                    <w:bottom w:val="single" w:color="auto" w:sz="2" w:space="0"/>
                    <w:right w:val="single" w:color="auto" w:sz="2" w:space="0"/>
                  </w:tcBorders>
                  <w:vAlign w:val="center"/>
                </w:tcPr>
                <w:p w14:paraId="36D37D35">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排出量t/a</w:t>
                  </w:r>
                </w:p>
              </w:tc>
            </w:tr>
            <w:tr w14:paraId="5BF5D63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restart"/>
                  <w:tcBorders>
                    <w:top w:val="single" w:color="auto" w:sz="2" w:space="0"/>
                    <w:left w:val="single" w:color="auto" w:sz="2" w:space="0"/>
                    <w:bottom w:val="single" w:color="auto" w:sz="2" w:space="0"/>
                    <w:right w:val="single" w:color="auto" w:sz="2" w:space="0"/>
                  </w:tcBorders>
                  <w:vAlign w:val="center"/>
                </w:tcPr>
                <w:p w14:paraId="591A0A69">
                  <w:pPr>
                    <w:pStyle w:val="200"/>
                    <w:spacing w:beforeLines="0" w:afterLines="0" w:line="240" w:lineRule="exact"/>
                    <w:rPr>
                      <w:rFonts w:hint="default" w:ascii="Times New Roman" w:hAnsi="Times New Roman" w:eastAsia="宋体" w:cs="Times New Roman"/>
                      <w:sz w:val="18"/>
                      <w:szCs w:val="18"/>
                      <w:lang w:eastAsia="zh-CN"/>
                    </w:rPr>
                  </w:pPr>
                  <w:r>
                    <w:rPr>
                      <w:rFonts w:hint="default" w:ascii="Times New Roman" w:hAnsi="Times New Roman" w:cs="Times New Roman"/>
                      <w:color w:val="000000"/>
                      <w:sz w:val="18"/>
                      <w:szCs w:val="18"/>
                    </w:rPr>
                    <w:t>VOC</w:t>
                  </w:r>
                </w:p>
              </w:tc>
              <w:tc>
                <w:tcPr>
                  <w:tcW w:w="1404" w:type="dxa"/>
                  <w:vMerge w:val="restart"/>
                  <w:tcBorders>
                    <w:top w:val="single" w:color="auto" w:sz="2" w:space="0"/>
                    <w:left w:val="single" w:color="auto" w:sz="2" w:space="0"/>
                    <w:bottom w:val="single" w:color="auto" w:sz="2" w:space="0"/>
                    <w:right w:val="single" w:color="auto" w:sz="2" w:space="0"/>
                  </w:tcBorders>
                  <w:vAlign w:val="center"/>
                </w:tcPr>
                <w:p w14:paraId="56B4D6A7">
                  <w:pPr>
                    <w:keepNext w:val="0"/>
                    <w:keepLines w:val="0"/>
                    <w:widowControl/>
                    <w:suppressLineNumbers w:val="0"/>
                    <w:jc w:val="center"/>
                    <w:textAlignment w:val="bottom"/>
                    <w:rPr>
                      <w:rFonts w:hint="default" w:ascii="Times New Roman" w:hAnsi="Times New Roman" w:eastAsia="宋体" w:cs="Times New Roman"/>
                      <w:sz w:val="18"/>
                      <w:szCs w:val="18"/>
                      <w:lang w:val="en-US" w:eastAsia="zh-CN"/>
                    </w:rPr>
                  </w:pPr>
                  <w:r>
                    <w:rPr>
                      <w:rFonts w:hint="default" w:ascii="Times New Roman" w:hAnsi="Times New Roman" w:eastAsia="等线" w:cs="Times New Roman"/>
                      <w:i w:val="0"/>
                      <w:iCs w:val="0"/>
                      <w:color w:val="000000"/>
                      <w:kern w:val="0"/>
                      <w:sz w:val="18"/>
                      <w:szCs w:val="18"/>
                      <w:u w:val="none"/>
                      <w:lang w:val="en-US" w:eastAsia="zh-CN" w:bidi="ar"/>
                    </w:rPr>
                    <w:t>0.4158</w:t>
                  </w:r>
                </w:p>
              </w:tc>
              <w:tc>
                <w:tcPr>
                  <w:tcW w:w="3186" w:type="dxa"/>
                  <w:tcBorders>
                    <w:top w:val="single" w:color="auto" w:sz="2" w:space="0"/>
                    <w:left w:val="single" w:color="auto" w:sz="2" w:space="0"/>
                    <w:bottom w:val="single" w:color="auto" w:sz="2" w:space="0"/>
                    <w:right w:val="single" w:color="auto" w:sz="2" w:space="0"/>
                  </w:tcBorders>
                  <w:vAlign w:val="center"/>
                </w:tcPr>
                <w:p w14:paraId="652CE2A6">
                  <w:pPr>
                    <w:pStyle w:val="200"/>
                    <w:spacing w:beforeLines="0" w:afterLines="0" w:line="240" w:lineRule="exact"/>
                    <w:jc w:val="both"/>
                    <w:rPr>
                      <w:rFonts w:hint="default" w:ascii="Times New Roman" w:hAnsi="Times New Roman" w:cs="Times New Roman"/>
                      <w:sz w:val="18"/>
                      <w:szCs w:val="18"/>
                    </w:rPr>
                  </w:pPr>
                  <w:r>
                    <w:rPr>
                      <w:rFonts w:hint="default" w:ascii="Times New Roman" w:hAnsi="Times New Roman" w:cs="Times New Roman"/>
                      <w:color w:val="000000"/>
                      <w:sz w:val="18"/>
                      <w:szCs w:val="18"/>
                      <w:lang w:eastAsia="zh-CN"/>
                    </w:rPr>
                    <w:t>调漆及喷漆</w:t>
                  </w:r>
                  <w:r>
                    <w:rPr>
                      <w:rFonts w:hint="default" w:ascii="Times New Roman" w:hAnsi="Times New Roman" w:cs="Times New Roman"/>
                      <w:color w:val="000000"/>
                      <w:sz w:val="18"/>
                      <w:szCs w:val="18"/>
                    </w:rPr>
                    <w:t>过程净化装置去除VOC</w:t>
                  </w:r>
                </w:p>
              </w:tc>
              <w:tc>
                <w:tcPr>
                  <w:tcW w:w="2100" w:type="dxa"/>
                  <w:tcBorders>
                    <w:top w:val="single" w:color="auto" w:sz="2" w:space="0"/>
                    <w:left w:val="single" w:color="auto" w:sz="2" w:space="0"/>
                    <w:bottom w:val="single" w:color="auto" w:sz="2" w:space="0"/>
                    <w:right w:val="single" w:color="auto" w:sz="2" w:space="0"/>
                  </w:tcBorders>
                  <w:vAlign w:val="bottom"/>
                </w:tcPr>
                <w:p w14:paraId="1F4C1AAC">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0.1746</w:t>
                  </w:r>
                </w:p>
              </w:tc>
            </w:tr>
            <w:tr w14:paraId="2F2C83D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6EBCC776">
                  <w:pPr>
                    <w:pStyle w:val="200"/>
                    <w:spacing w:beforeLines="0" w:afterLines="0" w:line="240" w:lineRule="exact"/>
                    <w:rPr>
                      <w:rFonts w:hint="default" w:ascii="Times New Roman" w:hAnsi="Times New Roman" w:cs="Times New Roman"/>
                      <w:sz w:val="18"/>
                      <w:szCs w:val="18"/>
                    </w:rPr>
                  </w:pPr>
                </w:p>
              </w:tc>
              <w:tc>
                <w:tcPr>
                  <w:tcW w:w="1404" w:type="dxa"/>
                  <w:vMerge w:val="continue"/>
                  <w:tcBorders>
                    <w:top w:val="single" w:color="auto" w:sz="2" w:space="0"/>
                    <w:left w:val="single" w:color="auto" w:sz="2" w:space="0"/>
                    <w:bottom w:val="single" w:color="auto" w:sz="2" w:space="0"/>
                    <w:right w:val="single" w:color="auto" w:sz="2" w:space="0"/>
                  </w:tcBorders>
                  <w:vAlign w:val="center"/>
                </w:tcPr>
                <w:p w14:paraId="70D77D73">
                  <w:pPr>
                    <w:pStyle w:val="200"/>
                    <w:spacing w:beforeLines="0" w:afterLines="0" w:line="240" w:lineRule="exact"/>
                    <w:jc w:val="center"/>
                    <w:rPr>
                      <w:rFonts w:hint="default" w:ascii="Times New Roman" w:hAnsi="Times New Roman" w:cs="Times New Roman"/>
                      <w:sz w:val="18"/>
                      <w:szCs w:val="18"/>
                    </w:rPr>
                  </w:pPr>
                </w:p>
              </w:tc>
              <w:tc>
                <w:tcPr>
                  <w:tcW w:w="3186" w:type="dxa"/>
                  <w:tcBorders>
                    <w:top w:val="single" w:color="auto" w:sz="2" w:space="0"/>
                    <w:left w:val="single" w:color="auto" w:sz="2" w:space="0"/>
                    <w:bottom w:val="single" w:color="auto" w:sz="2" w:space="0"/>
                    <w:right w:val="single" w:color="auto" w:sz="2" w:space="0"/>
                  </w:tcBorders>
                  <w:vAlign w:val="center"/>
                </w:tcPr>
                <w:p w14:paraId="26EAE156">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lang w:eastAsia="zh-CN"/>
                    </w:rPr>
                    <w:t>调漆及喷漆</w:t>
                  </w:r>
                  <w:r>
                    <w:rPr>
                      <w:rFonts w:hint="default" w:ascii="Times New Roman" w:hAnsi="Times New Roman" w:cs="Times New Roman"/>
                      <w:color w:val="000000"/>
                      <w:sz w:val="18"/>
                      <w:szCs w:val="18"/>
                    </w:rPr>
                    <w:t>过程排气筒排放VOC</w:t>
                  </w:r>
                </w:p>
              </w:tc>
              <w:tc>
                <w:tcPr>
                  <w:tcW w:w="2100" w:type="dxa"/>
                  <w:tcBorders>
                    <w:top w:val="single" w:color="auto" w:sz="2" w:space="0"/>
                    <w:left w:val="single" w:color="auto" w:sz="2" w:space="0"/>
                    <w:bottom w:val="single" w:color="auto" w:sz="2" w:space="0"/>
                    <w:right w:val="single" w:color="auto" w:sz="2" w:space="0"/>
                  </w:tcBorders>
                  <w:vAlign w:val="bottom"/>
                </w:tcPr>
                <w:p w14:paraId="58C5B25D">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0.0749</w:t>
                  </w:r>
                </w:p>
              </w:tc>
            </w:tr>
            <w:tr w14:paraId="221DD94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4606DC92">
                  <w:pPr>
                    <w:pStyle w:val="200"/>
                    <w:spacing w:beforeLines="0" w:afterLines="0" w:line="240" w:lineRule="exact"/>
                    <w:rPr>
                      <w:rFonts w:hint="default" w:ascii="Times New Roman" w:hAnsi="Times New Roman" w:cs="Times New Roman"/>
                      <w:sz w:val="18"/>
                      <w:szCs w:val="18"/>
                    </w:rPr>
                  </w:pPr>
                </w:p>
              </w:tc>
              <w:tc>
                <w:tcPr>
                  <w:tcW w:w="1404" w:type="dxa"/>
                  <w:vMerge w:val="continue"/>
                  <w:tcBorders>
                    <w:top w:val="single" w:color="auto" w:sz="2" w:space="0"/>
                    <w:left w:val="single" w:color="auto" w:sz="2" w:space="0"/>
                    <w:bottom w:val="single" w:color="auto" w:sz="2" w:space="0"/>
                    <w:right w:val="single" w:color="auto" w:sz="2" w:space="0"/>
                  </w:tcBorders>
                  <w:vAlign w:val="center"/>
                </w:tcPr>
                <w:p w14:paraId="3303A127">
                  <w:pPr>
                    <w:pStyle w:val="200"/>
                    <w:spacing w:beforeLines="0" w:afterLines="0" w:line="240" w:lineRule="exact"/>
                    <w:jc w:val="center"/>
                    <w:rPr>
                      <w:rFonts w:hint="default" w:ascii="Times New Roman" w:hAnsi="Times New Roman" w:cs="Times New Roman"/>
                      <w:sz w:val="18"/>
                      <w:szCs w:val="18"/>
                    </w:rPr>
                  </w:pPr>
                </w:p>
              </w:tc>
              <w:tc>
                <w:tcPr>
                  <w:tcW w:w="3186" w:type="dxa"/>
                  <w:tcBorders>
                    <w:top w:val="single" w:color="auto" w:sz="2" w:space="0"/>
                    <w:left w:val="single" w:color="auto" w:sz="2" w:space="0"/>
                    <w:bottom w:val="single" w:color="auto" w:sz="2" w:space="0"/>
                    <w:right w:val="single" w:color="auto" w:sz="2" w:space="0"/>
                  </w:tcBorders>
                  <w:vAlign w:val="center"/>
                </w:tcPr>
                <w:p w14:paraId="60CCA249">
                  <w:pPr>
                    <w:pStyle w:val="200"/>
                    <w:spacing w:beforeLines="0" w:afterLines="0" w:line="240" w:lineRule="exact"/>
                    <w:rPr>
                      <w:rFonts w:hint="default" w:ascii="Times New Roman" w:hAnsi="Times New Roman" w:cs="Times New Roman"/>
                      <w:sz w:val="18"/>
                      <w:szCs w:val="18"/>
                    </w:rPr>
                  </w:pPr>
                  <w:r>
                    <w:rPr>
                      <w:rFonts w:hint="eastAsia" w:ascii="Times New Roman" w:hAnsi="Times New Roman" w:cs="Times New Roman"/>
                      <w:color w:val="000000"/>
                      <w:sz w:val="18"/>
                      <w:szCs w:val="18"/>
                      <w:lang w:eastAsia="zh-CN"/>
                    </w:rPr>
                    <w:t>晾</w:t>
                  </w:r>
                  <w:r>
                    <w:rPr>
                      <w:rFonts w:hint="default" w:ascii="Times New Roman" w:hAnsi="Times New Roman" w:cs="Times New Roman"/>
                      <w:color w:val="000000"/>
                      <w:sz w:val="18"/>
                      <w:szCs w:val="18"/>
                    </w:rPr>
                    <w:t>干过程净化装置去除VOC</w:t>
                  </w:r>
                </w:p>
              </w:tc>
              <w:tc>
                <w:tcPr>
                  <w:tcW w:w="2100" w:type="dxa"/>
                  <w:tcBorders>
                    <w:top w:val="single" w:color="auto" w:sz="2" w:space="0"/>
                    <w:left w:val="single" w:color="auto" w:sz="2" w:space="0"/>
                    <w:bottom w:val="single" w:color="auto" w:sz="2" w:space="0"/>
                    <w:right w:val="single" w:color="auto" w:sz="2" w:space="0"/>
                  </w:tcBorders>
                  <w:vAlign w:val="bottom"/>
                </w:tcPr>
                <w:p w14:paraId="79828DBA">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0.096</w:t>
                  </w:r>
                </w:p>
              </w:tc>
            </w:tr>
            <w:tr w14:paraId="005C28A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90" w:hRule="atLeast"/>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5573BA2C">
                  <w:pPr>
                    <w:pStyle w:val="200"/>
                    <w:spacing w:beforeLines="0" w:afterLines="0" w:line="240" w:lineRule="exact"/>
                    <w:rPr>
                      <w:rFonts w:hint="default" w:ascii="Times New Roman" w:hAnsi="Times New Roman" w:cs="Times New Roman"/>
                      <w:sz w:val="18"/>
                      <w:szCs w:val="18"/>
                    </w:rPr>
                  </w:pPr>
                </w:p>
              </w:tc>
              <w:tc>
                <w:tcPr>
                  <w:tcW w:w="1404" w:type="dxa"/>
                  <w:vMerge w:val="continue"/>
                  <w:tcBorders>
                    <w:top w:val="single" w:color="auto" w:sz="2" w:space="0"/>
                    <w:left w:val="single" w:color="auto" w:sz="2" w:space="0"/>
                    <w:bottom w:val="single" w:color="auto" w:sz="2" w:space="0"/>
                    <w:right w:val="single" w:color="auto" w:sz="2" w:space="0"/>
                  </w:tcBorders>
                  <w:vAlign w:val="center"/>
                </w:tcPr>
                <w:p w14:paraId="24C8C9D9">
                  <w:pPr>
                    <w:pStyle w:val="200"/>
                    <w:spacing w:beforeLines="0" w:afterLines="0" w:line="240" w:lineRule="exact"/>
                    <w:jc w:val="center"/>
                    <w:rPr>
                      <w:rFonts w:hint="default" w:ascii="Times New Roman" w:hAnsi="Times New Roman" w:cs="Times New Roman"/>
                      <w:sz w:val="18"/>
                      <w:szCs w:val="18"/>
                    </w:rPr>
                  </w:pPr>
                </w:p>
              </w:tc>
              <w:tc>
                <w:tcPr>
                  <w:tcW w:w="3186" w:type="dxa"/>
                  <w:tcBorders>
                    <w:top w:val="single" w:color="auto" w:sz="2" w:space="0"/>
                    <w:left w:val="single" w:color="auto" w:sz="2" w:space="0"/>
                    <w:bottom w:val="single" w:color="auto" w:sz="2" w:space="0"/>
                    <w:right w:val="single" w:color="auto" w:sz="2" w:space="0"/>
                  </w:tcBorders>
                  <w:vAlign w:val="center"/>
                </w:tcPr>
                <w:p w14:paraId="2981B541">
                  <w:pPr>
                    <w:pStyle w:val="200"/>
                    <w:spacing w:beforeLines="0" w:afterLines="0" w:line="240" w:lineRule="exact"/>
                    <w:rPr>
                      <w:rFonts w:hint="default" w:ascii="Times New Roman" w:hAnsi="Times New Roman" w:cs="Times New Roman"/>
                      <w:sz w:val="18"/>
                      <w:szCs w:val="18"/>
                    </w:rPr>
                  </w:pPr>
                  <w:r>
                    <w:rPr>
                      <w:rFonts w:hint="eastAsia" w:ascii="Times New Roman" w:hAnsi="Times New Roman" w:cs="Times New Roman"/>
                      <w:color w:val="000000"/>
                      <w:sz w:val="18"/>
                      <w:szCs w:val="18"/>
                      <w:lang w:eastAsia="zh-CN"/>
                    </w:rPr>
                    <w:t>晾</w:t>
                  </w:r>
                  <w:r>
                    <w:rPr>
                      <w:rFonts w:hint="default" w:ascii="Times New Roman" w:hAnsi="Times New Roman" w:cs="Times New Roman"/>
                      <w:color w:val="000000"/>
                      <w:sz w:val="18"/>
                      <w:szCs w:val="18"/>
                    </w:rPr>
                    <w:t>干过程排气筒排放VOC</w:t>
                  </w:r>
                </w:p>
              </w:tc>
              <w:tc>
                <w:tcPr>
                  <w:tcW w:w="2100" w:type="dxa"/>
                  <w:tcBorders>
                    <w:top w:val="single" w:color="auto" w:sz="2" w:space="0"/>
                    <w:left w:val="single" w:color="auto" w:sz="2" w:space="0"/>
                    <w:bottom w:val="single" w:color="auto" w:sz="2" w:space="0"/>
                    <w:right w:val="single" w:color="auto" w:sz="2" w:space="0"/>
                  </w:tcBorders>
                  <w:vAlign w:val="bottom"/>
                </w:tcPr>
                <w:p w14:paraId="5E1F88EF">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0.0412</w:t>
                  </w:r>
                </w:p>
              </w:tc>
            </w:tr>
            <w:tr w14:paraId="5105685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687825A4">
                  <w:pPr>
                    <w:pStyle w:val="200"/>
                    <w:spacing w:beforeLines="0" w:afterLines="0" w:line="240" w:lineRule="exact"/>
                    <w:rPr>
                      <w:rFonts w:hint="default" w:ascii="Times New Roman" w:hAnsi="Times New Roman" w:cs="Times New Roman"/>
                      <w:sz w:val="18"/>
                      <w:szCs w:val="18"/>
                    </w:rPr>
                  </w:pPr>
                </w:p>
              </w:tc>
              <w:tc>
                <w:tcPr>
                  <w:tcW w:w="1404" w:type="dxa"/>
                  <w:vMerge w:val="continue"/>
                  <w:tcBorders>
                    <w:top w:val="single" w:color="auto" w:sz="2" w:space="0"/>
                    <w:left w:val="single" w:color="auto" w:sz="2" w:space="0"/>
                    <w:bottom w:val="single" w:color="auto" w:sz="2" w:space="0"/>
                    <w:right w:val="single" w:color="auto" w:sz="2" w:space="0"/>
                  </w:tcBorders>
                  <w:vAlign w:val="center"/>
                </w:tcPr>
                <w:p w14:paraId="208C8046">
                  <w:pPr>
                    <w:pStyle w:val="200"/>
                    <w:spacing w:beforeLines="0" w:afterLines="0" w:line="240" w:lineRule="exact"/>
                    <w:jc w:val="center"/>
                    <w:rPr>
                      <w:rFonts w:hint="default" w:ascii="Times New Roman" w:hAnsi="Times New Roman" w:cs="Times New Roman"/>
                      <w:sz w:val="18"/>
                      <w:szCs w:val="18"/>
                    </w:rPr>
                  </w:pPr>
                </w:p>
              </w:tc>
              <w:tc>
                <w:tcPr>
                  <w:tcW w:w="3186" w:type="dxa"/>
                  <w:tcBorders>
                    <w:top w:val="single" w:color="auto" w:sz="2" w:space="0"/>
                    <w:left w:val="single" w:color="auto" w:sz="2" w:space="0"/>
                    <w:bottom w:val="single" w:color="auto" w:sz="2" w:space="0"/>
                    <w:right w:val="single" w:color="auto" w:sz="2" w:space="0"/>
                  </w:tcBorders>
                  <w:vAlign w:val="center"/>
                </w:tcPr>
                <w:p w14:paraId="03F4A01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无组织排放VOC</w:t>
                  </w:r>
                </w:p>
              </w:tc>
              <w:tc>
                <w:tcPr>
                  <w:tcW w:w="2100" w:type="dxa"/>
                  <w:tcBorders>
                    <w:top w:val="single" w:color="auto" w:sz="2" w:space="0"/>
                    <w:left w:val="single" w:color="auto" w:sz="2" w:space="0"/>
                    <w:bottom w:val="single" w:color="auto" w:sz="2" w:space="0"/>
                    <w:right w:val="single" w:color="auto" w:sz="2" w:space="0"/>
                  </w:tcBorders>
                  <w:vAlign w:val="bottom"/>
                </w:tcPr>
                <w:p w14:paraId="7F6844E5">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0.0083</w:t>
                  </w:r>
                </w:p>
              </w:tc>
            </w:tr>
            <w:tr w14:paraId="76FC968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07D53C94">
                  <w:pPr>
                    <w:pStyle w:val="200"/>
                    <w:spacing w:beforeLines="0" w:afterLines="0" w:line="240" w:lineRule="exact"/>
                    <w:rPr>
                      <w:rFonts w:hint="default" w:ascii="Times New Roman" w:hAnsi="Times New Roman" w:cs="Times New Roman"/>
                      <w:sz w:val="18"/>
                      <w:szCs w:val="18"/>
                    </w:rPr>
                  </w:pPr>
                </w:p>
              </w:tc>
              <w:tc>
                <w:tcPr>
                  <w:tcW w:w="1404" w:type="dxa"/>
                  <w:vMerge w:val="continue"/>
                  <w:tcBorders>
                    <w:top w:val="single" w:color="auto" w:sz="2" w:space="0"/>
                    <w:left w:val="single" w:color="auto" w:sz="2" w:space="0"/>
                    <w:bottom w:val="single" w:color="auto" w:sz="2" w:space="0"/>
                    <w:right w:val="single" w:color="auto" w:sz="2" w:space="0"/>
                  </w:tcBorders>
                  <w:vAlign w:val="center"/>
                </w:tcPr>
                <w:p w14:paraId="1C78BBA1">
                  <w:pPr>
                    <w:pStyle w:val="200"/>
                    <w:spacing w:beforeLines="0" w:afterLines="0" w:line="240" w:lineRule="exact"/>
                    <w:jc w:val="center"/>
                    <w:rPr>
                      <w:rFonts w:hint="default" w:ascii="Times New Roman" w:hAnsi="Times New Roman" w:cs="Times New Roman"/>
                      <w:sz w:val="18"/>
                      <w:szCs w:val="18"/>
                    </w:rPr>
                  </w:pPr>
                </w:p>
              </w:tc>
              <w:tc>
                <w:tcPr>
                  <w:tcW w:w="3186" w:type="dxa"/>
                  <w:tcBorders>
                    <w:top w:val="single" w:color="auto" w:sz="2" w:space="0"/>
                    <w:left w:val="single" w:color="auto" w:sz="2" w:space="0"/>
                    <w:bottom w:val="single" w:color="auto" w:sz="2" w:space="0"/>
                    <w:right w:val="single" w:color="auto" w:sz="2" w:space="0"/>
                  </w:tcBorders>
                  <w:vAlign w:val="center"/>
                </w:tcPr>
                <w:p w14:paraId="02D434B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进入漆渣中VOC</w:t>
                  </w:r>
                </w:p>
              </w:tc>
              <w:tc>
                <w:tcPr>
                  <w:tcW w:w="2100" w:type="dxa"/>
                  <w:tcBorders>
                    <w:top w:val="single" w:color="auto" w:sz="2" w:space="0"/>
                    <w:left w:val="single" w:color="auto" w:sz="2" w:space="0"/>
                    <w:bottom w:val="single" w:color="auto" w:sz="2" w:space="0"/>
                    <w:right w:val="single" w:color="auto" w:sz="2" w:space="0"/>
                  </w:tcBorders>
                  <w:vAlign w:val="bottom"/>
                </w:tcPr>
                <w:p w14:paraId="158FD985">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0.0208</w:t>
                  </w:r>
                </w:p>
              </w:tc>
            </w:tr>
            <w:tr w14:paraId="178974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restart"/>
                  <w:tcBorders>
                    <w:top w:val="single" w:color="auto" w:sz="2" w:space="0"/>
                    <w:left w:val="single" w:color="auto" w:sz="2" w:space="0"/>
                    <w:bottom w:val="single" w:color="auto" w:sz="2" w:space="0"/>
                    <w:right w:val="single" w:color="auto" w:sz="2" w:space="0"/>
                  </w:tcBorders>
                  <w:vAlign w:val="center"/>
                </w:tcPr>
                <w:p w14:paraId="36CD0EB0">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固形物</w:t>
                  </w:r>
                </w:p>
              </w:tc>
              <w:tc>
                <w:tcPr>
                  <w:tcW w:w="1404" w:type="dxa"/>
                  <w:vMerge w:val="restart"/>
                  <w:tcBorders>
                    <w:top w:val="single" w:color="auto" w:sz="2" w:space="0"/>
                    <w:left w:val="single" w:color="auto" w:sz="2" w:space="0"/>
                    <w:bottom w:val="single" w:color="auto" w:sz="2" w:space="0"/>
                    <w:right w:val="single" w:color="auto" w:sz="2" w:space="0"/>
                  </w:tcBorders>
                  <w:vAlign w:val="center"/>
                </w:tcPr>
                <w:p w14:paraId="69DADC4C">
                  <w:pPr>
                    <w:keepNext w:val="0"/>
                    <w:keepLines w:val="0"/>
                    <w:widowControl/>
                    <w:suppressLineNumbers w:val="0"/>
                    <w:jc w:val="center"/>
                    <w:textAlignment w:val="bottom"/>
                    <w:rPr>
                      <w:rFonts w:hint="default" w:ascii="Times New Roman" w:hAnsi="Times New Roman" w:eastAsia="宋体" w:cs="Times New Roman"/>
                      <w:sz w:val="18"/>
                      <w:szCs w:val="18"/>
                      <w:lang w:val="en-US" w:eastAsia="zh-CN"/>
                    </w:rPr>
                  </w:pPr>
                  <w:r>
                    <w:rPr>
                      <w:rFonts w:hint="default" w:ascii="Times New Roman" w:hAnsi="Times New Roman" w:eastAsia="等线" w:cs="Times New Roman"/>
                      <w:i w:val="0"/>
                      <w:iCs w:val="0"/>
                      <w:color w:val="000000"/>
                      <w:kern w:val="0"/>
                      <w:sz w:val="18"/>
                      <w:szCs w:val="18"/>
                      <w:u w:val="none"/>
                      <w:lang w:val="en-US" w:eastAsia="zh-CN" w:bidi="ar"/>
                    </w:rPr>
                    <w:t>0.7602</w:t>
                  </w:r>
                </w:p>
              </w:tc>
              <w:tc>
                <w:tcPr>
                  <w:tcW w:w="3186" w:type="dxa"/>
                  <w:tcBorders>
                    <w:top w:val="single" w:color="auto" w:sz="2" w:space="0"/>
                    <w:left w:val="single" w:color="auto" w:sz="2" w:space="0"/>
                    <w:bottom w:val="single" w:color="auto" w:sz="2" w:space="0"/>
                    <w:right w:val="single" w:color="auto" w:sz="2" w:space="0"/>
                  </w:tcBorders>
                  <w:vAlign w:val="center"/>
                </w:tcPr>
                <w:p w14:paraId="4154D0F2">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产品带走</w:t>
                  </w:r>
                </w:p>
              </w:tc>
              <w:tc>
                <w:tcPr>
                  <w:tcW w:w="2100" w:type="dxa"/>
                  <w:tcBorders>
                    <w:top w:val="single" w:color="auto" w:sz="2" w:space="0"/>
                    <w:left w:val="single" w:color="auto" w:sz="2" w:space="0"/>
                    <w:bottom w:val="single" w:color="auto" w:sz="2" w:space="0"/>
                    <w:right w:val="single" w:color="auto" w:sz="2" w:space="0"/>
                  </w:tcBorders>
                  <w:vAlign w:val="bottom"/>
                </w:tcPr>
                <w:p w14:paraId="103C12A0">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0.5321</w:t>
                  </w:r>
                </w:p>
              </w:tc>
            </w:tr>
            <w:tr w14:paraId="514AB11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5B4A2A64">
                  <w:pPr>
                    <w:pStyle w:val="200"/>
                    <w:spacing w:beforeLines="0" w:afterLines="0" w:line="240" w:lineRule="exact"/>
                    <w:rPr>
                      <w:rFonts w:hint="default" w:ascii="Times New Roman" w:hAnsi="Times New Roman" w:cs="Times New Roman"/>
                      <w:sz w:val="18"/>
                      <w:szCs w:val="18"/>
                    </w:rPr>
                  </w:pPr>
                </w:p>
              </w:tc>
              <w:tc>
                <w:tcPr>
                  <w:tcW w:w="1404" w:type="dxa"/>
                  <w:vMerge w:val="continue"/>
                  <w:tcBorders>
                    <w:top w:val="single" w:color="auto" w:sz="2" w:space="0"/>
                    <w:left w:val="single" w:color="auto" w:sz="2" w:space="0"/>
                    <w:bottom w:val="single" w:color="auto" w:sz="2" w:space="0"/>
                    <w:right w:val="single" w:color="auto" w:sz="2" w:space="0"/>
                  </w:tcBorders>
                  <w:vAlign w:val="center"/>
                </w:tcPr>
                <w:p w14:paraId="5FDB1BB1">
                  <w:pPr>
                    <w:pStyle w:val="200"/>
                    <w:spacing w:beforeLines="0" w:afterLines="0" w:line="240" w:lineRule="exact"/>
                    <w:jc w:val="center"/>
                    <w:rPr>
                      <w:rFonts w:hint="default" w:ascii="Times New Roman" w:hAnsi="Times New Roman" w:cs="Times New Roman"/>
                      <w:sz w:val="18"/>
                      <w:szCs w:val="18"/>
                    </w:rPr>
                  </w:pPr>
                </w:p>
              </w:tc>
              <w:tc>
                <w:tcPr>
                  <w:tcW w:w="3186" w:type="dxa"/>
                  <w:tcBorders>
                    <w:top w:val="single" w:color="auto" w:sz="2" w:space="0"/>
                    <w:left w:val="single" w:color="auto" w:sz="2" w:space="0"/>
                    <w:bottom w:val="single" w:color="auto" w:sz="2" w:space="0"/>
                    <w:right w:val="single" w:color="auto" w:sz="2" w:space="0"/>
                  </w:tcBorders>
                  <w:vAlign w:val="center"/>
                </w:tcPr>
                <w:p w14:paraId="6D715DB5">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进入漆渣中</w:t>
                  </w:r>
                </w:p>
              </w:tc>
              <w:tc>
                <w:tcPr>
                  <w:tcW w:w="2100" w:type="dxa"/>
                  <w:tcBorders>
                    <w:top w:val="single" w:color="auto" w:sz="2" w:space="0"/>
                    <w:left w:val="single" w:color="auto" w:sz="2" w:space="0"/>
                    <w:bottom w:val="single" w:color="auto" w:sz="2" w:space="0"/>
                    <w:right w:val="single" w:color="auto" w:sz="2" w:space="0"/>
                  </w:tcBorders>
                  <w:shd w:val="clear" w:color="auto" w:fill="FFFFFF"/>
                  <w:vAlign w:val="bottom"/>
                </w:tcPr>
                <w:p w14:paraId="506624A5">
                  <w:pPr>
                    <w:keepNext w:val="0"/>
                    <w:keepLines w:val="0"/>
                    <w:widowControl/>
                    <w:suppressLineNumbers w:val="0"/>
                    <w:jc w:val="center"/>
                    <w:textAlignment w:val="bottom"/>
                    <w:rPr>
                      <w:rFonts w:hint="default" w:ascii="Times New Roman" w:hAnsi="Times New Roman" w:cs="Times New Roman"/>
                      <w:sz w:val="18"/>
                      <w:szCs w:val="18"/>
                      <w:lang w:val="en-US"/>
                    </w:rPr>
                  </w:pPr>
                  <w:r>
                    <w:rPr>
                      <w:rFonts w:hint="default" w:ascii="Times New Roman" w:hAnsi="Times New Roman" w:eastAsia="等线" w:cs="Times New Roman"/>
                      <w:i w:val="0"/>
                      <w:iCs w:val="0"/>
                      <w:color w:val="000000"/>
                      <w:kern w:val="0"/>
                      <w:sz w:val="18"/>
                      <w:szCs w:val="18"/>
                      <w:u w:val="none"/>
                      <w:lang w:val="en-US" w:eastAsia="zh-CN" w:bidi="ar"/>
                    </w:rPr>
                    <w:t>0.2053</w:t>
                  </w:r>
                </w:p>
              </w:tc>
            </w:tr>
            <w:tr w14:paraId="24008C5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vMerge w:val="continue"/>
                  <w:tcBorders>
                    <w:top w:val="single" w:color="auto" w:sz="2" w:space="0"/>
                    <w:left w:val="single" w:color="auto" w:sz="2" w:space="0"/>
                    <w:bottom w:val="single" w:color="auto" w:sz="2" w:space="0"/>
                    <w:right w:val="single" w:color="auto" w:sz="2" w:space="0"/>
                  </w:tcBorders>
                  <w:vAlign w:val="center"/>
                </w:tcPr>
                <w:p w14:paraId="000FD68F">
                  <w:pPr>
                    <w:pStyle w:val="200"/>
                    <w:spacing w:beforeLines="0" w:afterLines="0" w:line="240" w:lineRule="exact"/>
                    <w:rPr>
                      <w:rFonts w:hint="default" w:ascii="Times New Roman" w:hAnsi="Times New Roman" w:cs="Times New Roman"/>
                      <w:sz w:val="18"/>
                      <w:szCs w:val="18"/>
                    </w:rPr>
                  </w:pPr>
                </w:p>
              </w:tc>
              <w:tc>
                <w:tcPr>
                  <w:tcW w:w="1404" w:type="dxa"/>
                  <w:vMerge w:val="continue"/>
                  <w:tcBorders>
                    <w:top w:val="single" w:color="auto" w:sz="2" w:space="0"/>
                    <w:left w:val="single" w:color="auto" w:sz="2" w:space="0"/>
                    <w:bottom w:val="single" w:color="auto" w:sz="2" w:space="0"/>
                    <w:right w:val="single" w:color="auto" w:sz="2" w:space="0"/>
                  </w:tcBorders>
                  <w:vAlign w:val="center"/>
                </w:tcPr>
                <w:p w14:paraId="49BDD941">
                  <w:pPr>
                    <w:pStyle w:val="200"/>
                    <w:spacing w:beforeLines="0" w:afterLines="0" w:line="240" w:lineRule="exact"/>
                    <w:jc w:val="center"/>
                    <w:rPr>
                      <w:rFonts w:hint="default" w:ascii="Times New Roman" w:hAnsi="Times New Roman" w:cs="Times New Roman"/>
                      <w:sz w:val="18"/>
                      <w:szCs w:val="18"/>
                    </w:rPr>
                  </w:pPr>
                </w:p>
              </w:tc>
              <w:tc>
                <w:tcPr>
                  <w:tcW w:w="3186" w:type="dxa"/>
                  <w:tcBorders>
                    <w:top w:val="single" w:color="auto" w:sz="2" w:space="0"/>
                    <w:left w:val="single" w:color="auto" w:sz="2" w:space="0"/>
                    <w:bottom w:val="single" w:color="auto" w:sz="2" w:space="0"/>
                    <w:right w:val="single" w:color="auto" w:sz="2" w:space="0"/>
                  </w:tcBorders>
                  <w:vAlign w:val="center"/>
                </w:tcPr>
                <w:p w14:paraId="7C350A7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喷漆过程排气筒排放</w:t>
                  </w:r>
                </w:p>
              </w:tc>
              <w:tc>
                <w:tcPr>
                  <w:tcW w:w="2100" w:type="dxa"/>
                  <w:tcBorders>
                    <w:top w:val="single" w:color="auto" w:sz="2" w:space="0"/>
                    <w:left w:val="single" w:color="auto" w:sz="2" w:space="0"/>
                    <w:bottom w:val="single" w:color="auto" w:sz="2" w:space="0"/>
                    <w:right w:val="single" w:color="auto" w:sz="2" w:space="0"/>
                  </w:tcBorders>
                  <w:shd w:val="clear" w:color="auto" w:fill="FFFFFF"/>
                  <w:vAlign w:val="bottom"/>
                </w:tcPr>
                <w:p w14:paraId="508D2C38">
                  <w:pPr>
                    <w:keepNext w:val="0"/>
                    <w:keepLines w:val="0"/>
                    <w:widowControl/>
                    <w:suppressLineNumbers w:val="0"/>
                    <w:jc w:val="center"/>
                    <w:textAlignment w:val="bottom"/>
                    <w:rPr>
                      <w:rFonts w:hint="default" w:ascii="Times New Roman" w:hAnsi="Times New Roman" w:cs="Times New Roman"/>
                      <w:sz w:val="18"/>
                      <w:szCs w:val="18"/>
                    </w:rPr>
                  </w:pPr>
                  <w:r>
                    <w:rPr>
                      <w:rFonts w:hint="default" w:ascii="Times New Roman" w:hAnsi="Times New Roman" w:eastAsia="等线" w:cs="Times New Roman"/>
                      <w:i w:val="0"/>
                      <w:iCs w:val="0"/>
                      <w:color w:val="000000"/>
                      <w:kern w:val="0"/>
                      <w:sz w:val="18"/>
                      <w:szCs w:val="18"/>
                      <w:u w:val="none"/>
                      <w:lang w:val="en-US" w:eastAsia="zh-CN" w:bidi="ar"/>
                    </w:rPr>
                    <w:t>0.0228</w:t>
                  </w:r>
                </w:p>
              </w:tc>
            </w:tr>
            <w:tr w14:paraId="2BB6D07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2" w:type="dxa"/>
                  <w:tcBorders>
                    <w:top w:val="single" w:color="auto" w:sz="2" w:space="0"/>
                    <w:left w:val="single" w:color="auto" w:sz="2" w:space="0"/>
                    <w:bottom w:val="single" w:color="auto" w:sz="2" w:space="0"/>
                    <w:right w:val="single" w:color="auto" w:sz="2" w:space="0"/>
                  </w:tcBorders>
                  <w:vAlign w:val="center"/>
                </w:tcPr>
                <w:p w14:paraId="4FB70B4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合计</w:t>
                  </w:r>
                </w:p>
              </w:tc>
              <w:tc>
                <w:tcPr>
                  <w:tcW w:w="1404" w:type="dxa"/>
                  <w:tcBorders>
                    <w:top w:val="single" w:color="auto" w:sz="2" w:space="0"/>
                    <w:left w:val="single" w:color="auto" w:sz="2" w:space="0"/>
                    <w:bottom w:val="single" w:color="auto" w:sz="2" w:space="0"/>
                    <w:right w:val="single" w:color="auto" w:sz="2" w:space="0"/>
                  </w:tcBorders>
                  <w:vAlign w:val="center"/>
                </w:tcPr>
                <w:p w14:paraId="61C2B557">
                  <w:pPr>
                    <w:keepNext w:val="0"/>
                    <w:keepLines w:val="0"/>
                    <w:widowControl/>
                    <w:suppressLineNumbers w:val="0"/>
                    <w:jc w:val="center"/>
                    <w:textAlignment w:val="bottom"/>
                    <w:rPr>
                      <w:rFonts w:hint="default" w:ascii="Times New Roman" w:hAnsi="Times New Roman" w:eastAsia="宋体" w:cs="Times New Roman"/>
                      <w:sz w:val="18"/>
                      <w:szCs w:val="18"/>
                      <w:lang w:val="en-US" w:eastAsia="zh-CN"/>
                    </w:rPr>
                  </w:pPr>
                  <w:r>
                    <w:rPr>
                      <w:rFonts w:hint="default" w:ascii="Times New Roman" w:hAnsi="Times New Roman" w:eastAsia="等线" w:cs="Times New Roman"/>
                      <w:i w:val="0"/>
                      <w:iCs w:val="0"/>
                      <w:color w:val="000000"/>
                      <w:kern w:val="0"/>
                      <w:sz w:val="18"/>
                      <w:szCs w:val="18"/>
                      <w:u w:val="none"/>
                      <w:lang w:val="en-US" w:eastAsia="zh-CN" w:bidi="ar"/>
                    </w:rPr>
                    <w:t>1.176</w:t>
                  </w:r>
                </w:p>
              </w:tc>
              <w:tc>
                <w:tcPr>
                  <w:tcW w:w="3186" w:type="dxa"/>
                  <w:tcBorders>
                    <w:top w:val="single" w:color="auto" w:sz="2" w:space="0"/>
                    <w:left w:val="single" w:color="auto" w:sz="2" w:space="0"/>
                    <w:bottom w:val="single" w:color="auto" w:sz="2" w:space="0"/>
                    <w:right w:val="single" w:color="auto" w:sz="2" w:space="0"/>
                  </w:tcBorders>
                  <w:vAlign w:val="center"/>
                </w:tcPr>
                <w:p w14:paraId="50455FB5">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合计</w:t>
                  </w:r>
                </w:p>
              </w:tc>
              <w:tc>
                <w:tcPr>
                  <w:tcW w:w="2100" w:type="dxa"/>
                  <w:tcBorders>
                    <w:top w:val="single" w:color="auto" w:sz="2" w:space="0"/>
                    <w:left w:val="single" w:color="auto" w:sz="2" w:space="0"/>
                    <w:bottom w:val="single" w:color="auto" w:sz="2" w:space="0"/>
                    <w:right w:val="single" w:color="auto" w:sz="2" w:space="0"/>
                  </w:tcBorders>
                  <w:vAlign w:val="bottom"/>
                </w:tcPr>
                <w:p w14:paraId="0449E553">
                  <w:pPr>
                    <w:keepNext w:val="0"/>
                    <w:keepLines w:val="0"/>
                    <w:widowControl/>
                    <w:suppressLineNumbers w:val="0"/>
                    <w:jc w:val="center"/>
                    <w:textAlignment w:val="bottom"/>
                    <w:rPr>
                      <w:rFonts w:hint="default" w:ascii="Times New Roman" w:hAnsi="Times New Roman" w:eastAsia="宋体" w:cs="Times New Roman"/>
                      <w:sz w:val="18"/>
                      <w:szCs w:val="18"/>
                      <w:lang w:val="en-US" w:eastAsia="zh-CN"/>
                    </w:rPr>
                  </w:pPr>
                  <w:r>
                    <w:rPr>
                      <w:rFonts w:hint="default" w:ascii="Times New Roman" w:hAnsi="Times New Roman" w:eastAsia="等线" w:cs="Times New Roman"/>
                      <w:i w:val="0"/>
                      <w:iCs w:val="0"/>
                      <w:color w:val="000000"/>
                      <w:kern w:val="0"/>
                      <w:sz w:val="18"/>
                      <w:szCs w:val="18"/>
                      <w:u w:val="none"/>
                      <w:lang w:val="en-US" w:eastAsia="zh-CN" w:bidi="ar"/>
                    </w:rPr>
                    <w:t>1.176</w:t>
                  </w:r>
                </w:p>
              </w:tc>
            </w:tr>
            <w:tr w14:paraId="2C2DDD8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8402" w:type="dxa"/>
                  <w:gridSpan w:val="4"/>
                  <w:tcBorders>
                    <w:top w:val="single" w:color="auto" w:sz="2" w:space="0"/>
                    <w:left w:val="single" w:color="auto" w:sz="2" w:space="0"/>
                    <w:bottom w:val="single" w:color="auto" w:sz="2" w:space="0"/>
                    <w:right w:val="single" w:color="auto" w:sz="2" w:space="0"/>
                  </w:tcBorders>
                  <w:vAlign w:val="center"/>
                </w:tcPr>
                <w:p w14:paraId="0268A237">
                  <w:pPr>
                    <w:pStyle w:val="200"/>
                    <w:spacing w:beforeLines="0" w:afterLines="0" w:line="240" w:lineRule="exact"/>
                    <w:jc w:val="both"/>
                    <w:rPr>
                      <w:rFonts w:hint="default" w:ascii="Times New Roman" w:hAnsi="Times New Roman" w:cs="Times New Roman"/>
                      <w:sz w:val="18"/>
                      <w:szCs w:val="18"/>
                    </w:rPr>
                  </w:pPr>
                </w:p>
              </w:tc>
            </w:tr>
          </w:tbl>
          <w:p w14:paraId="2896B305">
            <w:pPr>
              <w:spacing w:line="360" w:lineRule="auto"/>
              <w:ind w:left="0" w:leftChars="0" w:right="0" w:rightChars="0" w:firstLine="0" w:firstLineChars="0"/>
              <w:jc w:val="center"/>
              <w:rPr>
                <w:rFonts w:hint="default" w:ascii="Times New Roman" w:hAnsi="Times New Roman" w:eastAsia="黑体" w:cs="Times New Roman"/>
              </w:rPr>
            </w:pPr>
            <w:r>
              <w:rPr>
                <w:rFonts w:hint="default" w:ascii="Times New Roman" w:hAnsi="Times New Roman" w:cs="Times New Roman"/>
              </w:rPr>
              <w:object>
                <v:shape id="_x0000_i1039" o:spt="75" type="#_x0000_t75" style="height:327.1pt;width:434.4pt;" o:ole="t" filled="f" o:preferrelative="t" stroked="f" coordsize="21600,21600">
                  <v:path/>
                  <v:fill on="f" focussize="0,0"/>
                  <v:stroke on="f"/>
                  <v:imagedata r:id="rId41" o:title=""/>
                  <o:lock v:ext="edit" aspectratio="t"/>
                  <w10:wrap type="none"/>
                  <w10:anchorlock/>
                </v:shape>
                <o:OLEObject Type="Embed" ProgID="Visio.Drawing.11" ShapeID="_x0000_i1039" DrawAspect="Content" ObjectID="_1468075739" r:id="rId40">
                  <o:LockedField>false</o:LockedField>
                </o:OLEObject>
              </w:object>
            </w:r>
            <w:r>
              <w:rPr>
                <w:rFonts w:hint="default" w:ascii="Times New Roman" w:hAnsi="Times New Roman" w:eastAsia="黑体" w:cs="Times New Roman"/>
              </w:rPr>
              <w:t>图2-</w:t>
            </w:r>
            <w:r>
              <w:rPr>
                <w:rFonts w:hint="eastAsia" w:eastAsia="黑体" w:cs="Times New Roman"/>
                <w:lang w:val="en-US" w:eastAsia="zh-CN"/>
              </w:rPr>
              <w:t>4</w:t>
            </w:r>
            <w:r>
              <w:rPr>
                <w:rFonts w:hint="default" w:ascii="Times New Roman" w:hAnsi="Times New Roman" w:eastAsia="黑体" w:cs="Times New Roman"/>
              </w:rPr>
              <w:t>（2）面涂物料平衡图</w:t>
            </w:r>
          </w:p>
          <w:p w14:paraId="74BC143E">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表2-1</w:t>
            </w:r>
            <w:r>
              <w:rPr>
                <w:rFonts w:hint="eastAsia" w:ascii="宋体" w:hAnsi="宋体" w:eastAsia="宋体" w:cs="宋体"/>
                <w:b/>
                <w:bCs/>
                <w:lang w:val="en-US" w:eastAsia="zh-CN"/>
              </w:rPr>
              <w:t>5</w:t>
            </w:r>
            <w:r>
              <w:rPr>
                <w:rFonts w:hint="eastAsia" w:ascii="宋体" w:hAnsi="宋体" w:eastAsia="宋体" w:cs="宋体"/>
                <w:b/>
                <w:bCs/>
                <w:lang w:val="de-DE"/>
              </w:rPr>
              <w:t>（3）  涂料喷涂总物料平衡参数一览表</w:t>
            </w:r>
          </w:p>
          <w:tbl>
            <w:tblPr>
              <w:tblStyle w:val="81"/>
              <w:tblW w:w="498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710"/>
              <w:gridCol w:w="1366"/>
              <w:gridCol w:w="3222"/>
              <w:gridCol w:w="2101"/>
            </w:tblGrid>
            <w:tr w14:paraId="6C35EE4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3075" w:type="dxa"/>
                  <w:gridSpan w:val="2"/>
                  <w:tcBorders>
                    <w:top w:val="single" w:color="auto" w:sz="2" w:space="0"/>
                    <w:left w:val="single" w:color="auto" w:sz="2" w:space="0"/>
                    <w:bottom w:val="single" w:color="auto" w:sz="2" w:space="0"/>
                    <w:right w:val="single" w:color="auto" w:sz="2" w:space="0"/>
                  </w:tcBorders>
                  <w:vAlign w:val="center"/>
                </w:tcPr>
                <w:p w14:paraId="194F30D7">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输入</w:t>
                  </w:r>
                </w:p>
              </w:tc>
              <w:tc>
                <w:tcPr>
                  <w:tcW w:w="5320" w:type="dxa"/>
                  <w:gridSpan w:val="2"/>
                  <w:tcBorders>
                    <w:top w:val="single" w:color="auto" w:sz="2" w:space="0"/>
                    <w:left w:val="single" w:color="auto" w:sz="2" w:space="0"/>
                    <w:bottom w:val="single" w:color="auto" w:sz="2" w:space="0"/>
                    <w:right w:val="single" w:color="auto" w:sz="2" w:space="0"/>
                  </w:tcBorders>
                  <w:vAlign w:val="center"/>
                </w:tcPr>
                <w:p w14:paraId="21C4FDE3">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输出</w:t>
                  </w:r>
                </w:p>
              </w:tc>
            </w:tr>
            <w:tr w14:paraId="7C5F49C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1710" w:type="dxa"/>
                  <w:tcBorders>
                    <w:top w:val="single" w:color="auto" w:sz="2" w:space="0"/>
                    <w:left w:val="single" w:color="auto" w:sz="2" w:space="0"/>
                    <w:bottom w:val="single" w:color="auto" w:sz="2" w:space="0"/>
                    <w:right w:val="single" w:color="auto" w:sz="2" w:space="0"/>
                  </w:tcBorders>
                  <w:vAlign w:val="center"/>
                </w:tcPr>
                <w:p w14:paraId="77D8F6E9">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名称</w:t>
                  </w:r>
                </w:p>
              </w:tc>
              <w:tc>
                <w:tcPr>
                  <w:tcW w:w="1365" w:type="dxa"/>
                  <w:tcBorders>
                    <w:top w:val="single" w:color="auto" w:sz="2" w:space="0"/>
                    <w:left w:val="single" w:color="auto" w:sz="2" w:space="0"/>
                    <w:bottom w:val="single" w:color="auto" w:sz="2" w:space="0"/>
                    <w:right w:val="single" w:color="auto" w:sz="2" w:space="0"/>
                  </w:tcBorders>
                  <w:vAlign w:val="center"/>
                </w:tcPr>
                <w:p w14:paraId="03DD46B9">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带入量t/a</w:t>
                  </w:r>
                </w:p>
              </w:tc>
              <w:tc>
                <w:tcPr>
                  <w:tcW w:w="3220" w:type="dxa"/>
                  <w:tcBorders>
                    <w:top w:val="single" w:color="auto" w:sz="2" w:space="0"/>
                    <w:left w:val="single" w:color="auto" w:sz="2" w:space="0"/>
                    <w:bottom w:val="single" w:color="auto" w:sz="2" w:space="0"/>
                    <w:right w:val="single" w:color="auto" w:sz="2" w:space="0"/>
                  </w:tcBorders>
                  <w:vAlign w:val="center"/>
                </w:tcPr>
                <w:p w14:paraId="2E276692">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环节</w:t>
                  </w:r>
                </w:p>
              </w:tc>
              <w:tc>
                <w:tcPr>
                  <w:tcW w:w="2100" w:type="dxa"/>
                  <w:tcBorders>
                    <w:top w:val="single" w:color="auto" w:sz="2" w:space="0"/>
                    <w:left w:val="single" w:color="auto" w:sz="2" w:space="0"/>
                    <w:bottom w:val="single" w:color="auto" w:sz="2" w:space="0"/>
                    <w:right w:val="single" w:color="auto" w:sz="2" w:space="0"/>
                  </w:tcBorders>
                  <w:vAlign w:val="center"/>
                </w:tcPr>
                <w:p w14:paraId="16AE998D">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排出量t/a</w:t>
                  </w:r>
                </w:p>
              </w:tc>
            </w:tr>
            <w:tr w14:paraId="774A31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restart"/>
                  <w:tcBorders>
                    <w:top w:val="single" w:color="auto" w:sz="2" w:space="0"/>
                    <w:left w:val="single" w:color="auto" w:sz="2" w:space="0"/>
                    <w:bottom w:val="single" w:color="auto" w:sz="2" w:space="0"/>
                    <w:right w:val="single" w:color="auto" w:sz="2" w:space="0"/>
                  </w:tcBorders>
                  <w:vAlign w:val="center"/>
                </w:tcPr>
                <w:p w14:paraId="48714D2C">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VOC</w:t>
                  </w:r>
                </w:p>
              </w:tc>
              <w:tc>
                <w:tcPr>
                  <w:tcW w:w="1365" w:type="dxa"/>
                  <w:vMerge w:val="restart"/>
                  <w:tcBorders>
                    <w:top w:val="single" w:color="auto" w:sz="2" w:space="0"/>
                    <w:left w:val="single" w:color="auto" w:sz="2" w:space="0"/>
                    <w:bottom w:val="single" w:color="auto" w:sz="2" w:space="0"/>
                    <w:right w:val="single" w:color="auto" w:sz="2" w:space="0"/>
                  </w:tcBorders>
                  <w:vAlign w:val="center"/>
                </w:tcPr>
                <w:p w14:paraId="787C6787">
                  <w:pPr>
                    <w:keepNext w:val="0"/>
                    <w:keepLines w:val="0"/>
                    <w:widowControl/>
                    <w:suppressLineNumbers w:val="0"/>
                    <w:jc w:val="center"/>
                    <w:textAlignment w:val="bottom"/>
                    <w:rPr>
                      <w:rFonts w:hint="default" w:ascii="Times New Roman" w:hAnsi="Times New Roman" w:eastAsia="宋体" w:cs="Times New Roman"/>
                      <w:sz w:val="18"/>
                      <w:szCs w:val="18"/>
                      <w:highlight w:val="none"/>
                      <w:lang w:val="en-US" w:eastAsia="zh-CN"/>
                    </w:rPr>
                  </w:pPr>
                  <w:r>
                    <w:rPr>
                      <w:rFonts w:hint="default" w:ascii="Times New Roman" w:hAnsi="Times New Roman" w:eastAsia="等线" w:cs="Times New Roman"/>
                      <w:i w:val="0"/>
                      <w:iCs w:val="0"/>
                      <w:color w:val="000000"/>
                      <w:kern w:val="0"/>
                      <w:sz w:val="18"/>
                      <w:szCs w:val="18"/>
                      <w:u w:val="none"/>
                      <w:lang w:val="en-US" w:eastAsia="zh-CN" w:bidi="ar"/>
                    </w:rPr>
                    <w:t>0.843</w:t>
                  </w:r>
                </w:p>
              </w:tc>
              <w:tc>
                <w:tcPr>
                  <w:tcW w:w="3220" w:type="dxa"/>
                  <w:tcBorders>
                    <w:top w:val="single" w:color="auto" w:sz="2" w:space="0"/>
                    <w:left w:val="single" w:color="auto" w:sz="2" w:space="0"/>
                    <w:bottom w:val="single" w:color="auto" w:sz="2" w:space="0"/>
                    <w:right w:val="single" w:color="auto" w:sz="2" w:space="0"/>
                  </w:tcBorders>
                  <w:vAlign w:val="center"/>
                </w:tcPr>
                <w:p w14:paraId="2E6EA814">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lang w:eastAsia="zh-CN"/>
                    </w:rPr>
                    <w:t>调漆及喷漆过程</w:t>
                  </w:r>
                  <w:r>
                    <w:rPr>
                      <w:rFonts w:hint="default" w:ascii="Times New Roman" w:hAnsi="Times New Roman" w:cs="Times New Roman"/>
                      <w:color w:val="000000"/>
                      <w:sz w:val="18"/>
                      <w:szCs w:val="18"/>
                      <w:highlight w:val="none"/>
                    </w:rPr>
                    <w:t>净化装置去除VOC</w:t>
                  </w:r>
                </w:p>
              </w:tc>
              <w:tc>
                <w:tcPr>
                  <w:tcW w:w="2100" w:type="dxa"/>
                  <w:tcBorders>
                    <w:top w:val="single" w:color="auto" w:sz="2" w:space="0"/>
                    <w:left w:val="single" w:color="auto" w:sz="2" w:space="0"/>
                    <w:bottom w:val="single" w:color="auto" w:sz="2" w:space="0"/>
                    <w:right w:val="single" w:color="auto" w:sz="2" w:space="0"/>
                  </w:tcBorders>
                  <w:vAlign w:val="center"/>
                </w:tcPr>
                <w:p w14:paraId="575A2C24">
                  <w:pPr>
                    <w:keepNext w:val="0"/>
                    <w:keepLines w:val="0"/>
                    <w:widowControl/>
                    <w:suppressLineNumbers w:val="0"/>
                    <w:jc w:val="center"/>
                    <w:textAlignment w:val="bottom"/>
                    <w:rPr>
                      <w:rFonts w:hint="default" w:ascii="Times New Roman" w:hAnsi="Times New Roman" w:cs="Times New Roman"/>
                      <w:sz w:val="18"/>
                      <w:szCs w:val="18"/>
                      <w:highlight w:val="none"/>
                    </w:rPr>
                  </w:pPr>
                  <w:r>
                    <w:rPr>
                      <w:rFonts w:hint="default" w:ascii="Times New Roman" w:hAnsi="Times New Roman" w:eastAsia="等线" w:cs="Times New Roman"/>
                      <w:i w:val="0"/>
                      <w:iCs w:val="0"/>
                      <w:color w:val="000000"/>
                      <w:kern w:val="0"/>
                      <w:sz w:val="18"/>
                      <w:szCs w:val="18"/>
                      <w:u w:val="none"/>
                      <w:lang w:val="en-US" w:eastAsia="zh-CN" w:bidi="ar"/>
                    </w:rPr>
                    <w:t>0.354</w:t>
                  </w:r>
                </w:p>
              </w:tc>
            </w:tr>
            <w:tr w14:paraId="7EA2329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4D1AE081">
                  <w:pPr>
                    <w:pStyle w:val="200"/>
                    <w:spacing w:beforeLines="0" w:afterLines="0" w:line="240" w:lineRule="exact"/>
                    <w:jc w:val="center"/>
                    <w:rPr>
                      <w:rFonts w:hint="default" w:ascii="Times New Roman" w:hAnsi="Times New Roman" w:cs="Times New Roman"/>
                      <w:sz w:val="18"/>
                      <w:szCs w:val="18"/>
                      <w:highlight w:val="none"/>
                    </w:rPr>
                  </w:pPr>
                </w:p>
              </w:tc>
              <w:tc>
                <w:tcPr>
                  <w:tcW w:w="1365" w:type="dxa"/>
                  <w:vMerge w:val="continue"/>
                  <w:tcBorders>
                    <w:top w:val="single" w:color="auto" w:sz="2" w:space="0"/>
                    <w:left w:val="single" w:color="auto" w:sz="2" w:space="0"/>
                    <w:bottom w:val="single" w:color="auto" w:sz="2" w:space="0"/>
                    <w:right w:val="single" w:color="auto" w:sz="2" w:space="0"/>
                  </w:tcBorders>
                  <w:vAlign w:val="center"/>
                </w:tcPr>
                <w:p w14:paraId="2A487109">
                  <w:pPr>
                    <w:pStyle w:val="200"/>
                    <w:spacing w:beforeLines="0" w:afterLines="0" w:line="240" w:lineRule="exact"/>
                    <w:jc w:val="center"/>
                    <w:rPr>
                      <w:rFonts w:hint="default" w:ascii="Times New Roman" w:hAnsi="Times New Roman" w:cs="Times New Roman"/>
                      <w:sz w:val="18"/>
                      <w:szCs w:val="18"/>
                      <w:highlight w:val="none"/>
                    </w:rPr>
                  </w:pPr>
                </w:p>
              </w:tc>
              <w:tc>
                <w:tcPr>
                  <w:tcW w:w="3220" w:type="dxa"/>
                  <w:tcBorders>
                    <w:top w:val="single" w:color="auto" w:sz="2" w:space="0"/>
                    <w:left w:val="single" w:color="auto" w:sz="2" w:space="0"/>
                    <w:bottom w:val="single" w:color="auto" w:sz="2" w:space="0"/>
                    <w:right w:val="single" w:color="auto" w:sz="2" w:space="0"/>
                  </w:tcBorders>
                  <w:vAlign w:val="center"/>
                </w:tcPr>
                <w:p w14:paraId="465BC546">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lang w:eastAsia="zh-CN"/>
                    </w:rPr>
                    <w:t>调漆及喷漆</w:t>
                  </w:r>
                  <w:r>
                    <w:rPr>
                      <w:rFonts w:hint="default" w:ascii="Times New Roman" w:hAnsi="Times New Roman" w:cs="Times New Roman"/>
                      <w:color w:val="000000"/>
                      <w:sz w:val="18"/>
                      <w:szCs w:val="18"/>
                      <w:highlight w:val="none"/>
                    </w:rPr>
                    <w:t>过程排气筒排放VOC</w:t>
                  </w:r>
                </w:p>
              </w:tc>
              <w:tc>
                <w:tcPr>
                  <w:tcW w:w="2100" w:type="dxa"/>
                  <w:tcBorders>
                    <w:top w:val="single" w:color="auto" w:sz="2" w:space="0"/>
                    <w:left w:val="single" w:color="auto" w:sz="2" w:space="0"/>
                    <w:bottom w:val="single" w:color="auto" w:sz="2" w:space="0"/>
                    <w:right w:val="single" w:color="auto" w:sz="2" w:space="0"/>
                  </w:tcBorders>
                  <w:vAlign w:val="center"/>
                </w:tcPr>
                <w:p w14:paraId="47602A13">
                  <w:pPr>
                    <w:keepNext w:val="0"/>
                    <w:keepLines w:val="0"/>
                    <w:widowControl/>
                    <w:suppressLineNumbers w:val="0"/>
                    <w:jc w:val="center"/>
                    <w:textAlignment w:val="bottom"/>
                    <w:rPr>
                      <w:rFonts w:hint="default" w:ascii="Times New Roman" w:hAnsi="Times New Roman" w:cs="Times New Roman"/>
                      <w:sz w:val="18"/>
                      <w:szCs w:val="18"/>
                      <w:highlight w:val="none"/>
                    </w:rPr>
                  </w:pPr>
                  <w:r>
                    <w:rPr>
                      <w:rFonts w:hint="default" w:ascii="Times New Roman" w:hAnsi="Times New Roman" w:eastAsia="等线" w:cs="Times New Roman"/>
                      <w:i w:val="0"/>
                      <w:iCs w:val="0"/>
                      <w:color w:val="000000"/>
                      <w:kern w:val="0"/>
                      <w:sz w:val="18"/>
                      <w:szCs w:val="18"/>
                      <w:u w:val="none"/>
                      <w:lang w:val="en-US" w:eastAsia="zh-CN" w:bidi="ar"/>
                    </w:rPr>
                    <w:t>0.1518</w:t>
                  </w:r>
                </w:p>
              </w:tc>
            </w:tr>
            <w:tr w14:paraId="5921141E">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620D11B4">
                  <w:pPr>
                    <w:pStyle w:val="200"/>
                    <w:spacing w:beforeLines="0" w:afterLines="0" w:line="240" w:lineRule="exact"/>
                    <w:jc w:val="center"/>
                    <w:rPr>
                      <w:rFonts w:hint="default" w:ascii="Times New Roman" w:hAnsi="Times New Roman" w:cs="Times New Roman"/>
                      <w:sz w:val="18"/>
                      <w:szCs w:val="18"/>
                      <w:highlight w:val="none"/>
                    </w:rPr>
                  </w:pPr>
                </w:p>
              </w:tc>
              <w:tc>
                <w:tcPr>
                  <w:tcW w:w="1365" w:type="dxa"/>
                  <w:vMerge w:val="continue"/>
                  <w:tcBorders>
                    <w:top w:val="single" w:color="auto" w:sz="2" w:space="0"/>
                    <w:left w:val="single" w:color="auto" w:sz="2" w:space="0"/>
                    <w:bottom w:val="single" w:color="auto" w:sz="2" w:space="0"/>
                    <w:right w:val="single" w:color="auto" w:sz="2" w:space="0"/>
                  </w:tcBorders>
                  <w:vAlign w:val="center"/>
                </w:tcPr>
                <w:p w14:paraId="3FD7D59A">
                  <w:pPr>
                    <w:pStyle w:val="200"/>
                    <w:spacing w:beforeLines="0" w:afterLines="0" w:line="240" w:lineRule="exact"/>
                    <w:jc w:val="center"/>
                    <w:rPr>
                      <w:rFonts w:hint="default" w:ascii="Times New Roman" w:hAnsi="Times New Roman" w:cs="Times New Roman"/>
                      <w:sz w:val="18"/>
                      <w:szCs w:val="18"/>
                      <w:highlight w:val="none"/>
                    </w:rPr>
                  </w:pPr>
                </w:p>
              </w:tc>
              <w:tc>
                <w:tcPr>
                  <w:tcW w:w="3220" w:type="dxa"/>
                  <w:tcBorders>
                    <w:top w:val="single" w:color="auto" w:sz="2" w:space="0"/>
                    <w:left w:val="single" w:color="auto" w:sz="2" w:space="0"/>
                    <w:bottom w:val="single" w:color="auto" w:sz="2" w:space="0"/>
                    <w:right w:val="single" w:color="auto" w:sz="2" w:space="0"/>
                  </w:tcBorders>
                  <w:vAlign w:val="center"/>
                </w:tcPr>
                <w:p w14:paraId="67A02962">
                  <w:pPr>
                    <w:pStyle w:val="200"/>
                    <w:spacing w:beforeLines="0" w:afterLines="0" w:line="240" w:lineRule="exact"/>
                    <w:jc w:val="center"/>
                    <w:rPr>
                      <w:rFonts w:hint="default" w:ascii="Times New Roman" w:hAnsi="Times New Roman" w:cs="Times New Roman"/>
                      <w:sz w:val="18"/>
                      <w:szCs w:val="18"/>
                      <w:highlight w:val="none"/>
                    </w:rPr>
                  </w:pPr>
                  <w:r>
                    <w:rPr>
                      <w:rFonts w:hint="eastAsia" w:ascii="Times New Roman" w:hAnsi="Times New Roman" w:cs="Times New Roman"/>
                      <w:color w:val="000000"/>
                      <w:sz w:val="18"/>
                      <w:szCs w:val="18"/>
                      <w:highlight w:val="none"/>
                      <w:lang w:eastAsia="zh-CN"/>
                    </w:rPr>
                    <w:t>晾</w:t>
                  </w:r>
                  <w:r>
                    <w:rPr>
                      <w:rFonts w:hint="default" w:ascii="Times New Roman" w:hAnsi="Times New Roman" w:cs="Times New Roman"/>
                      <w:color w:val="000000"/>
                      <w:sz w:val="18"/>
                      <w:szCs w:val="18"/>
                      <w:highlight w:val="none"/>
                    </w:rPr>
                    <w:t>干过程净化装置去除VOC</w:t>
                  </w:r>
                </w:p>
              </w:tc>
              <w:tc>
                <w:tcPr>
                  <w:tcW w:w="2100" w:type="dxa"/>
                  <w:tcBorders>
                    <w:top w:val="single" w:color="auto" w:sz="2" w:space="0"/>
                    <w:left w:val="single" w:color="auto" w:sz="2" w:space="0"/>
                    <w:bottom w:val="single" w:color="auto" w:sz="2" w:space="0"/>
                    <w:right w:val="single" w:color="auto" w:sz="2" w:space="0"/>
                  </w:tcBorders>
                  <w:vAlign w:val="center"/>
                </w:tcPr>
                <w:p w14:paraId="34D06353">
                  <w:pPr>
                    <w:keepNext w:val="0"/>
                    <w:keepLines w:val="0"/>
                    <w:widowControl/>
                    <w:suppressLineNumbers w:val="0"/>
                    <w:jc w:val="center"/>
                    <w:textAlignment w:val="bottom"/>
                    <w:rPr>
                      <w:rFonts w:hint="default" w:ascii="Times New Roman" w:hAnsi="Times New Roman" w:cs="Times New Roman"/>
                      <w:sz w:val="18"/>
                      <w:szCs w:val="18"/>
                      <w:highlight w:val="none"/>
                    </w:rPr>
                  </w:pPr>
                  <w:r>
                    <w:rPr>
                      <w:rFonts w:hint="default" w:ascii="Times New Roman" w:hAnsi="Times New Roman" w:eastAsia="等线" w:cs="Times New Roman"/>
                      <w:i w:val="0"/>
                      <w:iCs w:val="0"/>
                      <w:color w:val="000000"/>
                      <w:kern w:val="0"/>
                      <w:sz w:val="18"/>
                      <w:szCs w:val="18"/>
                      <w:u w:val="none"/>
                      <w:lang w:val="en-US" w:eastAsia="zh-CN" w:bidi="ar"/>
                    </w:rPr>
                    <w:t>0.1947</w:t>
                  </w:r>
                </w:p>
              </w:tc>
            </w:tr>
            <w:tr w14:paraId="2B9C259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4BA93B6E">
                  <w:pPr>
                    <w:pStyle w:val="200"/>
                    <w:spacing w:beforeLines="0" w:afterLines="0" w:line="240" w:lineRule="exact"/>
                    <w:jc w:val="center"/>
                    <w:rPr>
                      <w:rFonts w:hint="default" w:ascii="Times New Roman" w:hAnsi="Times New Roman" w:cs="Times New Roman"/>
                      <w:sz w:val="18"/>
                      <w:szCs w:val="18"/>
                      <w:highlight w:val="none"/>
                    </w:rPr>
                  </w:pPr>
                </w:p>
              </w:tc>
              <w:tc>
                <w:tcPr>
                  <w:tcW w:w="1365" w:type="dxa"/>
                  <w:vMerge w:val="continue"/>
                  <w:tcBorders>
                    <w:top w:val="single" w:color="auto" w:sz="2" w:space="0"/>
                    <w:left w:val="single" w:color="auto" w:sz="2" w:space="0"/>
                    <w:bottom w:val="single" w:color="auto" w:sz="2" w:space="0"/>
                    <w:right w:val="single" w:color="auto" w:sz="2" w:space="0"/>
                  </w:tcBorders>
                  <w:vAlign w:val="center"/>
                </w:tcPr>
                <w:p w14:paraId="534C3B0D">
                  <w:pPr>
                    <w:pStyle w:val="200"/>
                    <w:spacing w:beforeLines="0" w:afterLines="0" w:line="240" w:lineRule="exact"/>
                    <w:jc w:val="center"/>
                    <w:rPr>
                      <w:rFonts w:hint="default" w:ascii="Times New Roman" w:hAnsi="Times New Roman" w:cs="Times New Roman"/>
                      <w:sz w:val="18"/>
                      <w:szCs w:val="18"/>
                      <w:highlight w:val="none"/>
                    </w:rPr>
                  </w:pPr>
                </w:p>
              </w:tc>
              <w:tc>
                <w:tcPr>
                  <w:tcW w:w="3220" w:type="dxa"/>
                  <w:tcBorders>
                    <w:top w:val="single" w:color="auto" w:sz="2" w:space="0"/>
                    <w:left w:val="single" w:color="auto" w:sz="2" w:space="0"/>
                    <w:bottom w:val="single" w:color="auto" w:sz="2" w:space="0"/>
                    <w:right w:val="single" w:color="auto" w:sz="2" w:space="0"/>
                  </w:tcBorders>
                  <w:vAlign w:val="center"/>
                </w:tcPr>
                <w:p w14:paraId="1FED3B1E">
                  <w:pPr>
                    <w:pStyle w:val="200"/>
                    <w:spacing w:beforeLines="0" w:afterLines="0" w:line="240" w:lineRule="exact"/>
                    <w:jc w:val="center"/>
                    <w:rPr>
                      <w:rFonts w:hint="default" w:ascii="Times New Roman" w:hAnsi="Times New Roman" w:cs="Times New Roman"/>
                      <w:sz w:val="18"/>
                      <w:szCs w:val="18"/>
                      <w:highlight w:val="none"/>
                    </w:rPr>
                  </w:pPr>
                  <w:r>
                    <w:rPr>
                      <w:rFonts w:hint="eastAsia" w:ascii="Times New Roman" w:hAnsi="Times New Roman" w:cs="Times New Roman"/>
                      <w:color w:val="000000"/>
                      <w:sz w:val="18"/>
                      <w:szCs w:val="18"/>
                      <w:highlight w:val="none"/>
                      <w:lang w:eastAsia="zh-CN"/>
                    </w:rPr>
                    <w:t>晾</w:t>
                  </w:r>
                  <w:r>
                    <w:rPr>
                      <w:rFonts w:hint="default" w:ascii="Times New Roman" w:hAnsi="Times New Roman" w:cs="Times New Roman"/>
                      <w:color w:val="000000"/>
                      <w:sz w:val="18"/>
                      <w:szCs w:val="18"/>
                      <w:highlight w:val="none"/>
                    </w:rPr>
                    <w:t>干过程排气筒排放VOC</w:t>
                  </w:r>
                </w:p>
              </w:tc>
              <w:tc>
                <w:tcPr>
                  <w:tcW w:w="2100" w:type="dxa"/>
                  <w:tcBorders>
                    <w:top w:val="single" w:color="auto" w:sz="2" w:space="0"/>
                    <w:left w:val="single" w:color="auto" w:sz="2" w:space="0"/>
                    <w:bottom w:val="single" w:color="auto" w:sz="2" w:space="0"/>
                    <w:right w:val="single" w:color="auto" w:sz="2" w:space="0"/>
                  </w:tcBorders>
                  <w:vAlign w:val="center"/>
                </w:tcPr>
                <w:p w14:paraId="10A16271">
                  <w:pPr>
                    <w:keepNext w:val="0"/>
                    <w:keepLines w:val="0"/>
                    <w:widowControl/>
                    <w:suppressLineNumbers w:val="0"/>
                    <w:jc w:val="center"/>
                    <w:textAlignment w:val="bottom"/>
                    <w:rPr>
                      <w:rFonts w:hint="default" w:ascii="Times New Roman" w:hAnsi="Times New Roman" w:cs="Times New Roman"/>
                      <w:sz w:val="18"/>
                      <w:szCs w:val="18"/>
                      <w:highlight w:val="none"/>
                    </w:rPr>
                  </w:pPr>
                  <w:r>
                    <w:rPr>
                      <w:rFonts w:hint="default" w:ascii="Times New Roman" w:hAnsi="Times New Roman" w:eastAsia="等线" w:cs="Times New Roman"/>
                      <w:i w:val="0"/>
                      <w:iCs w:val="0"/>
                      <w:color w:val="000000"/>
                      <w:kern w:val="0"/>
                      <w:sz w:val="18"/>
                      <w:szCs w:val="18"/>
                      <w:u w:val="none"/>
                      <w:lang w:val="en-US" w:eastAsia="zh-CN" w:bidi="ar"/>
                    </w:rPr>
                    <w:t>0.0835</w:t>
                  </w:r>
                </w:p>
              </w:tc>
            </w:tr>
            <w:tr w14:paraId="6C5E0696">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08E2D902">
                  <w:pPr>
                    <w:pStyle w:val="200"/>
                    <w:spacing w:beforeLines="0" w:afterLines="0" w:line="240" w:lineRule="exact"/>
                    <w:jc w:val="center"/>
                    <w:rPr>
                      <w:rFonts w:hint="default" w:ascii="Times New Roman" w:hAnsi="Times New Roman" w:cs="Times New Roman"/>
                      <w:sz w:val="18"/>
                      <w:szCs w:val="18"/>
                      <w:highlight w:val="none"/>
                    </w:rPr>
                  </w:pPr>
                </w:p>
              </w:tc>
              <w:tc>
                <w:tcPr>
                  <w:tcW w:w="1365" w:type="dxa"/>
                  <w:vMerge w:val="continue"/>
                  <w:tcBorders>
                    <w:top w:val="single" w:color="auto" w:sz="2" w:space="0"/>
                    <w:left w:val="single" w:color="auto" w:sz="2" w:space="0"/>
                    <w:bottom w:val="single" w:color="auto" w:sz="2" w:space="0"/>
                    <w:right w:val="single" w:color="auto" w:sz="2" w:space="0"/>
                  </w:tcBorders>
                  <w:vAlign w:val="center"/>
                </w:tcPr>
                <w:p w14:paraId="2999DF9F">
                  <w:pPr>
                    <w:pStyle w:val="200"/>
                    <w:spacing w:beforeLines="0" w:afterLines="0" w:line="240" w:lineRule="exact"/>
                    <w:jc w:val="center"/>
                    <w:rPr>
                      <w:rFonts w:hint="default" w:ascii="Times New Roman" w:hAnsi="Times New Roman" w:cs="Times New Roman"/>
                      <w:sz w:val="18"/>
                      <w:szCs w:val="18"/>
                      <w:highlight w:val="none"/>
                    </w:rPr>
                  </w:pPr>
                </w:p>
              </w:tc>
              <w:tc>
                <w:tcPr>
                  <w:tcW w:w="3220" w:type="dxa"/>
                  <w:tcBorders>
                    <w:top w:val="single" w:color="auto" w:sz="2" w:space="0"/>
                    <w:left w:val="single" w:color="auto" w:sz="2" w:space="0"/>
                    <w:bottom w:val="single" w:color="auto" w:sz="2" w:space="0"/>
                    <w:right w:val="single" w:color="auto" w:sz="2" w:space="0"/>
                  </w:tcBorders>
                  <w:vAlign w:val="center"/>
                </w:tcPr>
                <w:p w14:paraId="0E55DCA7">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无组织排放VOC</w:t>
                  </w:r>
                </w:p>
              </w:tc>
              <w:tc>
                <w:tcPr>
                  <w:tcW w:w="2100" w:type="dxa"/>
                  <w:tcBorders>
                    <w:top w:val="single" w:color="auto" w:sz="2" w:space="0"/>
                    <w:left w:val="single" w:color="auto" w:sz="2" w:space="0"/>
                    <w:bottom w:val="single" w:color="auto" w:sz="2" w:space="0"/>
                    <w:right w:val="single" w:color="auto" w:sz="2" w:space="0"/>
                  </w:tcBorders>
                  <w:vAlign w:val="center"/>
                </w:tcPr>
                <w:p w14:paraId="2A65ABA7">
                  <w:pPr>
                    <w:keepNext w:val="0"/>
                    <w:keepLines w:val="0"/>
                    <w:widowControl/>
                    <w:suppressLineNumbers w:val="0"/>
                    <w:jc w:val="center"/>
                    <w:textAlignment w:val="bottom"/>
                    <w:rPr>
                      <w:rFonts w:hint="default" w:ascii="Times New Roman" w:hAnsi="Times New Roman" w:cs="Times New Roman"/>
                      <w:sz w:val="18"/>
                      <w:szCs w:val="18"/>
                      <w:highlight w:val="none"/>
                    </w:rPr>
                  </w:pPr>
                  <w:r>
                    <w:rPr>
                      <w:rFonts w:hint="default" w:ascii="Times New Roman" w:hAnsi="Times New Roman" w:eastAsia="等线" w:cs="Times New Roman"/>
                      <w:i w:val="0"/>
                      <w:iCs w:val="0"/>
                      <w:color w:val="000000"/>
                      <w:kern w:val="0"/>
                      <w:sz w:val="18"/>
                      <w:szCs w:val="18"/>
                      <w:u w:val="none"/>
                      <w:lang w:val="en-US" w:eastAsia="zh-CN" w:bidi="ar"/>
                    </w:rPr>
                    <w:t>0.0168</w:t>
                  </w:r>
                </w:p>
              </w:tc>
            </w:tr>
            <w:tr w14:paraId="1511E609">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23BB8111">
                  <w:pPr>
                    <w:pStyle w:val="200"/>
                    <w:spacing w:beforeLines="0" w:afterLines="0" w:line="240" w:lineRule="exact"/>
                    <w:jc w:val="center"/>
                    <w:rPr>
                      <w:rFonts w:hint="default" w:ascii="Times New Roman" w:hAnsi="Times New Roman" w:cs="Times New Roman"/>
                      <w:sz w:val="18"/>
                      <w:szCs w:val="18"/>
                      <w:highlight w:val="none"/>
                    </w:rPr>
                  </w:pPr>
                </w:p>
              </w:tc>
              <w:tc>
                <w:tcPr>
                  <w:tcW w:w="1365" w:type="dxa"/>
                  <w:vMerge w:val="continue"/>
                  <w:tcBorders>
                    <w:top w:val="single" w:color="auto" w:sz="2" w:space="0"/>
                    <w:left w:val="single" w:color="auto" w:sz="2" w:space="0"/>
                    <w:bottom w:val="single" w:color="auto" w:sz="2" w:space="0"/>
                    <w:right w:val="single" w:color="auto" w:sz="2" w:space="0"/>
                  </w:tcBorders>
                  <w:vAlign w:val="center"/>
                </w:tcPr>
                <w:p w14:paraId="1126E54F">
                  <w:pPr>
                    <w:pStyle w:val="200"/>
                    <w:spacing w:beforeLines="0" w:afterLines="0" w:line="240" w:lineRule="exact"/>
                    <w:jc w:val="center"/>
                    <w:rPr>
                      <w:rFonts w:hint="default" w:ascii="Times New Roman" w:hAnsi="Times New Roman" w:cs="Times New Roman"/>
                      <w:sz w:val="18"/>
                      <w:szCs w:val="18"/>
                      <w:highlight w:val="none"/>
                    </w:rPr>
                  </w:pPr>
                </w:p>
              </w:tc>
              <w:tc>
                <w:tcPr>
                  <w:tcW w:w="3220" w:type="dxa"/>
                  <w:tcBorders>
                    <w:top w:val="single" w:color="auto" w:sz="2" w:space="0"/>
                    <w:left w:val="single" w:color="auto" w:sz="2" w:space="0"/>
                    <w:bottom w:val="single" w:color="auto" w:sz="2" w:space="0"/>
                    <w:right w:val="single" w:color="auto" w:sz="2" w:space="0"/>
                  </w:tcBorders>
                  <w:vAlign w:val="center"/>
                </w:tcPr>
                <w:p w14:paraId="752CA7EE">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进入漆渣中VOC</w:t>
                  </w:r>
                </w:p>
              </w:tc>
              <w:tc>
                <w:tcPr>
                  <w:tcW w:w="2100" w:type="dxa"/>
                  <w:tcBorders>
                    <w:top w:val="single" w:color="auto" w:sz="2" w:space="0"/>
                    <w:left w:val="single" w:color="auto" w:sz="2" w:space="0"/>
                    <w:bottom w:val="single" w:color="auto" w:sz="2" w:space="0"/>
                    <w:right w:val="single" w:color="auto" w:sz="2" w:space="0"/>
                  </w:tcBorders>
                  <w:vAlign w:val="center"/>
                </w:tcPr>
                <w:p w14:paraId="2E079E73">
                  <w:pPr>
                    <w:keepNext w:val="0"/>
                    <w:keepLines w:val="0"/>
                    <w:widowControl/>
                    <w:suppressLineNumbers w:val="0"/>
                    <w:jc w:val="center"/>
                    <w:textAlignment w:val="bottom"/>
                    <w:rPr>
                      <w:rFonts w:hint="default" w:ascii="Times New Roman" w:hAnsi="Times New Roman" w:cs="Times New Roman"/>
                      <w:sz w:val="18"/>
                      <w:szCs w:val="18"/>
                      <w:highlight w:val="none"/>
                    </w:rPr>
                  </w:pPr>
                  <w:r>
                    <w:rPr>
                      <w:rFonts w:hint="default" w:ascii="Times New Roman" w:hAnsi="Times New Roman" w:eastAsia="等线" w:cs="Times New Roman"/>
                      <w:i w:val="0"/>
                      <w:iCs w:val="0"/>
                      <w:color w:val="000000"/>
                      <w:kern w:val="0"/>
                      <w:sz w:val="18"/>
                      <w:szCs w:val="18"/>
                      <w:u w:val="none"/>
                      <w:lang w:val="en-US" w:eastAsia="zh-CN" w:bidi="ar"/>
                    </w:rPr>
                    <w:t>0.0422</w:t>
                  </w:r>
                </w:p>
              </w:tc>
            </w:tr>
            <w:tr w14:paraId="6D41521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restart"/>
                  <w:tcBorders>
                    <w:top w:val="single" w:color="auto" w:sz="2" w:space="0"/>
                    <w:left w:val="single" w:color="auto" w:sz="2" w:space="0"/>
                    <w:bottom w:val="single" w:color="auto" w:sz="2" w:space="0"/>
                    <w:right w:val="single" w:color="auto" w:sz="2" w:space="0"/>
                  </w:tcBorders>
                  <w:vAlign w:val="center"/>
                </w:tcPr>
                <w:p w14:paraId="4822DC3E">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固形物</w:t>
                  </w:r>
                </w:p>
              </w:tc>
              <w:tc>
                <w:tcPr>
                  <w:tcW w:w="1365" w:type="dxa"/>
                  <w:vMerge w:val="restart"/>
                  <w:tcBorders>
                    <w:top w:val="single" w:color="auto" w:sz="2" w:space="0"/>
                    <w:left w:val="single" w:color="auto" w:sz="2" w:space="0"/>
                    <w:bottom w:val="single" w:color="auto" w:sz="2" w:space="0"/>
                    <w:right w:val="single" w:color="auto" w:sz="2" w:space="0"/>
                  </w:tcBorders>
                  <w:vAlign w:val="center"/>
                </w:tcPr>
                <w:p w14:paraId="37FEA0B7">
                  <w:pPr>
                    <w:keepNext w:val="0"/>
                    <w:keepLines w:val="0"/>
                    <w:widowControl/>
                    <w:suppressLineNumbers w:val="0"/>
                    <w:jc w:val="center"/>
                    <w:textAlignment w:val="bottom"/>
                    <w:rPr>
                      <w:rFonts w:hint="default" w:ascii="Times New Roman" w:hAnsi="Times New Roman" w:eastAsia="宋体" w:cs="Times New Roman"/>
                      <w:sz w:val="18"/>
                      <w:szCs w:val="18"/>
                      <w:highlight w:val="none"/>
                      <w:lang w:val="en-US" w:eastAsia="zh-CN"/>
                    </w:rPr>
                  </w:pPr>
                  <w:r>
                    <w:rPr>
                      <w:rFonts w:hint="default" w:ascii="Times New Roman" w:hAnsi="Times New Roman" w:eastAsia="等线" w:cs="Times New Roman"/>
                      <w:i w:val="0"/>
                      <w:iCs w:val="0"/>
                      <w:color w:val="000000"/>
                      <w:kern w:val="0"/>
                      <w:sz w:val="18"/>
                      <w:szCs w:val="18"/>
                      <w:u w:val="none"/>
                      <w:lang w:val="en-US" w:eastAsia="zh-CN" w:bidi="ar"/>
                    </w:rPr>
                    <w:t>1.677</w:t>
                  </w:r>
                </w:p>
              </w:tc>
              <w:tc>
                <w:tcPr>
                  <w:tcW w:w="3220" w:type="dxa"/>
                  <w:tcBorders>
                    <w:top w:val="single" w:color="auto" w:sz="2" w:space="0"/>
                    <w:left w:val="single" w:color="auto" w:sz="2" w:space="0"/>
                    <w:bottom w:val="single" w:color="auto" w:sz="2" w:space="0"/>
                    <w:right w:val="single" w:color="auto" w:sz="2" w:space="0"/>
                  </w:tcBorders>
                  <w:vAlign w:val="center"/>
                </w:tcPr>
                <w:p w14:paraId="6356041D">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产品带走</w:t>
                  </w:r>
                </w:p>
              </w:tc>
              <w:tc>
                <w:tcPr>
                  <w:tcW w:w="2100" w:type="dxa"/>
                  <w:tcBorders>
                    <w:top w:val="single" w:color="auto" w:sz="2" w:space="0"/>
                    <w:left w:val="single" w:color="auto" w:sz="2" w:space="0"/>
                    <w:bottom w:val="single" w:color="auto" w:sz="2" w:space="0"/>
                    <w:right w:val="single" w:color="auto" w:sz="2" w:space="0"/>
                  </w:tcBorders>
                  <w:vAlign w:val="center"/>
                </w:tcPr>
                <w:p w14:paraId="2DB0C232">
                  <w:pPr>
                    <w:keepNext w:val="0"/>
                    <w:keepLines w:val="0"/>
                    <w:widowControl/>
                    <w:suppressLineNumbers w:val="0"/>
                    <w:jc w:val="center"/>
                    <w:textAlignment w:val="bottom"/>
                    <w:rPr>
                      <w:rFonts w:hint="default" w:ascii="Times New Roman" w:hAnsi="Times New Roman" w:cs="Times New Roman"/>
                      <w:sz w:val="18"/>
                      <w:szCs w:val="18"/>
                      <w:highlight w:val="none"/>
                    </w:rPr>
                  </w:pPr>
                  <w:r>
                    <w:rPr>
                      <w:rFonts w:hint="default" w:ascii="Times New Roman" w:hAnsi="Times New Roman" w:eastAsia="等线" w:cs="Times New Roman"/>
                      <w:i w:val="0"/>
                      <w:iCs w:val="0"/>
                      <w:color w:val="000000"/>
                      <w:kern w:val="0"/>
                      <w:sz w:val="18"/>
                      <w:szCs w:val="18"/>
                      <w:u w:val="none"/>
                      <w:lang w:val="en-US" w:eastAsia="zh-CN" w:bidi="ar"/>
                    </w:rPr>
                    <w:t>1.1739</w:t>
                  </w:r>
                </w:p>
              </w:tc>
            </w:tr>
            <w:tr w14:paraId="6DFEE30C">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55B3B894">
                  <w:pPr>
                    <w:pStyle w:val="200"/>
                    <w:spacing w:beforeLines="0" w:afterLines="0" w:line="240" w:lineRule="exact"/>
                    <w:jc w:val="center"/>
                    <w:rPr>
                      <w:rFonts w:hint="default" w:ascii="Times New Roman" w:hAnsi="Times New Roman" w:cs="Times New Roman"/>
                      <w:sz w:val="18"/>
                      <w:szCs w:val="18"/>
                      <w:highlight w:val="none"/>
                    </w:rPr>
                  </w:pPr>
                </w:p>
              </w:tc>
              <w:tc>
                <w:tcPr>
                  <w:tcW w:w="1365" w:type="dxa"/>
                  <w:vMerge w:val="continue"/>
                  <w:tcBorders>
                    <w:top w:val="single" w:color="auto" w:sz="2" w:space="0"/>
                    <w:left w:val="single" w:color="auto" w:sz="2" w:space="0"/>
                    <w:bottom w:val="single" w:color="auto" w:sz="2" w:space="0"/>
                    <w:right w:val="single" w:color="auto" w:sz="2" w:space="0"/>
                  </w:tcBorders>
                  <w:vAlign w:val="center"/>
                </w:tcPr>
                <w:p w14:paraId="0AE3AD48">
                  <w:pPr>
                    <w:pStyle w:val="200"/>
                    <w:spacing w:beforeLines="0" w:afterLines="0" w:line="240" w:lineRule="exact"/>
                    <w:jc w:val="center"/>
                    <w:rPr>
                      <w:rFonts w:hint="default" w:ascii="Times New Roman" w:hAnsi="Times New Roman" w:cs="Times New Roman"/>
                      <w:sz w:val="18"/>
                      <w:szCs w:val="18"/>
                      <w:highlight w:val="none"/>
                    </w:rPr>
                  </w:pPr>
                </w:p>
              </w:tc>
              <w:tc>
                <w:tcPr>
                  <w:tcW w:w="3220" w:type="dxa"/>
                  <w:tcBorders>
                    <w:top w:val="single" w:color="auto" w:sz="2" w:space="0"/>
                    <w:left w:val="single" w:color="auto" w:sz="2" w:space="0"/>
                    <w:bottom w:val="single" w:color="auto" w:sz="2" w:space="0"/>
                    <w:right w:val="single" w:color="auto" w:sz="2" w:space="0"/>
                  </w:tcBorders>
                  <w:vAlign w:val="center"/>
                </w:tcPr>
                <w:p w14:paraId="7DC6527E">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进入漆渣中</w:t>
                  </w:r>
                </w:p>
              </w:tc>
              <w:tc>
                <w:tcPr>
                  <w:tcW w:w="2100" w:type="dxa"/>
                  <w:tcBorders>
                    <w:top w:val="single" w:color="auto" w:sz="2" w:space="0"/>
                    <w:left w:val="single" w:color="auto" w:sz="2" w:space="0"/>
                    <w:bottom w:val="single" w:color="auto" w:sz="2" w:space="0"/>
                    <w:right w:val="single" w:color="auto" w:sz="2" w:space="0"/>
                  </w:tcBorders>
                  <w:shd w:val="clear" w:color="auto" w:fill="FFFFFF"/>
                  <w:vAlign w:val="center"/>
                </w:tcPr>
                <w:p w14:paraId="1AB054C6">
                  <w:pPr>
                    <w:keepNext w:val="0"/>
                    <w:keepLines w:val="0"/>
                    <w:widowControl/>
                    <w:suppressLineNumbers w:val="0"/>
                    <w:jc w:val="center"/>
                    <w:textAlignment w:val="bottom"/>
                    <w:rPr>
                      <w:rFonts w:hint="default" w:ascii="Times New Roman" w:hAnsi="Times New Roman" w:cs="Times New Roman"/>
                      <w:sz w:val="18"/>
                      <w:szCs w:val="18"/>
                      <w:highlight w:val="none"/>
                      <w:lang w:val="en-US"/>
                    </w:rPr>
                  </w:pPr>
                  <w:r>
                    <w:rPr>
                      <w:rFonts w:hint="default" w:ascii="Times New Roman" w:hAnsi="Times New Roman" w:eastAsia="等线" w:cs="Times New Roman"/>
                      <w:i w:val="0"/>
                      <w:iCs w:val="0"/>
                      <w:color w:val="000000"/>
                      <w:kern w:val="0"/>
                      <w:sz w:val="18"/>
                      <w:szCs w:val="18"/>
                      <w:u w:val="none"/>
                      <w:lang w:val="en-US" w:eastAsia="zh-CN" w:bidi="ar"/>
                    </w:rPr>
                    <w:t>0.4528</w:t>
                  </w:r>
                </w:p>
              </w:tc>
            </w:tr>
            <w:tr w14:paraId="07E8A96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vMerge w:val="continue"/>
                  <w:tcBorders>
                    <w:top w:val="single" w:color="auto" w:sz="2" w:space="0"/>
                    <w:left w:val="single" w:color="auto" w:sz="2" w:space="0"/>
                    <w:bottom w:val="single" w:color="auto" w:sz="2" w:space="0"/>
                    <w:right w:val="single" w:color="auto" w:sz="2" w:space="0"/>
                  </w:tcBorders>
                  <w:vAlign w:val="center"/>
                </w:tcPr>
                <w:p w14:paraId="69599CB1">
                  <w:pPr>
                    <w:pStyle w:val="200"/>
                    <w:spacing w:beforeLines="0" w:afterLines="0" w:line="240" w:lineRule="exact"/>
                    <w:jc w:val="center"/>
                    <w:rPr>
                      <w:rFonts w:hint="default" w:ascii="Times New Roman" w:hAnsi="Times New Roman" w:cs="Times New Roman"/>
                      <w:sz w:val="18"/>
                      <w:szCs w:val="18"/>
                      <w:highlight w:val="none"/>
                    </w:rPr>
                  </w:pPr>
                </w:p>
              </w:tc>
              <w:tc>
                <w:tcPr>
                  <w:tcW w:w="1365" w:type="dxa"/>
                  <w:vMerge w:val="continue"/>
                  <w:tcBorders>
                    <w:top w:val="single" w:color="auto" w:sz="2" w:space="0"/>
                    <w:left w:val="single" w:color="auto" w:sz="2" w:space="0"/>
                    <w:bottom w:val="single" w:color="auto" w:sz="2" w:space="0"/>
                    <w:right w:val="single" w:color="auto" w:sz="2" w:space="0"/>
                  </w:tcBorders>
                  <w:vAlign w:val="center"/>
                </w:tcPr>
                <w:p w14:paraId="1A8361F1">
                  <w:pPr>
                    <w:pStyle w:val="200"/>
                    <w:spacing w:beforeLines="0" w:afterLines="0" w:line="240" w:lineRule="exact"/>
                    <w:jc w:val="center"/>
                    <w:rPr>
                      <w:rFonts w:hint="default" w:ascii="Times New Roman" w:hAnsi="Times New Roman" w:cs="Times New Roman"/>
                      <w:sz w:val="18"/>
                      <w:szCs w:val="18"/>
                      <w:highlight w:val="none"/>
                    </w:rPr>
                  </w:pPr>
                </w:p>
              </w:tc>
              <w:tc>
                <w:tcPr>
                  <w:tcW w:w="3220" w:type="dxa"/>
                  <w:tcBorders>
                    <w:top w:val="single" w:color="auto" w:sz="2" w:space="0"/>
                    <w:left w:val="single" w:color="auto" w:sz="2" w:space="0"/>
                    <w:bottom w:val="single" w:color="auto" w:sz="2" w:space="0"/>
                    <w:right w:val="single" w:color="auto" w:sz="2" w:space="0"/>
                  </w:tcBorders>
                  <w:vAlign w:val="center"/>
                </w:tcPr>
                <w:p w14:paraId="5DAC6DC5">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喷漆过程排气筒排放</w:t>
                  </w:r>
                </w:p>
              </w:tc>
              <w:tc>
                <w:tcPr>
                  <w:tcW w:w="2100" w:type="dxa"/>
                  <w:tcBorders>
                    <w:top w:val="single" w:color="auto" w:sz="2" w:space="0"/>
                    <w:left w:val="single" w:color="auto" w:sz="2" w:space="0"/>
                    <w:bottom w:val="single" w:color="auto" w:sz="2" w:space="0"/>
                    <w:right w:val="single" w:color="auto" w:sz="2" w:space="0"/>
                  </w:tcBorders>
                  <w:shd w:val="clear" w:color="auto" w:fill="FFFFFF"/>
                  <w:vAlign w:val="center"/>
                </w:tcPr>
                <w:p w14:paraId="612D5A63">
                  <w:pPr>
                    <w:keepNext w:val="0"/>
                    <w:keepLines w:val="0"/>
                    <w:widowControl/>
                    <w:suppressLineNumbers w:val="0"/>
                    <w:jc w:val="center"/>
                    <w:textAlignment w:val="bottom"/>
                    <w:rPr>
                      <w:rFonts w:hint="default" w:ascii="Times New Roman" w:hAnsi="Times New Roman" w:cs="Times New Roman"/>
                      <w:sz w:val="18"/>
                      <w:szCs w:val="18"/>
                      <w:highlight w:val="none"/>
                    </w:rPr>
                  </w:pPr>
                  <w:r>
                    <w:rPr>
                      <w:rFonts w:hint="default" w:ascii="Times New Roman" w:hAnsi="Times New Roman" w:eastAsia="等线" w:cs="Times New Roman"/>
                      <w:i w:val="0"/>
                      <w:iCs w:val="0"/>
                      <w:color w:val="000000"/>
                      <w:kern w:val="0"/>
                      <w:sz w:val="18"/>
                      <w:szCs w:val="18"/>
                      <w:u w:val="none"/>
                      <w:lang w:val="en-US" w:eastAsia="zh-CN" w:bidi="ar"/>
                    </w:rPr>
                    <w:t>0.0503</w:t>
                  </w:r>
                </w:p>
              </w:tc>
            </w:tr>
            <w:tr w14:paraId="5C0C560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0" w:type="dxa"/>
                  <w:tcBorders>
                    <w:top w:val="single" w:color="auto" w:sz="2" w:space="0"/>
                    <w:left w:val="single" w:color="auto" w:sz="2" w:space="0"/>
                    <w:bottom w:val="single" w:color="auto" w:sz="2" w:space="0"/>
                    <w:right w:val="single" w:color="auto" w:sz="2" w:space="0"/>
                  </w:tcBorders>
                  <w:vAlign w:val="center"/>
                </w:tcPr>
                <w:p w14:paraId="7555594E">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合计</w:t>
                  </w:r>
                </w:p>
              </w:tc>
              <w:tc>
                <w:tcPr>
                  <w:tcW w:w="1365" w:type="dxa"/>
                  <w:tcBorders>
                    <w:top w:val="single" w:color="auto" w:sz="2" w:space="0"/>
                    <w:left w:val="single" w:color="auto" w:sz="2" w:space="0"/>
                    <w:bottom w:val="single" w:color="auto" w:sz="2" w:space="0"/>
                    <w:right w:val="single" w:color="auto" w:sz="2" w:space="0"/>
                  </w:tcBorders>
                  <w:vAlign w:val="center"/>
                </w:tcPr>
                <w:p w14:paraId="3F1B617F">
                  <w:pPr>
                    <w:keepNext w:val="0"/>
                    <w:keepLines w:val="0"/>
                    <w:widowControl/>
                    <w:suppressLineNumbers w:val="0"/>
                    <w:jc w:val="center"/>
                    <w:textAlignment w:val="bottom"/>
                    <w:rPr>
                      <w:rFonts w:hint="default" w:ascii="Times New Roman" w:hAnsi="Times New Roman" w:eastAsia="宋体" w:cs="Times New Roman"/>
                      <w:sz w:val="18"/>
                      <w:szCs w:val="18"/>
                      <w:highlight w:val="none"/>
                      <w:lang w:val="en-US" w:eastAsia="zh-CN"/>
                    </w:rPr>
                  </w:pPr>
                  <w:r>
                    <w:rPr>
                      <w:rFonts w:hint="default" w:ascii="Times New Roman" w:hAnsi="Times New Roman" w:eastAsia="等线" w:cs="Times New Roman"/>
                      <w:i w:val="0"/>
                      <w:iCs w:val="0"/>
                      <w:color w:val="000000"/>
                      <w:kern w:val="0"/>
                      <w:sz w:val="18"/>
                      <w:szCs w:val="18"/>
                      <w:u w:val="none"/>
                      <w:lang w:val="en-US" w:eastAsia="zh-CN" w:bidi="ar"/>
                    </w:rPr>
                    <w:t>2.52</w:t>
                  </w:r>
                </w:p>
              </w:tc>
              <w:tc>
                <w:tcPr>
                  <w:tcW w:w="3220" w:type="dxa"/>
                  <w:tcBorders>
                    <w:top w:val="single" w:color="auto" w:sz="2" w:space="0"/>
                    <w:left w:val="single" w:color="auto" w:sz="2" w:space="0"/>
                    <w:bottom w:val="single" w:color="auto" w:sz="2" w:space="0"/>
                    <w:right w:val="single" w:color="auto" w:sz="2" w:space="0"/>
                  </w:tcBorders>
                  <w:vAlign w:val="center"/>
                </w:tcPr>
                <w:p w14:paraId="58A6FEF0">
                  <w:pPr>
                    <w:pStyle w:val="200"/>
                    <w:spacing w:beforeLines="0" w:afterLines="0" w:line="240" w:lineRule="exact"/>
                    <w:jc w:val="center"/>
                    <w:rPr>
                      <w:rFonts w:hint="default" w:ascii="Times New Roman" w:hAnsi="Times New Roman" w:cs="Times New Roman"/>
                      <w:sz w:val="18"/>
                      <w:szCs w:val="18"/>
                      <w:highlight w:val="none"/>
                    </w:rPr>
                  </w:pPr>
                  <w:r>
                    <w:rPr>
                      <w:rFonts w:hint="default" w:ascii="Times New Roman" w:hAnsi="Times New Roman" w:cs="Times New Roman"/>
                      <w:color w:val="000000"/>
                      <w:sz w:val="18"/>
                      <w:szCs w:val="18"/>
                      <w:highlight w:val="none"/>
                    </w:rPr>
                    <w:t>合计</w:t>
                  </w:r>
                </w:p>
              </w:tc>
              <w:tc>
                <w:tcPr>
                  <w:tcW w:w="2100" w:type="dxa"/>
                  <w:tcBorders>
                    <w:top w:val="single" w:color="auto" w:sz="2" w:space="0"/>
                    <w:left w:val="single" w:color="auto" w:sz="2" w:space="0"/>
                    <w:bottom w:val="single" w:color="auto" w:sz="2" w:space="0"/>
                    <w:right w:val="single" w:color="auto" w:sz="2" w:space="0"/>
                  </w:tcBorders>
                  <w:vAlign w:val="center"/>
                </w:tcPr>
                <w:p w14:paraId="4ACF75BC">
                  <w:pPr>
                    <w:keepNext w:val="0"/>
                    <w:keepLines w:val="0"/>
                    <w:widowControl/>
                    <w:suppressLineNumbers w:val="0"/>
                    <w:jc w:val="center"/>
                    <w:textAlignment w:val="bottom"/>
                    <w:rPr>
                      <w:rFonts w:hint="default" w:ascii="Times New Roman" w:hAnsi="Times New Roman" w:eastAsia="宋体" w:cs="Times New Roman"/>
                      <w:sz w:val="18"/>
                      <w:szCs w:val="18"/>
                      <w:highlight w:val="none"/>
                      <w:lang w:val="en-US" w:eastAsia="zh-CN"/>
                    </w:rPr>
                  </w:pPr>
                  <w:r>
                    <w:rPr>
                      <w:rFonts w:hint="default" w:ascii="Times New Roman" w:hAnsi="Times New Roman" w:eastAsia="等线" w:cs="Times New Roman"/>
                      <w:i w:val="0"/>
                      <w:iCs w:val="0"/>
                      <w:color w:val="000000"/>
                      <w:kern w:val="0"/>
                      <w:sz w:val="18"/>
                      <w:szCs w:val="18"/>
                      <w:u w:val="none"/>
                      <w:lang w:val="en-US" w:eastAsia="zh-CN" w:bidi="ar"/>
                    </w:rPr>
                    <w:t>2.52</w:t>
                  </w:r>
                </w:p>
              </w:tc>
            </w:tr>
            <w:tr w14:paraId="58D5CB92">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8395" w:type="dxa"/>
                  <w:gridSpan w:val="4"/>
                  <w:tcBorders>
                    <w:top w:val="single" w:color="auto" w:sz="2" w:space="0"/>
                    <w:left w:val="single" w:color="auto" w:sz="2" w:space="0"/>
                    <w:bottom w:val="single" w:color="auto" w:sz="2" w:space="0"/>
                    <w:right w:val="single" w:color="auto" w:sz="2" w:space="0"/>
                  </w:tcBorders>
                  <w:vAlign w:val="center"/>
                </w:tcPr>
                <w:p w14:paraId="268CCB70">
                  <w:pPr>
                    <w:pStyle w:val="200"/>
                    <w:spacing w:beforeLines="0" w:afterLines="0" w:line="240" w:lineRule="exact"/>
                    <w:jc w:val="center"/>
                    <w:rPr>
                      <w:rFonts w:hint="default" w:ascii="Times New Roman" w:hAnsi="Times New Roman" w:cs="Times New Roman"/>
                      <w:sz w:val="18"/>
                      <w:szCs w:val="18"/>
                    </w:rPr>
                  </w:pPr>
                </w:p>
              </w:tc>
            </w:tr>
          </w:tbl>
          <w:p w14:paraId="0489E11F">
            <w:pPr>
              <w:autoSpaceDE w:val="0"/>
              <w:autoSpaceDN w:val="0"/>
              <w:adjustRightInd w:val="0"/>
              <w:spacing w:line="360" w:lineRule="auto"/>
              <w:jc w:val="center"/>
              <w:rPr>
                <w:rFonts w:hint="default" w:ascii="Times New Roman" w:hAnsi="Times New Roman" w:eastAsia="黑体" w:cs="Times New Roman"/>
              </w:rPr>
            </w:pPr>
            <w:r>
              <w:rPr>
                <w:rFonts w:hint="default" w:ascii="Times New Roman" w:hAnsi="Times New Roman" w:cs="Times New Roman"/>
              </w:rPr>
              <w:object>
                <v:shape id="_x0000_i1040" o:spt="75" type="#_x0000_t75" style="height:327.1pt;width:434.4pt;" o:ole="t" filled="f" o:preferrelative="t" stroked="f" coordsize="21600,21600">
                  <v:path/>
                  <v:fill on="f" focussize="0,0"/>
                  <v:stroke on="f"/>
                  <v:imagedata r:id="rId43" o:title=""/>
                  <o:lock v:ext="edit" aspectratio="t"/>
                  <w10:wrap type="none"/>
                  <w10:anchorlock/>
                </v:shape>
                <o:OLEObject Type="Embed" ProgID="Visio.Drawing.11" ShapeID="_x0000_i1040" DrawAspect="Content" ObjectID="_1468075740" r:id="rId42">
                  <o:LockedField>false</o:LockedField>
                </o:OLEObject>
              </w:object>
            </w:r>
            <w:r>
              <w:rPr>
                <w:rFonts w:hint="default" w:ascii="Times New Roman" w:hAnsi="Times New Roman" w:eastAsia="黑体" w:cs="Times New Roman"/>
              </w:rPr>
              <w:t>图2-</w:t>
            </w:r>
            <w:r>
              <w:rPr>
                <w:rFonts w:hint="eastAsia" w:eastAsia="黑体" w:cs="Times New Roman"/>
                <w:lang w:val="en-US" w:eastAsia="zh-CN"/>
              </w:rPr>
              <w:t>4</w:t>
            </w:r>
            <w:r>
              <w:rPr>
                <w:rFonts w:hint="default" w:ascii="Times New Roman" w:hAnsi="Times New Roman" w:eastAsia="黑体" w:cs="Times New Roman"/>
              </w:rPr>
              <w:t>（3）</w:t>
            </w:r>
            <w:r>
              <w:rPr>
                <w:rFonts w:hint="eastAsia" w:ascii="Times New Roman" w:hAnsi="Times New Roman" w:eastAsia="黑体" w:cs="Times New Roman"/>
                <w:lang w:eastAsia="zh-CN"/>
              </w:rPr>
              <w:t>全厂喷漆房</w:t>
            </w:r>
            <w:r>
              <w:rPr>
                <w:rFonts w:hint="default" w:ascii="Times New Roman" w:hAnsi="Times New Roman" w:eastAsia="黑体" w:cs="Times New Roman"/>
              </w:rPr>
              <w:t>涂料物料平衡图</w:t>
            </w:r>
          </w:p>
          <w:p w14:paraId="7142256D">
            <w:pPr>
              <w:autoSpaceDE w:val="0"/>
              <w:autoSpaceDN w:val="0"/>
              <w:adjustRightInd w:val="0"/>
              <w:snapToGrid w:val="0"/>
              <w:spacing w:line="360" w:lineRule="auto"/>
              <w:ind w:firstLine="422" w:firstLineChars="200"/>
              <w:jc w:val="left"/>
              <w:rPr>
                <w:rFonts w:hint="eastAsia" w:eastAsia="宋体"/>
                <w:b/>
                <w:bCs/>
                <w:lang w:eastAsia="zh-CN"/>
              </w:rPr>
            </w:pPr>
            <w:r>
              <w:rPr>
                <w:rFonts w:hint="eastAsia"/>
                <w:b/>
                <w:bCs/>
                <w:lang w:eastAsia="zh-CN"/>
              </w:rPr>
              <w:t>（</w:t>
            </w:r>
            <w:r>
              <w:rPr>
                <w:rFonts w:hint="eastAsia"/>
                <w:b/>
                <w:bCs/>
                <w:lang w:val="en-US" w:eastAsia="zh-CN"/>
              </w:rPr>
              <w:t>四</w:t>
            </w:r>
            <w:r>
              <w:rPr>
                <w:rFonts w:hint="eastAsia"/>
                <w:b/>
                <w:bCs/>
                <w:lang w:eastAsia="zh-CN"/>
              </w:rPr>
              <w:t>）浸漆物料平衡</w:t>
            </w:r>
          </w:p>
          <w:p w14:paraId="7C4D248C">
            <w:pPr>
              <w:spacing w:line="360" w:lineRule="auto"/>
              <w:ind w:firstLine="422" w:firstLineChars="200"/>
              <w:jc w:val="left"/>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val="en-US" w:eastAsia="zh-CN"/>
              </w:rPr>
              <w:t>1）绝缘漆</w:t>
            </w:r>
            <w:r>
              <w:rPr>
                <w:rFonts w:hint="eastAsia" w:ascii="宋体" w:hAnsi="宋体" w:cs="宋体"/>
                <w:b/>
                <w:bCs/>
                <w:color w:val="auto"/>
                <w:sz w:val="21"/>
                <w:szCs w:val="21"/>
                <w:lang w:val="en-US" w:eastAsia="zh-CN"/>
              </w:rPr>
              <w:t>（无溶剂浸渍树脂）</w:t>
            </w:r>
            <w:r>
              <w:rPr>
                <w:rFonts w:hint="eastAsia" w:ascii="宋体" w:hAnsi="宋体" w:eastAsia="宋体" w:cs="宋体"/>
                <w:b/>
                <w:bCs/>
                <w:color w:val="auto"/>
                <w:sz w:val="21"/>
                <w:szCs w:val="21"/>
                <w:lang w:val="en-US" w:eastAsia="zh-CN"/>
              </w:rPr>
              <w:t>用量核算</w:t>
            </w:r>
          </w:p>
          <w:p w14:paraId="355DCFC5">
            <w:pPr>
              <w:spacing w:line="360" w:lineRule="auto"/>
              <w:ind w:firstLine="420" w:firstLineChars="200"/>
              <w:jc w:val="both"/>
              <w:rPr>
                <w:rFonts w:hint="eastAsia"/>
                <w:color w:val="auto"/>
                <w:sz w:val="21"/>
                <w:szCs w:val="21"/>
                <w:vertAlign w:val="baseline"/>
              </w:rPr>
            </w:pPr>
            <w:r>
              <w:rPr>
                <w:rFonts w:hint="eastAsia"/>
                <w:color w:val="auto"/>
                <w:sz w:val="21"/>
                <w:szCs w:val="21"/>
              </w:rPr>
              <w:t>根据企业提供资料，</w:t>
            </w:r>
            <w:r>
              <w:rPr>
                <w:rFonts w:hint="eastAsia"/>
                <w:color w:val="auto"/>
                <w:sz w:val="21"/>
                <w:szCs w:val="21"/>
                <w:lang w:eastAsia="zh-CN"/>
              </w:rPr>
              <w:t>水泵电机的</w:t>
            </w:r>
            <w:r>
              <w:rPr>
                <w:rFonts w:hint="eastAsia" w:ascii="Times New Roman" w:hAnsi="Times New Roman" w:eastAsia="宋体" w:cs="Times New Roman"/>
                <w:color w:val="auto"/>
                <w:sz w:val="21"/>
                <w:szCs w:val="21"/>
              </w:rPr>
              <w:t>有绕组定子</w:t>
            </w:r>
            <w:r>
              <w:rPr>
                <w:rFonts w:hint="eastAsia" w:ascii="Times New Roman" w:hAnsi="Times New Roman" w:eastAsia="宋体" w:cs="Times New Roman"/>
                <w:color w:val="auto"/>
                <w:sz w:val="21"/>
                <w:szCs w:val="21"/>
                <w:lang w:val="en-US" w:eastAsia="zh-CN"/>
              </w:rPr>
              <w:t>需要浸漆</w:t>
            </w:r>
            <w:r>
              <w:rPr>
                <w:rFonts w:hint="eastAsia" w:cs="Times New Roman"/>
                <w:color w:val="auto"/>
                <w:sz w:val="21"/>
                <w:szCs w:val="21"/>
                <w:lang w:val="en-US" w:eastAsia="zh-CN"/>
              </w:rPr>
              <w:t>一次</w:t>
            </w:r>
            <w:r>
              <w:rPr>
                <w:rFonts w:hint="eastAsia" w:ascii="Times New Roman" w:hAnsi="Times New Roman" w:eastAsia="宋体" w:cs="Times New Roman"/>
                <w:color w:val="auto"/>
                <w:sz w:val="21"/>
                <w:szCs w:val="21"/>
                <w:lang w:val="en-US" w:eastAsia="zh-CN"/>
              </w:rPr>
              <w:t>，浸漆厚度约为</w:t>
            </w:r>
            <w:r>
              <w:rPr>
                <w:rFonts w:hint="eastAsia" w:cs="Times New Roman"/>
                <w:color w:val="auto"/>
                <w:sz w:val="21"/>
                <w:szCs w:val="21"/>
                <w:lang w:val="en-US" w:eastAsia="zh-CN"/>
              </w:rPr>
              <w:t>90</w:t>
            </w:r>
            <w:r>
              <w:rPr>
                <w:rFonts w:hint="eastAsia" w:ascii="Times New Roman" w:hAnsi="Times New Roman" w:eastAsia="宋体" w:cs="Times New Roman"/>
                <w:color w:val="auto"/>
                <w:sz w:val="21"/>
                <w:szCs w:val="21"/>
                <w:lang w:val="en-US" w:eastAsia="zh-CN"/>
              </w:rPr>
              <w:t>um，平均每一个</w:t>
            </w:r>
            <w:r>
              <w:rPr>
                <w:rFonts w:hint="eastAsia" w:ascii="Times New Roman" w:hAnsi="Times New Roman" w:eastAsia="宋体" w:cs="Times New Roman"/>
                <w:bCs w:val="0"/>
                <w:color w:val="auto"/>
                <w:kern w:val="2"/>
                <w:sz w:val="21"/>
                <w:szCs w:val="21"/>
                <w:lang w:val="en-US" w:eastAsia="zh-CN"/>
              </w:rPr>
              <w:t>有绕组定子需要浸漆面积约为0.5m</w:t>
            </w:r>
            <w:r>
              <w:rPr>
                <w:rFonts w:hint="eastAsia" w:ascii="Times New Roman" w:hAnsi="Times New Roman" w:eastAsia="宋体" w:cs="Times New Roman"/>
                <w:bCs w:val="0"/>
                <w:color w:val="auto"/>
                <w:kern w:val="2"/>
                <w:sz w:val="21"/>
                <w:szCs w:val="21"/>
                <w:vertAlign w:val="superscript"/>
                <w:lang w:val="en-US" w:eastAsia="zh-CN"/>
              </w:rPr>
              <w:t>2</w:t>
            </w:r>
            <w:r>
              <w:rPr>
                <w:rFonts w:hint="eastAsia" w:ascii="Times New Roman" w:hAnsi="Times New Roman" w:eastAsia="宋体" w:cs="Times New Roman"/>
                <w:bCs w:val="0"/>
                <w:color w:val="auto"/>
                <w:kern w:val="2"/>
                <w:sz w:val="21"/>
                <w:szCs w:val="21"/>
                <w:lang w:val="en-US" w:eastAsia="zh-CN"/>
              </w:rPr>
              <w:t>，</w:t>
            </w:r>
            <w:r>
              <w:rPr>
                <w:rFonts w:hint="eastAsia" w:cs="Times New Roman"/>
                <w:color w:val="auto"/>
                <w:sz w:val="21"/>
                <w:szCs w:val="21"/>
                <w:lang w:val="en-US" w:eastAsia="zh-CN"/>
              </w:rPr>
              <w:t>电机定子数量为1800个/a</w:t>
            </w:r>
            <w:r>
              <w:rPr>
                <w:rFonts w:hint="eastAsia" w:ascii="Times New Roman" w:hAnsi="Times New Roman" w:eastAsia="宋体" w:cs="Times New Roman"/>
                <w:color w:val="auto"/>
                <w:sz w:val="21"/>
                <w:szCs w:val="21"/>
                <w:lang w:val="en-US" w:eastAsia="zh-CN"/>
              </w:rPr>
              <w:t>，总浸漆面积约为900m</w:t>
            </w:r>
            <w:r>
              <w:rPr>
                <w:rFonts w:hint="eastAsia" w:ascii="Times New Roman" w:hAnsi="Times New Roman" w:eastAsia="宋体" w:cs="Times New Roman"/>
                <w:color w:val="auto"/>
                <w:sz w:val="21"/>
                <w:szCs w:val="21"/>
                <w:vertAlign w:val="superscript"/>
                <w:lang w:val="en-US" w:eastAsia="zh-CN"/>
              </w:rPr>
              <w:t>2</w:t>
            </w:r>
            <w:r>
              <w:rPr>
                <w:rFonts w:hint="eastAsia" w:cs="Times New Roman"/>
                <w:color w:val="auto"/>
                <w:sz w:val="21"/>
                <w:szCs w:val="21"/>
                <w:vertAlign w:val="baseline"/>
                <w:lang w:val="en-US" w:eastAsia="zh-CN"/>
              </w:rPr>
              <w:t>。</w:t>
            </w:r>
          </w:p>
          <w:p w14:paraId="1FC0CEAB">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拟建项目</w:t>
            </w:r>
            <w:r>
              <w:rPr>
                <w:rFonts w:hint="eastAsia" w:cs="Times New Roman"/>
                <w:szCs w:val="21"/>
                <w:lang w:eastAsia="zh-CN"/>
              </w:rPr>
              <w:t>无溶剂浸渍树脂</w:t>
            </w:r>
            <w:r>
              <w:rPr>
                <w:rFonts w:hint="default" w:ascii="Times New Roman" w:hAnsi="Times New Roman" w:cs="Times New Roman"/>
                <w:szCs w:val="21"/>
              </w:rPr>
              <w:t>的用量计算公式为：</w:t>
            </w:r>
          </w:p>
          <w:p w14:paraId="5A748E7A">
            <w:pPr>
              <w:spacing w:line="360" w:lineRule="auto"/>
              <w:ind w:firstLine="482"/>
              <w:rPr>
                <w:rFonts w:hint="default" w:ascii="Times New Roman" w:hAnsi="Times New Roman" w:cs="Times New Roman"/>
                <w:b/>
                <w:bCs/>
                <w:i/>
                <w:highlight w:val="yellow"/>
              </w:rPr>
            </w:pPr>
            <w:r>
              <w:rPr>
                <w:rFonts w:hint="default" w:ascii="Times New Roman" w:hAnsi="Times New Roman" w:cs="Times New Roman"/>
              </w:rPr>
              <w:drawing>
                <wp:inline distT="0" distB="0" distL="114300" distR="114300">
                  <wp:extent cx="1609725" cy="228600"/>
                  <wp:effectExtent l="0" t="0" r="9525" b="0"/>
                  <wp:docPr id="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6"/>
                          <pic:cNvPicPr>
                            <a:picLocks noChangeAspect="1"/>
                          </pic:cNvPicPr>
                        </pic:nvPicPr>
                        <pic:blipFill>
                          <a:blip r:embed="rId37"/>
                          <a:stretch>
                            <a:fillRect/>
                          </a:stretch>
                        </pic:blipFill>
                        <pic:spPr>
                          <a:xfrm>
                            <a:off x="0" y="0"/>
                            <a:ext cx="1609725" cy="228600"/>
                          </a:xfrm>
                          <a:prstGeom prst="rect">
                            <a:avLst/>
                          </a:prstGeom>
                          <a:noFill/>
                          <a:ln>
                            <a:noFill/>
                          </a:ln>
                        </pic:spPr>
                      </pic:pic>
                    </a:graphicData>
                  </a:graphic>
                </wp:inline>
              </w:drawing>
            </w:r>
          </w:p>
          <w:p w14:paraId="0DEE572E">
            <w:pPr>
              <w:spacing w:line="360" w:lineRule="auto"/>
              <w:ind w:firstLine="420" w:firstLineChars="200"/>
              <w:rPr>
                <w:rFonts w:hint="default" w:ascii="Times New Roman" w:hAnsi="Times New Roman" w:cs="Times New Roman"/>
                <w:szCs w:val="21"/>
                <w:highlight w:val="none"/>
              </w:rPr>
            </w:pPr>
            <w:r>
              <w:rPr>
                <w:rFonts w:hint="default" w:ascii="Times New Roman" w:hAnsi="Times New Roman" w:cs="Times New Roman"/>
                <w:szCs w:val="21"/>
                <w:highlight w:val="none"/>
              </w:rPr>
              <w:t>其中：m——某种漆用量（t/a）；</w:t>
            </w:r>
          </w:p>
          <w:p w14:paraId="2576B195">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ρ——该漆密度，单位：g/cm</w:t>
            </w:r>
            <w:r>
              <w:rPr>
                <w:rFonts w:hint="default" w:ascii="Times New Roman" w:hAnsi="Times New Roman" w:cs="Times New Roman"/>
                <w:szCs w:val="21"/>
                <w:vertAlign w:val="superscript"/>
              </w:rPr>
              <w:t>3</w:t>
            </w:r>
            <w:r>
              <w:rPr>
                <w:rFonts w:hint="default" w:ascii="Times New Roman" w:hAnsi="Times New Roman" w:cs="Times New Roman"/>
                <w:szCs w:val="21"/>
              </w:rPr>
              <w:t>；</w:t>
            </w:r>
          </w:p>
          <w:p w14:paraId="57202D43">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δ——涂层厚度（μm）；</w:t>
            </w:r>
          </w:p>
          <w:p w14:paraId="3574FC1D">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s——涂装面积（m</w:t>
            </w:r>
            <w:r>
              <w:rPr>
                <w:rFonts w:hint="default" w:ascii="Times New Roman" w:hAnsi="Times New Roman" w:cs="Times New Roman"/>
                <w:szCs w:val="21"/>
                <w:vertAlign w:val="superscript"/>
              </w:rPr>
              <w:t>2</w:t>
            </w:r>
            <w:r>
              <w:rPr>
                <w:rFonts w:hint="default" w:ascii="Times New Roman" w:hAnsi="Times New Roman" w:cs="Times New Roman"/>
                <w:szCs w:val="21"/>
              </w:rPr>
              <w:t>）；</w:t>
            </w:r>
          </w:p>
          <w:p w14:paraId="25A8A2DB">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NV——该漆中的固体份（%）；</w:t>
            </w:r>
          </w:p>
          <w:p w14:paraId="2E40472A">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ε——上漆率。</w:t>
            </w:r>
          </w:p>
          <w:p w14:paraId="6E63F668">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根据表2-</w:t>
            </w:r>
            <w:r>
              <w:rPr>
                <w:rFonts w:hint="eastAsia" w:cs="Times New Roman"/>
                <w:szCs w:val="21"/>
                <w:lang w:val="en-US" w:eastAsia="zh-CN"/>
              </w:rPr>
              <w:t>16</w:t>
            </w:r>
            <w:r>
              <w:rPr>
                <w:rFonts w:hint="default" w:ascii="Times New Roman" w:hAnsi="Times New Roman" w:cs="Times New Roman"/>
                <w:szCs w:val="21"/>
              </w:rPr>
              <w:t>，本项目按照涂料中固体分最小占比进行折算涂料最大使用量，漆料使用计算参数见下表。</w:t>
            </w:r>
          </w:p>
          <w:p w14:paraId="7BCC16BA">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表2-1</w:t>
            </w:r>
            <w:r>
              <w:rPr>
                <w:rFonts w:hint="eastAsia" w:ascii="宋体" w:hAnsi="宋体" w:cs="宋体"/>
                <w:b/>
                <w:bCs/>
                <w:lang w:val="en-US" w:eastAsia="zh-CN"/>
              </w:rPr>
              <w:t>6</w:t>
            </w:r>
            <w:r>
              <w:rPr>
                <w:rFonts w:hint="eastAsia" w:ascii="宋体" w:hAnsi="宋体" w:eastAsia="宋体" w:cs="宋体"/>
                <w:b/>
                <w:bCs/>
                <w:lang w:val="de-DE"/>
              </w:rPr>
              <w:t xml:space="preserve"> </w:t>
            </w:r>
            <w:r>
              <w:rPr>
                <w:rFonts w:hint="eastAsia" w:ascii="宋体" w:hAnsi="宋体" w:eastAsia="宋体" w:cs="宋体"/>
                <w:b/>
                <w:bCs/>
                <w:color w:val="auto"/>
                <w:sz w:val="21"/>
                <w:szCs w:val="21"/>
                <w:lang w:eastAsia="zh-CN"/>
              </w:rPr>
              <w:t>无溶剂浸渍树脂</w:t>
            </w:r>
            <w:r>
              <w:rPr>
                <w:rFonts w:hint="eastAsia" w:ascii="宋体" w:hAnsi="宋体" w:eastAsia="宋体" w:cs="宋体"/>
                <w:b/>
                <w:bCs/>
                <w:lang w:val="de-DE"/>
              </w:rPr>
              <w:t>用量计算参数一览表</w:t>
            </w:r>
          </w:p>
          <w:tbl>
            <w:tblPr>
              <w:tblStyle w:val="81"/>
              <w:tblW w:w="4994"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801"/>
              <w:gridCol w:w="763"/>
              <w:gridCol w:w="1071"/>
              <w:gridCol w:w="1067"/>
              <w:gridCol w:w="1071"/>
              <w:gridCol w:w="806"/>
              <w:gridCol w:w="1094"/>
              <w:gridCol w:w="870"/>
              <w:gridCol w:w="866"/>
            </w:tblGrid>
            <w:tr w14:paraId="3E1D5FFB">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476" w:type="pct"/>
                  <w:tcBorders>
                    <w:top w:val="single" w:color="auto" w:sz="2" w:space="0"/>
                    <w:left w:val="single" w:color="auto" w:sz="2" w:space="0"/>
                    <w:bottom w:val="single" w:color="auto" w:sz="4" w:space="0"/>
                    <w:right w:val="single" w:color="auto" w:sz="4" w:space="0"/>
                  </w:tcBorders>
                  <w:vAlign w:val="center"/>
                </w:tcPr>
                <w:p w14:paraId="4CD3DB91">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产品</w:t>
                  </w:r>
                </w:p>
              </w:tc>
              <w:tc>
                <w:tcPr>
                  <w:tcW w:w="453" w:type="pct"/>
                  <w:tcBorders>
                    <w:top w:val="single" w:color="auto" w:sz="2" w:space="0"/>
                    <w:left w:val="single" w:color="auto" w:sz="4" w:space="0"/>
                    <w:bottom w:val="single" w:color="auto" w:sz="4" w:space="0"/>
                    <w:right w:val="single" w:color="auto" w:sz="4" w:space="0"/>
                  </w:tcBorders>
                  <w:vAlign w:val="center"/>
                </w:tcPr>
                <w:p w14:paraId="14239ECF">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涂装</w:t>
                  </w:r>
                </w:p>
                <w:p w14:paraId="6BEC18AD">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工序</w:t>
                  </w:r>
                </w:p>
              </w:tc>
              <w:tc>
                <w:tcPr>
                  <w:tcW w:w="636" w:type="pct"/>
                  <w:tcBorders>
                    <w:top w:val="single" w:color="auto" w:sz="2" w:space="0"/>
                    <w:left w:val="single" w:color="auto" w:sz="4" w:space="0"/>
                    <w:bottom w:val="single" w:color="auto" w:sz="4" w:space="0"/>
                    <w:right w:val="single" w:color="auto" w:sz="4" w:space="0"/>
                  </w:tcBorders>
                  <w:vAlign w:val="center"/>
                </w:tcPr>
                <w:p w14:paraId="25E39580">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涂料密度ρ（g/cm</w:t>
                  </w:r>
                  <w:r>
                    <w:rPr>
                      <w:rFonts w:hint="default" w:ascii="Times New Roman" w:hAnsi="Times New Roman" w:cs="Times New Roman"/>
                      <w:sz w:val="18"/>
                      <w:szCs w:val="18"/>
                      <w:vertAlign w:val="superscript"/>
                    </w:rPr>
                    <w:t>3</w:t>
                  </w:r>
                  <w:r>
                    <w:rPr>
                      <w:rFonts w:hint="default" w:ascii="Times New Roman" w:hAnsi="Times New Roman" w:cs="Times New Roman"/>
                      <w:sz w:val="18"/>
                      <w:szCs w:val="18"/>
                    </w:rPr>
                    <w:t>）</w:t>
                  </w:r>
                </w:p>
              </w:tc>
              <w:tc>
                <w:tcPr>
                  <w:tcW w:w="634" w:type="pct"/>
                  <w:tcBorders>
                    <w:top w:val="single" w:color="auto" w:sz="2" w:space="0"/>
                    <w:left w:val="single" w:color="auto" w:sz="4" w:space="0"/>
                    <w:bottom w:val="single" w:color="auto" w:sz="4" w:space="0"/>
                    <w:right w:val="single" w:color="auto" w:sz="4" w:space="0"/>
                  </w:tcBorders>
                  <w:vAlign w:val="center"/>
                </w:tcPr>
                <w:p w14:paraId="273B18CD">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干涂膜厚度δ（μm）</w:t>
                  </w:r>
                </w:p>
              </w:tc>
              <w:tc>
                <w:tcPr>
                  <w:tcW w:w="636" w:type="pct"/>
                  <w:tcBorders>
                    <w:top w:val="single" w:color="auto" w:sz="2" w:space="0"/>
                    <w:left w:val="single" w:color="auto" w:sz="4" w:space="0"/>
                    <w:bottom w:val="single" w:color="auto" w:sz="4" w:space="0"/>
                    <w:right w:val="single" w:color="auto" w:sz="4" w:space="0"/>
                  </w:tcBorders>
                  <w:vAlign w:val="center"/>
                </w:tcPr>
                <w:p w14:paraId="264DBE9A">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涂装总面积s（m</w:t>
                  </w:r>
                  <w:r>
                    <w:rPr>
                      <w:rFonts w:hint="default" w:ascii="Times New Roman" w:hAnsi="Times New Roman" w:cs="Times New Roman"/>
                      <w:sz w:val="18"/>
                      <w:szCs w:val="18"/>
                      <w:vertAlign w:val="superscript"/>
                    </w:rPr>
                    <w:t>2</w:t>
                  </w:r>
                  <w:r>
                    <w:rPr>
                      <w:rFonts w:hint="default" w:ascii="Times New Roman" w:hAnsi="Times New Roman" w:cs="Times New Roman"/>
                      <w:sz w:val="18"/>
                      <w:szCs w:val="18"/>
                    </w:rPr>
                    <w:t>）</w:t>
                  </w:r>
                </w:p>
              </w:tc>
              <w:tc>
                <w:tcPr>
                  <w:tcW w:w="479" w:type="pct"/>
                  <w:tcBorders>
                    <w:top w:val="single" w:color="auto" w:sz="2" w:space="0"/>
                    <w:left w:val="single" w:color="auto" w:sz="4" w:space="0"/>
                    <w:bottom w:val="single" w:color="auto" w:sz="4" w:space="0"/>
                    <w:right w:val="single" w:color="auto" w:sz="4" w:space="0"/>
                  </w:tcBorders>
                  <w:vAlign w:val="center"/>
                </w:tcPr>
                <w:p w14:paraId="52FE77F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喷涂次数</w:t>
                  </w:r>
                </w:p>
              </w:tc>
              <w:tc>
                <w:tcPr>
                  <w:tcW w:w="650" w:type="pct"/>
                  <w:tcBorders>
                    <w:top w:val="single" w:color="auto" w:sz="2" w:space="0"/>
                    <w:left w:val="single" w:color="auto" w:sz="4" w:space="0"/>
                    <w:bottom w:val="single" w:color="auto" w:sz="4" w:space="0"/>
                    <w:right w:val="single" w:color="auto" w:sz="4" w:space="0"/>
                  </w:tcBorders>
                  <w:vAlign w:val="center"/>
                </w:tcPr>
                <w:p w14:paraId="099E024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漆中的固体份NV</w:t>
                  </w:r>
                </w:p>
              </w:tc>
              <w:tc>
                <w:tcPr>
                  <w:tcW w:w="517" w:type="pct"/>
                  <w:tcBorders>
                    <w:top w:val="single" w:color="auto" w:sz="2" w:space="0"/>
                    <w:left w:val="single" w:color="auto" w:sz="4" w:space="0"/>
                    <w:bottom w:val="single" w:color="auto" w:sz="4" w:space="0"/>
                    <w:right w:val="single" w:color="auto" w:sz="4" w:space="0"/>
                  </w:tcBorders>
                  <w:vAlign w:val="center"/>
                </w:tcPr>
                <w:p w14:paraId="73AE317C">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上漆率ε</w:t>
                  </w:r>
                </w:p>
              </w:tc>
              <w:tc>
                <w:tcPr>
                  <w:tcW w:w="514" w:type="pct"/>
                  <w:tcBorders>
                    <w:top w:val="single" w:color="auto" w:sz="2" w:space="0"/>
                    <w:left w:val="single" w:color="auto" w:sz="4" w:space="0"/>
                    <w:bottom w:val="single" w:color="auto" w:sz="4" w:space="0"/>
                    <w:right w:val="single" w:color="auto" w:sz="2" w:space="0"/>
                  </w:tcBorders>
                  <w:vAlign w:val="center"/>
                </w:tcPr>
                <w:p w14:paraId="5A2FBE81">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涂料年用量（t/a）</w:t>
                  </w:r>
                </w:p>
              </w:tc>
            </w:tr>
            <w:tr w14:paraId="0976245A">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321" w:hRule="atLeast"/>
                <w:jc w:val="center"/>
              </w:trPr>
              <w:tc>
                <w:tcPr>
                  <w:tcW w:w="476" w:type="pct"/>
                  <w:tcBorders>
                    <w:top w:val="single" w:color="auto" w:sz="4" w:space="0"/>
                    <w:left w:val="single" w:color="auto" w:sz="2" w:space="0"/>
                    <w:right w:val="single" w:color="auto" w:sz="4" w:space="0"/>
                  </w:tcBorders>
                  <w:vAlign w:val="center"/>
                </w:tcPr>
                <w:p w14:paraId="0D7CFFCE">
                  <w:pPr>
                    <w:pStyle w:val="200"/>
                    <w:spacing w:beforeLines="0" w:afterLines="0" w:line="240" w:lineRule="exact"/>
                    <w:rPr>
                      <w:rFonts w:hint="eastAsia" w:ascii="Times New Roman" w:hAnsi="Times New Roman" w:eastAsia="宋体" w:cs="Times New Roman"/>
                      <w:sz w:val="18"/>
                      <w:szCs w:val="18"/>
                      <w:lang w:eastAsia="zh-CN"/>
                    </w:rPr>
                  </w:pPr>
                  <w:r>
                    <w:rPr>
                      <w:rFonts w:hint="eastAsia" w:ascii="Times New Roman" w:cs="Times New Roman"/>
                      <w:sz w:val="18"/>
                      <w:szCs w:val="18"/>
                      <w:lang w:eastAsia="zh-CN"/>
                    </w:rPr>
                    <w:t>电机定子</w:t>
                  </w:r>
                </w:p>
              </w:tc>
              <w:tc>
                <w:tcPr>
                  <w:tcW w:w="453" w:type="pct"/>
                  <w:tcBorders>
                    <w:top w:val="single" w:color="auto" w:sz="4" w:space="0"/>
                    <w:left w:val="single" w:color="auto" w:sz="4" w:space="0"/>
                    <w:bottom w:val="single" w:color="auto" w:sz="4" w:space="0"/>
                    <w:right w:val="single" w:color="auto" w:sz="4" w:space="0"/>
                  </w:tcBorders>
                  <w:vAlign w:val="center"/>
                </w:tcPr>
                <w:p w14:paraId="794A6DD1">
                  <w:pPr>
                    <w:pStyle w:val="200"/>
                    <w:spacing w:beforeLines="0" w:afterLines="0" w:line="240" w:lineRule="exact"/>
                    <w:rPr>
                      <w:rFonts w:hint="eastAsia" w:ascii="Times New Roman" w:hAnsi="Times New Roman" w:eastAsia="宋体" w:cs="Times New Roman"/>
                      <w:sz w:val="18"/>
                      <w:szCs w:val="18"/>
                      <w:lang w:eastAsia="zh-CN"/>
                    </w:rPr>
                  </w:pPr>
                  <w:r>
                    <w:rPr>
                      <w:rFonts w:hint="eastAsia" w:ascii="Times New Roman" w:cs="Times New Roman"/>
                      <w:sz w:val="18"/>
                      <w:szCs w:val="18"/>
                      <w:lang w:eastAsia="zh-CN"/>
                    </w:rPr>
                    <w:t>浸漆</w:t>
                  </w:r>
                </w:p>
              </w:tc>
              <w:tc>
                <w:tcPr>
                  <w:tcW w:w="636" w:type="pct"/>
                  <w:tcBorders>
                    <w:top w:val="single" w:color="auto" w:sz="4" w:space="0"/>
                    <w:left w:val="single" w:color="auto" w:sz="4" w:space="0"/>
                    <w:bottom w:val="single" w:color="auto" w:sz="4" w:space="0"/>
                    <w:right w:val="single" w:color="auto" w:sz="4" w:space="0"/>
                  </w:tcBorders>
                  <w:vAlign w:val="center"/>
                </w:tcPr>
                <w:p w14:paraId="054B80F1">
                  <w:pPr>
                    <w:jc w:val="center"/>
                    <w:rPr>
                      <w:rFonts w:hint="default" w:ascii="Times New Roman" w:hAnsi="Times New Roman" w:eastAsia="宋体" w:cs="Times New Roman"/>
                      <w:color w:val="000000"/>
                      <w:sz w:val="18"/>
                      <w:szCs w:val="18"/>
                      <w:lang w:val="en-US" w:eastAsia="zh-CN"/>
                    </w:rPr>
                  </w:pPr>
                  <w:r>
                    <w:rPr>
                      <w:rFonts w:hint="default" w:ascii="Times New Roman" w:hAnsi="Times New Roman" w:cs="Times New Roman"/>
                      <w:color w:val="000000"/>
                      <w:sz w:val="18"/>
                      <w:szCs w:val="18"/>
                      <w:highlight w:val="none"/>
                    </w:rPr>
                    <w:t>1.</w:t>
                  </w:r>
                  <w:r>
                    <w:rPr>
                      <w:rFonts w:hint="eastAsia" w:cs="Times New Roman"/>
                      <w:color w:val="000000"/>
                      <w:sz w:val="18"/>
                      <w:szCs w:val="18"/>
                      <w:highlight w:val="none"/>
                      <w:lang w:val="en-US" w:eastAsia="zh-CN"/>
                    </w:rPr>
                    <w:t>0</w:t>
                  </w:r>
                  <w:r>
                    <w:rPr>
                      <w:rFonts w:hint="eastAsia" w:ascii="Times New Roman" w:hAnsi="Times New Roman" w:cs="Times New Roman"/>
                      <w:color w:val="000000"/>
                      <w:sz w:val="18"/>
                      <w:szCs w:val="18"/>
                      <w:highlight w:val="none"/>
                      <w:lang w:val="en-US" w:eastAsia="zh-CN"/>
                    </w:rPr>
                    <w:t>5</w:t>
                  </w:r>
                </w:p>
              </w:tc>
              <w:tc>
                <w:tcPr>
                  <w:tcW w:w="634" w:type="pct"/>
                  <w:tcBorders>
                    <w:top w:val="single" w:color="auto" w:sz="4" w:space="0"/>
                    <w:left w:val="single" w:color="auto" w:sz="4" w:space="0"/>
                    <w:bottom w:val="single" w:color="auto" w:sz="4" w:space="0"/>
                    <w:right w:val="single" w:color="auto" w:sz="4" w:space="0"/>
                  </w:tcBorders>
                  <w:vAlign w:val="center"/>
                </w:tcPr>
                <w:p w14:paraId="2E3432B1">
                  <w:pPr>
                    <w:pStyle w:val="200"/>
                    <w:spacing w:beforeLines="0" w:afterLines="0" w:line="240" w:lineRule="exact"/>
                    <w:rPr>
                      <w:rFonts w:hint="default" w:ascii="Times New Roman" w:hAnsi="Times New Roman" w:cs="Times New Roman"/>
                      <w:sz w:val="18"/>
                      <w:szCs w:val="18"/>
                      <w:lang w:val="en-US"/>
                    </w:rPr>
                  </w:pPr>
                  <w:r>
                    <w:rPr>
                      <w:rFonts w:hint="eastAsia" w:ascii="Times New Roman" w:cs="Times New Roman"/>
                      <w:sz w:val="18"/>
                      <w:szCs w:val="18"/>
                      <w:lang w:val="en-US" w:eastAsia="zh-CN"/>
                    </w:rPr>
                    <w:t>90</w:t>
                  </w:r>
                </w:p>
              </w:tc>
              <w:tc>
                <w:tcPr>
                  <w:tcW w:w="636" w:type="pct"/>
                  <w:tcBorders>
                    <w:top w:val="single" w:color="auto" w:sz="4" w:space="0"/>
                    <w:left w:val="single" w:color="auto" w:sz="4" w:space="0"/>
                    <w:bottom w:val="single" w:color="auto" w:sz="4" w:space="0"/>
                    <w:right w:val="single" w:color="auto" w:sz="4" w:space="0"/>
                  </w:tcBorders>
                  <w:vAlign w:val="center"/>
                </w:tcPr>
                <w:p w14:paraId="246763A4">
                  <w:pPr>
                    <w:pStyle w:val="200"/>
                    <w:spacing w:beforeLines="0" w:afterLines="0" w:line="240" w:lineRule="exact"/>
                    <w:rPr>
                      <w:rFonts w:hint="default" w:ascii="Times New Roman" w:hAnsi="Times New Roman" w:eastAsia="宋体" w:cs="Times New Roman"/>
                      <w:sz w:val="18"/>
                      <w:szCs w:val="18"/>
                      <w:lang w:val="en-US" w:eastAsia="zh-CN"/>
                    </w:rPr>
                  </w:pPr>
                  <w:r>
                    <w:rPr>
                      <w:rFonts w:hint="eastAsia" w:ascii="Times New Roman" w:cs="Times New Roman"/>
                      <w:sz w:val="18"/>
                      <w:szCs w:val="18"/>
                      <w:lang w:val="en-US" w:eastAsia="zh-CN"/>
                    </w:rPr>
                    <w:t>900</w:t>
                  </w:r>
                </w:p>
              </w:tc>
              <w:tc>
                <w:tcPr>
                  <w:tcW w:w="479" w:type="pct"/>
                  <w:tcBorders>
                    <w:top w:val="single" w:color="auto" w:sz="4" w:space="0"/>
                    <w:left w:val="single" w:color="auto" w:sz="4" w:space="0"/>
                    <w:bottom w:val="single" w:color="auto" w:sz="4" w:space="0"/>
                    <w:right w:val="single" w:color="auto" w:sz="4" w:space="0"/>
                  </w:tcBorders>
                  <w:vAlign w:val="center"/>
                </w:tcPr>
                <w:p w14:paraId="76F7A5E5">
                  <w:pPr>
                    <w:pStyle w:val="200"/>
                    <w:spacing w:beforeLines="0" w:afterLines="0" w:line="240" w:lineRule="exact"/>
                    <w:rPr>
                      <w:rFonts w:hint="eastAsia" w:ascii="Times New Roman" w:hAnsi="Times New Roman" w:eastAsia="宋体" w:cs="Times New Roman"/>
                      <w:sz w:val="18"/>
                      <w:szCs w:val="18"/>
                      <w:lang w:eastAsia="zh-CN"/>
                    </w:rPr>
                  </w:pPr>
                  <w:r>
                    <w:rPr>
                      <w:rFonts w:hint="eastAsia" w:ascii="Times New Roman" w:cs="Times New Roman"/>
                      <w:sz w:val="18"/>
                      <w:szCs w:val="18"/>
                      <w:lang w:val="en-US" w:eastAsia="zh-CN"/>
                    </w:rPr>
                    <w:t>1</w:t>
                  </w:r>
                </w:p>
              </w:tc>
              <w:tc>
                <w:tcPr>
                  <w:tcW w:w="650" w:type="pct"/>
                  <w:tcBorders>
                    <w:top w:val="single" w:color="auto" w:sz="4" w:space="0"/>
                    <w:left w:val="single" w:color="auto" w:sz="4" w:space="0"/>
                    <w:bottom w:val="single" w:color="auto" w:sz="4" w:space="0"/>
                    <w:right w:val="single" w:color="auto" w:sz="4" w:space="0"/>
                  </w:tcBorders>
                  <w:vAlign w:val="center"/>
                </w:tcPr>
                <w:p w14:paraId="67EB94FB">
                  <w:pPr>
                    <w:pStyle w:val="200"/>
                    <w:spacing w:beforeLines="0" w:afterLines="0" w:line="240" w:lineRule="exact"/>
                    <w:rPr>
                      <w:rFonts w:hint="default" w:ascii="Times New Roman" w:hAnsi="Times New Roman" w:cs="Times New Roman"/>
                      <w:sz w:val="18"/>
                      <w:szCs w:val="18"/>
                    </w:rPr>
                  </w:pPr>
                  <w:r>
                    <w:rPr>
                      <w:rFonts w:hint="eastAsia" w:ascii="Times New Roman" w:cs="Times New Roman"/>
                      <w:sz w:val="18"/>
                      <w:szCs w:val="18"/>
                      <w:lang w:val="en-US" w:eastAsia="zh-CN"/>
                    </w:rPr>
                    <w:t>86.8</w:t>
                  </w:r>
                  <w:r>
                    <w:rPr>
                      <w:rFonts w:hint="default" w:ascii="Times New Roman" w:hAnsi="Times New Roman" w:cs="Times New Roman"/>
                      <w:sz w:val="18"/>
                      <w:szCs w:val="18"/>
                    </w:rPr>
                    <w:t>%</w:t>
                  </w:r>
                </w:p>
              </w:tc>
              <w:tc>
                <w:tcPr>
                  <w:tcW w:w="517" w:type="pct"/>
                  <w:tcBorders>
                    <w:top w:val="single" w:color="auto" w:sz="4" w:space="0"/>
                    <w:left w:val="single" w:color="auto" w:sz="4" w:space="0"/>
                    <w:bottom w:val="single" w:color="auto" w:sz="4" w:space="0"/>
                    <w:right w:val="single" w:color="auto" w:sz="4" w:space="0"/>
                  </w:tcBorders>
                  <w:vAlign w:val="center"/>
                </w:tcPr>
                <w:p w14:paraId="22663972">
                  <w:pPr>
                    <w:pStyle w:val="200"/>
                    <w:spacing w:beforeLines="0" w:afterLines="0" w:line="240" w:lineRule="exact"/>
                    <w:rPr>
                      <w:rFonts w:hint="default" w:ascii="Times New Roman" w:hAnsi="Times New Roman" w:cs="Times New Roman"/>
                      <w:sz w:val="18"/>
                      <w:szCs w:val="18"/>
                    </w:rPr>
                  </w:pPr>
                  <w:r>
                    <w:rPr>
                      <w:rFonts w:hint="eastAsia" w:ascii="Times New Roman" w:cs="Times New Roman"/>
                      <w:sz w:val="18"/>
                      <w:szCs w:val="18"/>
                      <w:lang w:val="en-US" w:eastAsia="zh-CN"/>
                    </w:rPr>
                    <w:t>100</w:t>
                  </w:r>
                  <w:r>
                    <w:rPr>
                      <w:rFonts w:hint="default" w:ascii="Times New Roman" w:hAnsi="Times New Roman" w:cs="Times New Roman"/>
                      <w:sz w:val="18"/>
                      <w:szCs w:val="18"/>
                    </w:rPr>
                    <w:t>%</w:t>
                  </w:r>
                </w:p>
              </w:tc>
              <w:tc>
                <w:tcPr>
                  <w:tcW w:w="514" w:type="pct"/>
                  <w:tcBorders>
                    <w:top w:val="single" w:color="auto" w:sz="4" w:space="0"/>
                    <w:left w:val="single" w:color="auto" w:sz="4" w:space="0"/>
                    <w:bottom w:val="single" w:color="auto" w:sz="4" w:space="0"/>
                    <w:right w:val="single" w:color="auto" w:sz="2" w:space="0"/>
                  </w:tcBorders>
                  <w:vAlign w:val="center"/>
                </w:tcPr>
                <w:p w14:paraId="2DFFFF32">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color w:val="000000"/>
                      <w:kern w:val="0"/>
                      <w:sz w:val="18"/>
                      <w:szCs w:val="18"/>
                      <w:lang w:val="en-US" w:eastAsia="zh-CN" w:bidi="ar-SA"/>
                    </w:rPr>
                    <w:t>0.1</w:t>
                  </w:r>
                </w:p>
              </w:tc>
            </w:tr>
          </w:tbl>
          <w:p w14:paraId="35BF8463">
            <w:pPr>
              <w:numPr>
                <w:ilvl w:val="0"/>
                <w:numId w:val="0"/>
              </w:numPr>
              <w:autoSpaceDE w:val="0"/>
              <w:autoSpaceDN w:val="0"/>
              <w:adjustRightInd w:val="0"/>
              <w:snapToGrid w:val="0"/>
              <w:spacing w:line="360" w:lineRule="auto"/>
              <w:jc w:val="left"/>
              <w:rPr>
                <w:rFonts w:hint="eastAsia"/>
                <w:b/>
                <w:bCs/>
                <w:lang w:val="en-US" w:eastAsia="zh-CN"/>
              </w:rPr>
            </w:pPr>
            <w:r>
              <w:rPr>
                <w:rFonts w:hint="eastAsia" w:ascii="Times New Roman" w:hAnsi="Times New Roman" w:eastAsia="宋体" w:cs="Times New Roman"/>
                <w:b/>
                <w:bCs/>
                <w:kern w:val="2"/>
                <w:sz w:val="21"/>
                <w:szCs w:val="21"/>
                <w:lang w:val="en-US" w:eastAsia="zh-CN" w:bidi="ar-SA"/>
              </w:rPr>
              <w:t>2）</w:t>
            </w:r>
            <w:r>
              <w:rPr>
                <w:rFonts w:hint="eastAsia"/>
                <w:b/>
                <w:bCs/>
                <w:lang w:val="en-US" w:eastAsia="zh-CN"/>
              </w:rPr>
              <w:t>物料平衡</w:t>
            </w:r>
          </w:p>
          <w:p w14:paraId="6A2F05A8">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本项目</w:t>
            </w:r>
            <w:r>
              <w:rPr>
                <w:rFonts w:hint="eastAsia" w:cs="Times New Roman"/>
                <w:szCs w:val="21"/>
                <w:lang w:eastAsia="zh-CN"/>
              </w:rPr>
              <w:t>为真空浸漆工艺，上漆率按</w:t>
            </w:r>
            <w:r>
              <w:rPr>
                <w:rFonts w:hint="eastAsia" w:cs="Times New Roman"/>
                <w:szCs w:val="21"/>
                <w:lang w:val="en-US" w:eastAsia="zh-CN"/>
              </w:rPr>
              <w:t>100%计，</w:t>
            </w:r>
            <w:r>
              <w:rPr>
                <w:rFonts w:hint="eastAsia" w:cs="Times New Roman"/>
                <w:szCs w:val="21"/>
                <w:lang w:eastAsia="zh-CN"/>
              </w:rPr>
              <w:t>浸漆、烘干</w:t>
            </w:r>
            <w:r>
              <w:rPr>
                <w:rFonts w:hint="default" w:ascii="Times New Roman" w:hAnsi="Times New Roman" w:cs="Times New Roman"/>
                <w:szCs w:val="21"/>
              </w:rPr>
              <w:t>过程中固形物</w:t>
            </w:r>
            <w:r>
              <w:rPr>
                <w:rFonts w:hint="eastAsia" w:cs="Times New Roman"/>
                <w:szCs w:val="21"/>
                <w:lang w:eastAsia="zh-CN"/>
              </w:rPr>
              <w:t>全部</w:t>
            </w:r>
            <w:r>
              <w:rPr>
                <w:rFonts w:hint="default" w:ascii="Times New Roman" w:hAnsi="Times New Roman" w:cs="Times New Roman"/>
                <w:szCs w:val="21"/>
              </w:rPr>
              <w:t>附着在工件上；</w:t>
            </w:r>
            <w:r>
              <w:rPr>
                <w:rFonts w:hint="eastAsia" w:cs="Times New Roman"/>
                <w:szCs w:val="21"/>
                <w:lang w:eastAsia="zh-CN"/>
              </w:rPr>
              <w:t>绝缘</w:t>
            </w:r>
            <w:r>
              <w:rPr>
                <w:rFonts w:hint="default" w:ascii="Times New Roman" w:hAnsi="Times New Roman" w:cs="Times New Roman"/>
                <w:szCs w:val="21"/>
              </w:rPr>
              <w:t>漆中的</w:t>
            </w:r>
            <w:r>
              <w:rPr>
                <w:rFonts w:hint="eastAsia" w:cs="Times New Roman"/>
                <w:szCs w:val="21"/>
                <w:lang w:eastAsia="zh-CN"/>
              </w:rPr>
              <w:t>挥发性有机物（含苯乙烯，占挥发性有机物的</w:t>
            </w:r>
            <w:r>
              <w:rPr>
                <w:rFonts w:hint="eastAsia" w:cs="Times New Roman"/>
                <w:szCs w:val="21"/>
                <w:lang w:val="en-US" w:eastAsia="zh-CN"/>
              </w:rPr>
              <w:t>40%</w:t>
            </w:r>
            <w:r>
              <w:rPr>
                <w:rFonts w:hint="eastAsia" w:cs="Times New Roman"/>
                <w:szCs w:val="21"/>
                <w:lang w:eastAsia="zh-CN"/>
              </w:rPr>
              <w:t>）</w:t>
            </w:r>
            <w:r>
              <w:rPr>
                <w:rFonts w:hint="default" w:ascii="Times New Roman" w:hAnsi="Times New Roman" w:cs="Times New Roman"/>
                <w:szCs w:val="21"/>
              </w:rPr>
              <w:t>在</w:t>
            </w:r>
            <w:r>
              <w:rPr>
                <w:rFonts w:hint="eastAsia" w:cs="Times New Roman"/>
                <w:szCs w:val="21"/>
                <w:lang w:eastAsia="zh-CN"/>
              </w:rPr>
              <w:t>浸漆</w:t>
            </w:r>
            <w:r>
              <w:rPr>
                <w:rFonts w:hint="default" w:ascii="Times New Roman" w:hAnsi="Times New Roman" w:cs="Times New Roman"/>
                <w:szCs w:val="21"/>
                <w:lang w:eastAsia="zh-CN"/>
              </w:rPr>
              <w:t>及</w:t>
            </w:r>
            <w:r>
              <w:rPr>
                <w:rFonts w:hint="eastAsia" w:cs="Times New Roman"/>
                <w:szCs w:val="21"/>
                <w:lang w:eastAsia="zh-CN"/>
              </w:rPr>
              <w:t>烘干</w:t>
            </w:r>
            <w:r>
              <w:rPr>
                <w:rFonts w:hint="default" w:ascii="Times New Roman" w:hAnsi="Times New Roman" w:cs="Times New Roman"/>
                <w:szCs w:val="21"/>
              </w:rPr>
              <w:t>过程中</w:t>
            </w:r>
            <w:r>
              <w:rPr>
                <w:rFonts w:hint="eastAsia" w:cs="Times New Roman"/>
                <w:szCs w:val="21"/>
                <w:lang w:eastAsia="zh-CN"/>
              </w:rPr>
              <w:t>全部</w:t>
            </w:r>
            <w:r>
              <w:rPr>
                <w:rFonts w:hint="default" w:ascii="Times New Roman" w:hAnsi="Times New Roman" w:cs="Times New Roman"/>
                <w:szCs w:val="21"/>
              </w:rPr>
              <w:t>挥发，</w:t>
            </w:r>
            <w:r>
              <w:rPr>
                <w:rFonts w:hint="eastAsia" w:cs="Times New Roman"/>
                <w:szCs w:val="21"/>
                <w:lang w:eastAsia="zh-CN"/>
              </w:rPr>
              <w:t>其中</w:t>
            </w:r>
            <w:r>
              <w:rPr>
                <w:rFonts w:hint="eastAsia" w:cs="Times New Roman"/>
                <w:szCs w:val="21"/>
                <w:lang w:val="en-US" w:eastAsia="zh-CN"/>
              </w:rPr>
              <w:t>98%收集后送入两级活性炭吸附装置处理，其余</w:t>
            </w:r>
            <w:r>
              <w:rPr>
                <w:rFonts w:hint="default" w:ascii="Times New Roman" w:hAnsi="Times New Roman" w:cs="Times New Roman"/>
                <w:szCs w:val="21"/>
              </w:rPr>
              <w:t>无组织排放2%</w:t>
            </w:r>
            <w:r>
              <w:rPr>
                <w:rFonts w:hint="default" w:ascii="Times New Roman" w:hAnsi="Times New Roman" w:cs="Times New Roman"/>
                <w:szCs w:val="21"/>
                <w:highlight w:val="none"/>
              </w:rPr>
              <w:t>；</w:t>
            </w:r>
            <w:r>
              <w:rPr>
                <w:rFonts w:hint="eastAsia" w:ascii="Times New Roman" w:hAnsi="Times New Roman" w:cs="Times New Roman"/>
                <w:szCs w:val="21"/>
                <w:lang w:val="en-US" w:eastAsia="zh-CN"/>
              </w:rPr>
              <w:t>两级活性炭吸附</w:t>
            </w:r>
            <w:r>
              <w:rPr>
                <w:rFonts w:hint="default" w:ascii="Times New Roman" w:hAnsi="Times New Roman" w:cs="Times New Roman"/>
                <w:szCs w:val="21"/>
              </w:rPr>
              <w:t>对VOCs</w:t>
            </w:r>
            <w:r>
              <w:rPr>
                <w:rFonts w:hint="default" w:ascii="Times New Roman" w:hAnsi="Times New Roman" w:cs="Times New Roman"/>
                <w:szCs w:val="21"/>
                <w:lang w:eastAsia="zh-CN"/>
              </w:rPr>
              <w:t>处理效</w:t>
            </w:r>
            <w:r>
              <w:rPr>
                <w:rFonts w:hint="default" w:ascii="Times New Roman" w:hAnsi="Times New Roman" w:cs="Times New Roman"/>
                <w:szCs w:val="21"/>
              </w:rPr>
              <w:t>率</w:t>
            </w:r>
            <w:r>
              <w:rPr>
                <w:rFonts w:hint="eastAsia" w:ascii="Times New Roman" w:hAnsi="Times New Roman" w:cs="Times New Roman"/>
                <w:szCs w:val="21"/>
                <w:lang w:eastAsia="zh-CN"/>
              </w:rPr>
              <w:t>按</w:t>
            </w:r>
            <w:r>
              <w:rPr>
                <w:rFonts w:hint="eastAsia" w:ascii="Times New Roman" w:hAnsi="Times New Roman" w:cs="Times New Roman"/>
                <w:szCs w:val="21"/>
                <w:lang w:val="en-US" w:eastAsia="zh-CN"/>
              </w:rPr>
              <w:t>7</w:t>
            </w:r>
            <w:r>
              <w:rPr>
                <w:rFonts w:hint="default" w:ascii="Times New Roman" w:hAnsi="Times New Roman" w:cs="Times New Roman"/>
                <w:szCs w:val="21"/>
                <w:lang w:val="en-US" w:eastAsia="zh-CN"/>
              </w:rPr>
              <w:t>0</w:t>
            </w:r>
            <w:r>
              <w:rPr>
                <w:rFonts w:hint="default" w:ascii="Times New Roman" w:hAnsi="Times New Roman" w:cs="Times New Roman"/>
                <w:szCs w:val="21"/>
              </w:rPr>
              <w:t>%</w:t>
            </w:r>
            <w:r>
              <w:rPr>
                <w:rFonts w:hint="eastAsia" w:ascii="Times New Roman" w:hAnsi="Times New Roman" w:cs="Times New Roman"/>
                <w:szCs w:val="21"/>
                <w:lang w:eastAsia="zh-CN"/>
              </w:rPr>
              <w:t>计</w:t>
            </w:r>
            <w:r>
              <w:rPr>
                <w:rFonts w:hint="default" w:ascii="Times New Roman" w:hAnsi="Times New Roman" w:cs="Times New Roman"/>
                <w:szCs w:val="21"/>
              </w:rPr>
              <w:t>。则本项目底涂和面涂物料平衡关系详见表2-1</w:t>
            </w:r>
            <w:r>
              <w:rPr>
                <w:rFonts w:hint="eastAsia" w:cs="Times New Roman"/>
                <w:szCs w:val="21"/>
                <w:lang w:val="en-US" w:eastAsia="zh-CN"/>
              </w:rPr>
              <w:t>7</w:t>
            </w:r>
            <w:r>
              <w:rPr>
                <w:rFonts w:hint="default" w:ascii="Times New Roman" w:hAnsi="Times New Roman" w:cs="Times New Roman"/>
                <w:szCs w:val="21"/>
              </w:rPr>
              <w:t>和图2-</w:t>
            </w:r>
            <w:r>
              <w:rPr>
                <w:rFonts w:hint="eastAsia" w:cs="Times New Roman"/>
                <w:szCs w:val="21"/>
                <w:lang w:val="en-US" w:eastAsia="zh-CN"/>
              </w:rPr>
              <w:t>5</w:t>
            </w:r>
            <w:r>
              <w:rPr>
                <w:rFonts w:hint="default" w:ascii="Times New Roman" w:hAnsi="Times New Roman" w:cs="Times New Roman"/>
                <w:szCs w:val="21"/>
              </w:rPr>
              <w:t>。</w:t>
            </w:r>
          </w:p>
          <w:p w14:paraId="77F613D1">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表2-1</w:t>
            </w:r>
            <w:r>
              <w:rPr>
                <w:rFonts w:hint="eastAsia" w:ascii="宋体" w:hAnsi="宋体" w:eastAsia="宋体" w:cs="宋体"/>
                <w:b/>
                <w:bCs/>
                <w:lang w:val="en-US" w:eastAsia="zh-CN"/>
              </w:rPr>
              <w:t>7</w:t>
            </w:r>
            <w:r>
              <w:rPr>
                <w:rFonts w:hint="eastAsia" w:ascii="宋体" w:hAnsi="宋体" w:eastAsia="宋体" w:cs="宋体"/>
                <w:b/>
                <w:bCs/>
                <w:lang w:val="de-DE"/>
              </w:rPr>
              <w:t xml:space="preserve"> </w:t>
            </w:r>
            <w:r>
              <w:rPr>
                <w:rFonts w:hint="eastAsia" w:ascii="宋体" w:hAnsi="宋体" w:eastAsia="宋体" w:cs="宋体"/>
                <w:b/>
                <w:bCs/>
                <w:lang w:val="de-DE" w:eastAsia="zh-CN"/>
              </w:rPr>
              <w:t>浸漆</w:t>
            </w:r>
            <w:r>
              <w:rPr>
                <w:rFonts w:hint="eastAsia" w:ascii="宋体" w:hAnsi="宋体" w:eastAsia="宋体" w:cs="宋体"/>
                <w:b/>
                <w:bCs/>
                <w:lang w:val="de-DE"/>
              </w:rPr>
              <w:t>物料平衡参数一览表</w:t>
            </w:r>
          </w:p>
          <w:tbl>
            <w:tblPr>
              <w:tblStyle w:val="81"/>
              <w:tblW w:w="4992"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108" w:type="dxa"/>
                <w:bottom w:w="0" w:type="dxa"/>
                <w:right w:w="108" w:type="dxa"/>
              </w:tblCellMar>
            </w:tblPr>
            <w:tblGrid>
              <w:gridCol w:w="1712"/>
              <w:gridCol w:w="1526"/>
              <w:gridCol w:w="3064"/>
              <w:gridCol w:w="2104"/>
            </w:tblGrid>
            <w:tr w14:paraId="61E134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3241" w:type="dxa"/>
                  <w:gridSpan w:val="2"/>
                  <w:tcBorders>
                    <w:top w:val="single" w:color="auto" w:sz="2" w:space="0"/>
                    <w:left w:val="single" w:color="auto" w:sz="2" w:space="0"/>
                    <w:bottom w:val="single" w:color="auto" w:sz="2" w:space="0"/>
                    <w:right w:val="single" w:color="auto" w:sz="2" w:space="0"/>
                  </w:tcBorders>
                  <w:vAlign w:val="center"/>
                </w:tcPr>
                <w:p w14:paraId="0435C97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输入</w:t>
                  </w:r>
                </w:p>
              </w:tc>
              <w:tc>
                <w:tcPr>
                  <w:tcW w:w="5172" w:type="dxa"/>
                  <w:gridSpan w:val="2"/>
                  <w:tcBorders>
                    <w:top w:val="single" w:color="auto" w:sz="2" w:space="0"/>
                    <w:left w:val="single" w:color="auto" w:sz="2" w:space="0"/>
                    <w:bottom w:val="single" w:color="auto" w:sz="2" w:space="0"/>
                    <w:right w:val="single" w:color="auto" w:sz="2" w:space="0"/>
                  </w:tcBorders>
                  <w:vAlign w:val="center"/>
                </w:tcPr>
                <w:p w14:paraId="5B91B4FC">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sz w:val="18"/>
                      <w:szCs w:val="18"/>
                    </w:rPr>
                    <w:t>输出</w:t>
                  </w:r>
                </w:p>
              </w:tc>
            </w:tr>
            <w:tr w14:paraId="0AA53BC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blHeader/>
                <w:jc w:val="center"/>
              </w:trPr>
              <w:tc>
                <w:tcPr>
                  <w:tcW w:w="1714" w:type="dxa"/>
                  <w:tcBorders>
                    <w:top w:val="single" w:color="auto" w:sz="2" w:space="0"/>
                    <w:left w:val="single" w:color="auto" w:sz="2" w:space="0"/>
                    <w:bottom w:val="single" w:color="auto" w:sz="2" w:space="0"/>
                    <w:right w:val="single" w:color="auto" w:sz="2" w:space="0"/>
                  </w:tcBorders>
                  <w:vAlign w:val="center"/>
                </w:tcPr>
                <w:p w14:paraId="19D7F6F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名称</w:t>
                  </w:r>
                </w:p>
              </w:tc>
              <w:tc>
                <w:tcPr>
                  <w:tcW w:w="1527" w:type="dxa"/>
                  <w:tcBorders>
                    <w:top w:val="single" w:color="auto" w:sz="2" w:space="0"/>
                    <w:left w:val="single" w:color="auto" w:sz="2" w:space="0"/>
                    <w:bottom w:val="single" w:color="auto" w:sz="2" w:space="0"/>
                    <w:right w:val="single" w:color="auto" w:sz="2" w:space="0"/>
                  </w:tcBorders>
                  <w:vAlign w:val="center"/>
                </w:tcPr>
                <w:p w14:paraId="0BB8302E">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带入量t/a</w:t>
                  </w:r>
                </w:p>
              </w:tc>
              <w:tc>
                <w:tcPr>
                  <w:tcW w:w="3067" w:type="dxa"/>
                  <w:tcBorders>
                    <w:top w:val="single" w:color="auto" w:sz="2" w:space="0"/>
                    <w:left w:val="single" w:color="auto" w:sz="2" w:space="0"/>
                    <w:bottom w:val="single" w:color="auto" w:sz="2" w:space="0"/>
                    <w:right w:val="single" w:color="auto" w:sz="2" w:space="0"/>
                  </w:tcBorders>
                  <w:vAlign w:val="center"/>
                </w:tcPr>
                <w:p w14:paraId="0D349E0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环节</w:t>
                  </w:r>
                </w:p>
              </w:tc>
              <w:tc>
                <w:tcPr>
                  <w:tcW w:w="2105" w:type="dxa"/>
                  <w:tcBorders>
                    <w:top w:val="single" w:color="auto" w:sz="2" w:space="0"/>
                    <w:left w:val="single" w:color="auto" w:sz="2" w:space="0"/>
                    <w:bottom w:val="single" w:color="auto" w:sz="2" w:space="0"/>
                    <w:right w:val="single" w:color="auto" w:sz="2" w:space="0"/>
                  </w:tcBorders>
                  <w:vAlign w:val="center"/>
                </w:tcPr>
                <w:p w14:paraId="2C7F7A8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排出量t/a</w:t>
                  </w:r>
                </w:p>
              </w:tc>
            </w:tr>
            <w:tr w14:paraId="1C2B1C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4" w:type="dxa"/>
                  <w:vMerge w:val="restart"/>
                  <w:tcBorders>
                    <w:top w:val="single" w:color="auto" w:sz="2" w:space="0"/>
                    <w:left w:val="single" w:color="auto" w:sz="2" w:space="0"/>
                    <w:bottom w:val="single" w:color="auto" w:sz="2" w:space="0"/>
                    <w:right w:val="single" w:color="auto" w:sz="2" w:space="0"/>
                  </w:tcBorders>
                  <w:vAlign w:val="center"/>
                </w:tcPr>
                <w:p w14:paraId="2C9664FF">
                  <w:pPr>
                    <w:pStyle w:val="200"/>
                    <w:spacing w:beforeLines="0" w:afterLines="0" w:line="240" w:lineRule="exact"/>
                    <w:rPr>
                      <w:rFonts w:hint="eastAsia" w:ascii="Times New Roman" w:hAnsi="Times New Roman" w:eastAsia="宋体" w:cs="Times New Roman"/>
                      <w:sz w:val="18"/>
                      <w:szCs w:val="18"/>
                      <w:lang w:eastAsia="zh-CN"/>
                    </w:rPr>
                  </w:pPr>
                  <w:r>
                    <w:rPr>
                      <w:rFonts w:hint="default" w:ascii="Times New Roman" w:hAnsi="Times New Roman" w:cs="Times New Roman"/>
                      <w:color w:val="000000"/>
                      <w:sz w:val="18"/>
                      <w:szCs w:val="18"/>
                    </w:rPr>
                    <w:t>VOC</w:t>
                  </w:r>
                  <w:r>
                    <w:rPr>
                      <w:rFonts w:hint="eastAsia" w:ascii="Times New Roman" w:cs="Times New Roman"/>
                      <w:color w:val="000000"/>
                      <w:sz w:val="18"/>
                      <w:szCs w:val="18"/>
                      <w:lang w:eastAsia="zh-CN"/>
                    </w:rPr>
                    <w:t>（含苯乙烯）</w:t>
                  </w:r>
                </w:p>
              </w:tc>
              <w:tc>
                <w:tcPr>
                  <w:tcW w:w="1527" w:type="dxa"/>
                  <w:vMerge w:val="restart"/>
                  <w:tcBorders>
                    <w:top w:val="single" w:color="auto" w:sz="2" w:space="0"/>
                    <w:left w:val="single" w:color="auto" w:sz="2" w:space="0"/>
                    <w:bottom w:val="single" w:color="auto" w:sz="2" w:space="0"/>
                    <w:right w:val="single" w:color="auto" w:sz="2" w:space="0"/>
                  </w:tcBorders>
                  <w:vAlign w:val="center"/>
                </w:tcPr>
                <w:p w14:paraId="77C9C3F3">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eastAsia" w:eastAsia="等线" w:cs="Times New Roman"/>
                      <w:i w:val="0"/>
                      <w:iCs w:val="0"/>
                      <w:color w:val="000000"/>
                      <w:kern w:val="0"/>
                      <w:sz w:val="18"/>
                      <w:szCs w:val="18"/>
                      <w:u w:val="none"/>
                      <w:lang w:val="en-US" w:eastAsia="zh-CN" w:bidi="ar"/>
                    </w:rPr>
                    <w:t>0.0132（0.0053）</w:t>
                  </w:r>
                </w:p>
              </w:tc>
              <w:tc>
                <w:tcPr>
                  <w:tcW w:w="3067" w:type="dxa"/>
                  <w:tcBorders>
                    <w:top w:val="single" w:color="auto" w:sz="2" w:space="0"/>
                    <w:left w:val="single" w:color="auto" w:sz="2" w:space="0"/>
                    <w:bottom w:val="single" w:color="auto" w:sz="2" w:space="0"/>
                    <w:right w:val="single" w:color="auto" w:sz="2" w:space="0"/>
                  </w:tcBorders>
                  <w:vAlign w:val="center"/>
                </w:tcPr>
                <w:p w14:paraId="27DA54F7">
                  <w:pPr>
                    <w:pStyle w:val="200"/>
                    <w:spacing w:beforeLines="0" w:afterLines="0" w:line="240" w:lineRule="exact"/>
                    <w:jc w:val="center"/>
                    <w:rPr>
                      <w:rFonts w:hint="default" w:ascii="Times New Roman" w:hAnsi="Times New Roman" w:cs="Times New Roman"/>
                      <w:sz w:val="18"/>
                      <w:szCs w:val="18"/>
                    </w:rPr>
                  </w:pPr>
                  <w:r>
                    <w:rPr>
                      <w:rFonts w:hint="eastAsia" w:ascii="Times New Roman" w:cs="Times New Roman"/>
                      <w:color w:val="000000"/>
                      <w:sz w:val="18"/>
                      <w:szCs w:val="18"/>
                      <w:lang w:eastAsia="zh-CN"/>
                    </w:rPr>
                    <w:t>浸漆、烘干</w:t>
                  </w:r>
                  <w:r>
                    <w:rPr>
                      <w:rFonts w:hint="default" w:ascii="Times New Roman" w:hAnsi="Times New Roman" w:cs="Times New Roman"/>
                      <w:color w:val="000000"/>
                      <w:sz w:val="18"/>
                      <w:szCs w:val="18"/>
                    </w:rPr>
                    <w:t>过程净化装置去除</w:t>
                  </w:r>
                </w:p>
              </w:tc>
              <w:tc>
                <w:tcPr>
                  <w:tcW w:w="2105" w:type="dxa"/>
                  <w:tcBorders>
                    <w:top w:val="single" w:color="auto" w:sz="2" w:space="0"/>
                    <w:left w:val="single" w:color="auto" w:sz="2" w:space="0"/>
                    <w:bottom w:val="single" w:color="auto" w:sz="2" w:space="0"/>
                    <w:right w:val="single" w:color="auto" w:sz="2" w:space="0"/>
                  </w:tcBorders>
                  <w:vAlign w:val="bottom"/>
                </w:tcPr>
                <w:p w14:paraId="71F2D1AB">
                  <w:pPr>
                    <w:keepNext w:val="0"/>
                    <w:keepLines w:val="0"/>
                    <w:widowControl/>
                    <w:suppressLineNumbers w:val="0"/>
                    <w:jc w:val="center"/>
                    <w:textAlignment w:val="bottom"/>
                    <w:rPr>
                      <w:rFonts w:hint="default" w:ascii="Times New Roman" w:hAnsi="Times New Roman" w:cs="Times New Roman"/>
                      <w:sz w:val="18"/>
                      <w:szCs w:val="18"/>
                      <w:lang w:val="en-US"/>
                    </w:rPr>
                  </w:pPr>
                  <w:r>
                    <w:rPr>
                      <w:rFonts w:hint="default" w:ascii="Times New Roman" w:hAnsi="Times New Roman" w:eastAsia="等线" w:cs="Times New Roman"/>
                      <w:i w:val="0"/>
                      <w:iCs w:val="0"/>
                      <w:color w:val="000000"/>
                      <w:kern w:val="0"/>
                      <w:sz w:val="18"/>
                      <w:szCs w:val="18"/>
                      <w:u w:val="none"/>
                      <w:lang w:val="en-US" w:eastAsia="zh-CN" w:bidi="ar"/>
                    </w:rPr>
                    <w:t>0.</w:t>
                  </w:r>
                  <w:r>
                    <w:rPr>
                      <w:rFonts w:hint="eastAsia" w:eastAsia="等线" w:cs="Times New Roman"/>
                      <w:i w:val="0"/>
                      <w:iCs w:val="0"/>
                      <w:color w:val="000000"/>
                      <w:kern w:val="0"/>
                      <w:sz w:val="18"/>
                      <w:szCs w:val="18"/>
                      <w:u w:val="none"/>
                      <w:lang w:val="en-US" w:eastAsia="zh-CN" w:bidi="ar"/>
                    </w:rPr>
                    <w:t>009（0.0036）</w:t>
                  </w:r>
                </w:p>
              </w:tc>
            </w:tr>
            <w:tr w14:paraId="2EC936F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4" w:type="dxa"/>
                  <w:vMerge w:val="continue"/>
                  <w:tcBorders>
                    <w:top w:val="single" w:color="auto" w:sz="2" w:space="0"/>
                    <w:left w:val="single" w:color="auto" w:sz="2" w:space="0"/>
                    <w:bottom w:val="single" w:color="auto" w:sz="2" w:space="0"/>
                    <w:right w:val="single" w:color="auto" w:sz="2" w:space="0"/>
                  </w:tcBorders>
                  <w:vAlign w:val="center"/>
                </w:tcPr>
                <w:p w14:paraId="1EF523B2">
                  <w:pPr>
                    <w:pStyle w:val="200"/>
                    <w:spacing w:beforeLines="0" w:afterLines="0" w:line="240" w:lineRule="exact"/>
                    <w:rPr>
                      <w:rFonts w:hint="default" w:ascii="Times New Roman" w:hAnsi="Times New Roman" w:cs="Times New Roman"/>
                      <w:sz w:val="18"/>
                      <w:szCs w:val="18"/>
                    </w:rPr>
                  </w:pPr>
                </w:p>
              </w:tc>
              <w:tc>
                <w:tcPr>
                  <w:tcW w:w="1527" w:type="dxa"/>
                  <w:vMerge w:val="continue"/>
                  <w:tcBorders>
                    <w:top w:val="single" w:color="auto" w:sz="2" w:space="0"/>
                    <w:left w:val="single" w:color="auto" w:sz="2" w:space="0"/>
                    <w:bottom w:val="single" w:color="auto" w:sz="2" w:space="0"/>
                    <w:right w:val="single" w:color="auto" w:sz="2" w:space="0"/>
                  </w:tcBorders>
                  <w:vAlign w:val="center"/>
                </w:tcPr>
                <w:p w14:paraId="67AA64B7">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7" w:type="dxa"/>
                  <w:tcBorders>
                    <w:top w:val="single" w:color="auto" w:sz="2" w:space="0"/>
                    <w:left w:val="single" w:color="auto" w:sz="2" w:space="0"/>
                    <w:bottom w:val="single" w:color="auto" w:sz="2" w:space="0"/>
                    <w:right w:val="single" w:color="auto" w:sz="2" w:space="0"/>
                  </w:tcBorders>
                  <w:vAlign w:val="center"/>
                </w:tcPr>
                <w:p w14:paraId="26B91C43">
                  <w:pPr>
                    <w:pStyle w:val="200"/>
                    <w:spacing w:beforeLines="0" w:afterLines="0" w:line="240" w:lineRule="exact"/>
                    <w:rPr>
                      <w:rFonts w:hint="default" w:ascii="Times New Roman" w:hAnsi="Times New Roman" w:cs="Times New Roman"/>
                      <w:sz w:val="18"/>
                      <w:szCs w:val="18"/>
                    </w:rPr>
                  </w:pPr>
                  <w:r>
                    <w:rPr>
                      <w:rFonts w:hint="eastAsia" w:ascii="Times New Roman" w:cs="Times New Roman"/>
                      <w:color w:val="000000"/>
                      <w:sz w:val="18"/>
                      <w:szCs w:val="18"/>
                      <w:lang w:eastAsia="zh-CN"/>
                    </w:rPr>
                    <w:t>浸漆、烘干</w:t>
                  </w:r>
                  <w:r>
                    <w:rPr>
                      <w:rFonts w:hint="default" w:ascii="Times New Roman" w:hAnsi="Times New Roman" w:cs="Times New Roman"/>
                      <w:color w:val="000000"/>
                      <w:sz w:val="18"/>
                      <w:szCs w:val="18"/>
                    </w:rPr>
                    <w:t>过程排气筒排放</w:t>
                  </w:r>
                </w:p>
              </w:tc>
              <w:tc>
                <w:tcPr>
                  <w:tcW w:w="2105" w:type="dxa"/>
                  <w:tcBorders>
                    <w:top w:val="single" w:color="auto" w:sz="2" w:space="0"/>
                    <w:left w:val="single" w:color="auto" w:sz="2" w:space="0"/>
                    <w:bottom w:val="single" w:color="auto" w:sz="2" w:space="0"/>
                    <w:right w:val="single" w:color="auto" w:sz="2" w:space="0"/>
                  </w:tcBorders>
                  <w:vAlign w:val="bottom"/>
                </w:tcPr>
                <w:p w14:paraId="5494489E">
                  <w:pPr>
                    <w:keepNext w:val="0"/>
                    <w:keepLines w:val="0"/>
                    <w:widowControl/>
                    <w:suppressLineNumbers w:val="0"/>
                    <w:jc w:val="center"/>
                    <w:textAlignment w:val="bottom"/>
                    <w:rPr>
                      <w:rFonts w:hint="default" w:ascii="Times New Roman" w:hAnsi="Times New Roman" w:cs="Times New Roman"/>
                      <w:sz w:val="18"/>
                      <w:szCs w:val="18"/>
                      <w:lang w:val="en-US"/>
                    </w:rPr>
                  </w:pPr>
                  <w:r>
                    <w:rPr>
                      <w:rFonts w:hint="default" w:ascii="Times New Roman" w:hAnsi="Times New Roman" w:eastAsia="等线" w:cs="Times New Roman"/>
                      <w:i w:val="0"/>
                      <w:iCs w:val="0"/>
                      <w:color w:val="000000"/>
                      <w:kern w:val="0"/>
                      <w:sz w:val="18"/>
                      <w:szCs w:val="18"/>
                      <w:u w:val="none"/>
                      <w:lang w:val="en-US" w:eastAsia="zh-CN" w:bidi="ar"/>
                    </w:rPr>
                    <w:t>0.0</w:t>
                  </w:r>
                  <w:r>
                    <w:rPr>
                      <w:rFonts w:hint="eastAsia" w:eastAsia="等线" w:cs="Times New Roman"/>
                      <w:i w:val="0"/>
                      <w:iCs w:val="0"/>
                      <w:color w:val="000000"/>
                      <w:kern w:val="0"/>
                      <w:sz w:val="18"/>
                      <w:szCs w:val="18"/>
                      <w:u w:val="none"/>
                      <w:lang w:val="en-US" w:eastAsia="zh-CN" w:bidi="ar"/>
                    </w:rPr>
                    <w:t>039（0.0016）</w:t>
                  </w:r>
                </w:p>
              </w:tc>
            </w:tr>
            <w:tr w14:paraId="4F6B13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4" w:type="dxa"/>
                  <w:vMerge w:val="continue"/>
                  <w:tcBorders>
                    <w:top w:val="single" w:color="auto" w:sz="2" w:space="0"/>
                    <w:left w:val="single" w:color="auto" w:sz="2" w:space="0"/>
                    <w:bottom w:val="single" w:color="auto" w:sz="2" w:space="0"/>
                    <w:right w:val="single" w:color="auto" w:sz="2" w:space="0"/>
                  </w:tcBorders>
                  <w:vAlign w:val="center"/>
                </w:tcPr>
                <w:p w14:paraId="7AA223C4">
                  <w:pPr>
                    <w:pStyle w:val="200"/>
                    <w:spacing w:beforeLines="0" w:afterLines="0" w:line="240" w:lineRule="exact"/>
                    <w:rPr>
                      <w:rFonts w:hint="default" w:ascii="Times New Roman" w:hAnsi="Times New Roman" w:cs="Times New Roman"/>
                      <w:sz w:val="18"/>
                      <w:szCs w:val="18"/>
                    </w:rPr>
                  </w:pPr>
                </w:p>
              </w:tc>
              <w:tc>
                <w:tcPr>
                  <w:tcW w:w="1527" w:type="dxa"/>
                  <w:vMerge w:val="continue"/>
                  <w:tcBorders>
                    <w:top w:val="single" w:color="auto" w:sz="2" w:space="0"/>
                    <w:left w:val="single" w:color="auto" w:sz="2" w:space="0"/>
                    <w:bottom w:val="single" w:color="auto" w:sz="2" w:space="0"/>
                    <w:right w:val="single" w:color="auto" w:sz="2" w:space="0"/>
                  </w:tcBorders>
                  <w:vAlign w:val="center"/>
                </w:tcPr>
                <w:p w14:paraId="1E6D206A">
                  <w:pPr>
                    <w:pStyle w:val="200"/>
                    <w:spacing w:beforeLines="0" w:afterLines="0" w:line="240" w:lineRule="exact"/>
                    <w:jc w:val="center"/>
                    <w:rPr>
                      <w:rFonts w:hint="default" w:ascii="Times New Roman" w:hAnsi="Times New Roman" w:eastAsia="等线" w:cs="Times New Roman"/>
                      <w:i w:val="0"/>
                      <w:iCs w:val="0"/>
                      <w:color w:val="000000"/>
                      <w:kern w:val="0"/>
                      <w:sz w:val="18"/>
                      <w:szCs w:val="18"/>
                      <w:u w:val="none"/>
                      <w:lang w:val="en-US" w:eastAsia="zh-CN" w:bidi="ar"/>
                    </w:rPr>
                  </w:pPr>
                </w:p>
              </w:tc>
              <w:tc>
                <w:tcPr>
                  <w:tcW w:w="3067" w:type="dxa"/>
                  <w:tcBorders>
                    <w:top w:val="single" w:color="auto" w:sz="2" w:space="0"/>
                    <w:left w:val="single" w:color="auto" w:sz="2" w:space="0"/>
                    <w:bottom w:val="single" w:color="auto" w:sz="2" w:space="0"/>
                    <w:right w:val="single" w:color="auto" w:sz="2" w:space="0"/>
                  </w:tcBorders>
                  <w:vAlign w:val="center"/>
                </w:tcPr>
                <w:p w14:paraId="3EEB3D48">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无组织排放</w:t>
                  </w:r>
                </w:p>
              </w:tc>
              <w:tc>
                <w:tcPr>
                  <w:tcW w:w="2105" w:type="dxa"/>
                  <w:tcBorders>
                    <w:top w:val="single" w:color="auto" w:sz="2" w:space="0"/>
                    <w:left w:val="single" w:color="auto" w:sz="2" w:space="0"/>
                    <w:bottom w:val="single" w:color="auto" w:sz="2" w:space="0"/>
                    <w:right w:val="single" w:color="auto" w:sz="2" w:space="0"/>
                  </w:tcBorders>
                  <w:vAlign w:val="bottom"/>
                </w:tcPr>
                <w:p w14:paraId="501CAEAD">
                  <w:pPr>
                    <w:keepNext w:val="0"/>
                    <w:keepLines w:val="0"/>
                    <w:widowControl/>
                    <w:suppressLineNumbers w:val="0"/>
                    <w:jc w:val="center"/>
                    <w:textAlignment w:val="bottom"/>
                    <w:rPr>
                      <w:rFonts w:hint="default" w:ascii="Times New Roman" w:hAnsi="Times New Roman" w:cs="Times New Roman"/>
                      <w:sz w:val="18"/>
                      <w:szCs w:val="18"/>
                      <w:lang w:val="en-US"/>
                    </w:rPr>
                  </w:pPr>
                  <w:r>
                    <w:rPr>
                      <w:rFonts w:hint="default" w:ascii="Times New Roman" w:hAnsi="Times New Roman" w:eastAsia="等线" w:cs="Times New Roman"/>
                      <w:i w:val="0"/>
                      <w:iCs w:val="0"/>
                      <w:color w:val="000000"/>
                      <w:kern w:val="0"/>
                      <w:sz w:val="18"/>
                      <w:szCs w:val="18"/>
                      <w:u w:val="none"/>
                      <w:lang w:val="en-US" w:eastAsia="zh-CN" w:bidi="ar"/>
                    </w:rPr>
                    <w:t>0.00</w:t>
                  </w:r>
                  <w:r>
                    <w:rPr>
                      <w:rFonts w:hint="eastAsia" w:eastAsia="等线" w:cs="Times New Roman"/>
                      <w:i w:val="0"/>
                      <w:iCs w:val="0"/>
                      <w:color w:val="000000"/>
                      <w:kern w:val="0"/>
                      <w:sz w:val="18"/>
                      <w:szCs w:val="18"/>
                      <w:u w:val="none"/>
                      <w:lang w:val="en-US" w:eastAsia="zh-CN" w:bidi="ar"/>
                    </w:rPr>
                    <w:t>03（0.0001）</w:t>
                  </w:r>
                </w:p>
              </w:tc>
            </w:tr>
            <w:tr w14:paraId="73DB2AA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4" w:type="dxa"/>
                  <w:tcBorders>
                    <w:top w:val="single" w:color="auto" w:sz="2" w:space="0"/>
                    <w:left w:val="single" w:color="auto" w:sz="2" w:space="0"/>
                    <w:bottom w:val="single" w:color="auto" w:sz="2" w:space="0"/>
                    <w:right w:val="single" w:color="auto" w:sz="2" w:space="0"/>
                  </w:tcBorders>
                  <w:vAlign w:val="center"/>
                </w:tcPr>
                <w:p w14:paraId="28998EDE">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固形物</w:t>
                  </w:r>
                </w:p>
              </w:tc>
              <w:tc>
                <w:tcPr>
                  <w:tcW w:w="1527" w:type="dxa"/>
                  <w:tcBorders>
                    <w:top w:val="single" w:color="auto" w:sz="2" w:space="0"/>
                    <w:left w:val="single" w:color="auto" w:sz="2" w:space="0"/>
                    <w:bottom w:val="single" w:color="auto" w:sz="2" w:space="0"/>
                    <w:right w:val="single" w:color="auto" w:sz="2" w:space="0"/>
                  </w:tcBorders>
                  <w:vAlign w:val="center"/>
                </w:tcPr>
                <w:p w14:paraId="64EE06A9">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default" w:ascii="Times New Roman" w:hAnsi="Times New Roman" w:eastAsia="等线" w:cs="Times New Roman"/>
                      <w:i w:val="0"/>
                      <w:iCs w:val="0"/>
                      <w:color w:val="000000"/>
                      <w:kern w:val="0"/>
                      <w:sz w:val="18"/>
                      <w:szCs w:val="18"/>
                      <w:u w:val="none"/>
                      <w:lang w:val="en-US" w:eastAsia="zh-CN" w:bidi="ar"/>
                    </w:rPr>
                    <w:t>0.</w:t>
                  </w:r>
                  <w:r>
                    <w:rPr>
                      <w:rFonts w:hint="eastAsia" w:eastAsia="等线" w:cs="Times New Roman"/>
                      <w:i w:val="0"/>
                      <w:iCs w:val="0"/>
                      <w:color w:val="000000"/>
                      <w:kern w:val="0"/>
                      <w:sz w:val="18"/>
                      <w:szCs w:val="18"/>
                      <w:u w:val="none"/>
                      <w:lang w:val="en-US" w:eastAsia="zh-CN" w:bidi="ar"/>
                    </w:rPr>
                    <w:t>0868</w:t>
                  </w:r>
                </w:p>
              </w:tc>
              <w:tc>
                <w:tcPr>
                  <w:tcW w:w="3067" w:type="dxa"/>
                  <w:tcBorders>
                    <w:top w:val="single" w:color="auto" w:sz="2" w:space="0"/>
                    <w:left w:val="single" w:color="auto" w:sz="2" w:space="0"/>
                    <w:bottom w:val="single" w:color="auto" w:sz="2" w:space="0"/>
                    <w:right w:val="single" w:color="auto" w:sz="2" w:space="0"/>
                  </w:tcBorders>
                  <w:vAlign w:val="center"/>
                </w:tcPr>
                <w:p w14:paraId="5FD89883">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产品带走</w:t>
                  </w:r>
                </w:p>
              </w:tc>
              <w:tc>
                <w:tcPr>
                  <w:tcW w:w="2105" w:type="dxa"/>
                  <w:tcBorders>
                    <w:top w:val="single" w:color="auto" w:sz="2" w:space="0"/>
                    <w:left w:val="single" w:color="auto" w:sz="2" w:space="0"/>
                    <w:bottom w:val="single" w:color="auto" w:sz="2" w:space="0"/>
                    <w:right w:val="single" w:color="auto" w:sz="2" w:space="0"/>
                  </w:tcBorders>
                  <w:vAlign w:val="bottom"/>
                </w:tcPr>
                <w:p w14:paraId="7ADD5927">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w:t>
                  </w:r>
                  <w:r>
                    <w:rPr>
                      <w:rFonts w:hint="default" w:ascii="Times New Roman" w:hAnsi="Times New Roman" w:cs="Times New Roman"/>
                      <w:i w:val="0"/>
                      <w:iCs w:val="0"/>
                      <w:color w:val="000000"/>
                      <w:kern w:val="0"/>
                      <w:sz w:val="18"/>
                      <w:szCs w:val="18"/>
                      <w:u w:val="none"/>
                      <w:lang w:val="en-US" w:eastAsia="zh-CN" w:bidi="ar"/>
                    </w:rPr>
                    <w:t>0868</w:t>
                  </w:r>
                </w:p>
              </w:tc>
            </w:tr>
            <w:tr w14:paraId="35D6D32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1714" w:type="dxa"/>
                  <w:tcBorders>
                    <w:top w:val="single" w:color="auto" w:sz="2" w:space="0"/>
                    <w:left w:val="single" w:color="auto" w:sz="2" w:space="0"/>
                    <w:bottom w:val="single" w:color="auto" w:sz="2" w:space="0"/>
                    <w:right w:val="single" w:color="auto" w:sz="2" w:space="0"/>
                  </w:tcBorders>
                  <w:vAlign w:val="center"/>
                </w:tcPr>
                <w:p w14:paraId="675D62A6">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合计</w:t>
                  </w:r>
                </w:p>
              </w:tc>
              <w:tc>
                <w:tcPr>
                  <w:tcW w:w="1527" w:type="dxa"/>
                  <w:tcBorders>
                    <w:top w:val="single" w:color="auto" w:sz="2" w:space="0"/>
                    <w:left w:val="single" w:color="auto" w:sz="2" w:space="0"/>
                    <w:bottom w:val="single" w:color="auto" w:sz="2" w:space="0"/>
                    <w:right w:val="single" w:color="auto" w:sz="2" w:space="0"/>
                  </w:tcBorders>
                  <w:vAlign w:val="center"/>
                </w:tcPr>
                <w:p w14:paraId="76887BD5">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eastAsia" w:eastAsia="等线" w:cs="Times New Roman"/>
                      <w:i w:val="0"/>
                      <w:iCs w:val="0"/>
                      <w:color w:val="000000"/>
                      <w:kern w:val="0"/>
                      <w:sz w:val="18"/>
                      <w:szCs w:val="18"/>
                      <w:u w:val="none"/>
                      <w:lang w:val="en-US" w:eastAsia="zh-CN" w:bidi="ar"/>
                    </w:rPr>
                    <w:t>0.1</w:t>
                  </w:r>
                </w:p>
              </w:tc>
              <w:tc>
                <w:tcPr>
                  <w:tcW w:w="3067" w:type="dxa"/>
                  <w:tcBorders>
                    <w:top w:val="single" w:color="auto" w:sz="2" w:space="0"/>
                    <w:left w:val="single" w:color="auto" w:sz="2" w:space="0"/>
                    <w:bottom w:val="single" w:color="auto" w:sz="2" w:space="0"/>
                    <w:right w:val="single" w:color="auto" w:sz="2" w:space="0"/>
                  </w:tcBorders>
                  <w:vAlign w:val="center"/>
                </w:tcPr>
                <w:p w14:paraId="0B0485D9">
                  <w:pPr>
                    <w:pStyle w:val="200"/>
                    <w:spacing w:beforeLines="0" w:afterLines="0" w:line="240" w:lineRule="exact"/>
                    <w:rPr>
                      <w:rFonts w:hint="default" w:ascii="Times New Roman" w:hAnsi="Times New Roman" w:cs="Times New Roman"/>
                      <w:sz w:val="18"/>
                      <w:szCs w:val="18"/>
                    </w:rPr>
                  </w:pPr>
                  <w:r>
                    <w:rPr>
                      <w:rFonts w:hint="default" w:ascii="Times New Roman" w:hAnsi="Times New Roman" w:cs="Times New Roman"/>
                      <w:color w:val="000000"/>
                      <w:sz w:val="18"/>
                      <w:szCs w:val="18"/>
                    </w:rPr>
                    <w:t>合计</w:t>
                  </w:r>
                </w:p>
              </w:tc>
              <w:tc>
                <w:tcPr>
                  <w:tcW w:w="2105" w:type="dxa"/>
                  <w:tcBorders>
                    <w:top w:val="single" w:color="auto" w:sz="2" w:space="0"/>
                    <w:left w:val="single" w:color="auto" w:sz="2" w:space="0"/>
                    <w:bottom w:val="single" w:color="auto" w:sz="2" w:space="0"/>
                    <w:right w:val="single" w:color="auto" w:sz="2" w:space="0"/>
                  </w:tcBorders>
                  <w:vAlign w:val="bottom"/>
                </w:tcPr>
                <w:p w14:paraId="1A4D43CC">
                  <w:pPr>
                    <w:keepNext w:val="0"/>
                    <w:keepLines w:val="0"/>
                    <w:widowControl/>
                    <w:suppressLineNumbers w:val="0"/>
                    <w:jc w:val="center"/>
                    <w:textAlignment w:val="bottom"/>
                    <w:rPr>
                      <w:rFonts w:hint="default" w:ascii="Times New Roman" w:hAnsi="Times New Roman" w:eastAsia="等线" w:cs="Times New Roman"/>
                      <w:i w:val="0"/>
                      <w:iCs w:val="0"/>
                      <w:color w:val="000000"/>
                      <w:kern w:val="0"/>
                      <w:sz w:val="18"/>
                      <w:szCs w:val="18"/>
                      <w:u w:val="none"/>
                      <w:lang w:val="en-US" w:eastAsia="zh-CN" w:bidi="ar"/>
                    </w:rPr>
                  </w:pPr>
                  <w:r>
                    <w:rPr>
                      <w:rFonts w:hint="eastAsia" w:eastAsia="等线" w:cs="Times New Roman"/>
                      <w:i w:val="0"/>
                      <w:iCs w:val="0"/>
                      <w:color w:val="000000"/>
                      <w:kern w:val="0"/>
                      <w:sz w:val="18"/>
                      <w:szCs w:val="18"/>
                      <w:u w:val="none"/>
                      <w:lang w:val="en-US" w:eastAsia="zh-CN" w:bidi="ar"/>
                    </w:rPr>
                    <w:t>0.1</w:t>
                  </w:r>
                </w:p>
              </w:tc>
            </w:tr>
            <w:tr w14:paraId="62AA2C6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jc w:val="center"/>
              </w:trPr>
              <w:tc>
                <w:tcPr>
                  <w:tcW w:w="8413" w:type="dxa"/>
                  <w:gridSpan w:val="4"/>
                  <w:tcBorders>
                    <w:top w:val="single" w:color="auto" w:sz="2" w:space="0"/>
                    <w:left w:val="single" w:color="auto" w:sz="2" w:space="0"/>
                    <w:bottom w:val="single" w:color="auto" w:sz="2" w:space="0"/>
                    <w:right w:val="single" w:color="auto" w:sz="2" w:space="0"/>
                  </w:tcBorders>
                  <w:vAlign w:val="center"/>
                </w:tcPr>
                <w:p w14:paraId="1B180E63">
                  <w:pPr>
                    <w:pStyle w:val="200"/>
                    <w:spacing w:beforeLines="0" w:afterLines="0" w:line="240" w:lineRule="exact"/>
                    <w:jc w:val="both"/>
                    <w:rPr>
                      <w:rFonts w:hint="default" w:ascii="Times New Roman" w:hAnsi="Times New Roman" w:cs="Times New Roman"/>
                      <w:sz w:val="18"/>
                      <w:szCs w:val="18"/>
                    </w:rPr>
                  </w:pPr>
                </w:p>
              </w:tc>
            </w:tr>
          </w:tbl>
          <w:p w14:paraId="5FB8F7EC">
            <w:pPr>
              <w:spacing w:line="360" w:lineRule="auto"/>
              <w:jc w:val="center"/>
              <w:rPr>
                <w:rFonts w:hint="default" w:ascii="Times New Roman" w:hAnsi="Times New Roman" w:cs="Times New Roman"/>
              </w:rPr>
            </w:pPr>
            <w:r>
              <w:rPr>
                <w:rFonts w:hint="default" w:ascii="Times New Roman" w:hAnsi="Times New Roman" w:cs="Times New Roman"/>
              </w:rPr>
              <w:object>
                <v:shape id="_x0000_i1041" o:spt="75" type="#_x0000_t75" style="height:194.5pt;width:326.3pt;" o:ole="t" filled="f" o:preferrelative="t" stroked="f" coordsize="21600,21600">
                  <v:path/>
                  <v:fill on="f" focussize="0,0"/>
                  <v:stroke on="f"/>
                  <v:imagedata r:id="rId45" o:title=""/>
                  <o:lock v:ext="edit" aspectratio="t"/>
                  <w10:wrap type="none"/>
                  <w10:anchorlock/>
                </v:shape>
                <o:OLEObject Type="Embed" ProgID="Visio.Drawing.11" ShapeID="_x0000_i1041" DrawAspect="Content" ObjectID="_1468075741" r:id="rId44">
                  <o:LockedField>false</o:LockedField>
                </o:OLEObject>
              </w:object>
            </w:r>
          </w:p>
          <w:p w14:paraId="07B603E5">
            <w:pPr>
              <w:spacing w:line="360" w:lineRule="auto"/>
              <w:jc w:val="center"/>
              <w:rPr>
                <w:rFonts w:hint="default" w:ascii="Times New Roman" w:hAnsi="Times New Roman" w:eastAsia="黑体" w:cs="Times New Roman"/>
              </w:rPr>
            </w:pPr>
            <w:r>
              <w:rPr>
                <w:rFonts w:hint="default" w:ascii="Times New Roman" w:hAnsi="Times New Roman" w:eastAsia="黑体" w:cs="Times New Roman"/>
              </w:rPr>
              <w:t>图2-</w:t>
            </w:r>
            <w:r>
              <w:rPr>
                <w:rFonts w:hint="eastAsia" w:eastAsia="黑体" w:cs="Times New Roman"/>
                <w:lang w:val="en-US" w:eastAsia="zh-CN"/>
              </w:rPr>
              <w:t xml:space="preserve">5 </w:t>
            </w:r>
            <w:r>
              <w:rPr>
                <w:rFonts w:hint="eastAsia" w:eastAsia="黑体" w:cs="Times New Roman"/>
                <w:lang w:eastAsia="zh-CN"/>
              </w:rPr>
              <w:t>浸漆</w:t>
            </w:r>
            <w:r>
              <w:rPr>
                <w:rFonts w:hint="default" w:ascii="Times New Roman" w:hAnsi="Times New Roman" w:eastAsia="黑体" w:cs="Times New Roman"/>
              </w:rPr>
              <w:t>物料平衡图</w:t>
            </w:r>
          </w:p>
          <w:p w14:paraId="53C22009">
            <w:pPr>
              <w:spacing w:line="360" w:lineRule="auto"/>
              <w:ind w:firstLine="420" w:firstLineChars="200"/>
              <w:rPr>
                <w:rFonts w:ascii="黑体" w:hAnsi="黑体" w:eastAsia="黑体"/>
              </w:rPr>
            </w:pPr>
            <w:r>
              <w:rPr>
                <w:rFonts w:hint="eastAsia" w:ascii="黑体" w:hAnsi="黑体" w:eastAsia="黑体"/>
                <w:lang w:val="en-US" w:eastAsia="zh-CN"/>
              </w:rPr>
              <w:t>（五</w:t>
            </w:r>
            <w:r>
              <w:rPr>
                <w:rFonts w:hint="eastAsia" w:ascii="黑体" w:hAnsi="黑体" w:eastAsia="黑体"/>
              </w:rPr>
              <w:t>）塑粉使用量核算</w:t>
            </w:r>
          </w:p>
          <w:p w14:paraId="36F5EAFC">
            <w:pPr>
              <w:spacing w:line="360" w:lineRule="auto"/>
              <w:ind w:firstLine="420" w:firstLineChars="200"/>
              <w:jc w:val="both"/>
              <w:rPr>
                <w:rFonts w:cs="Times New Roman"/>
                <w:szCs w:val="21"/>
              </w:rPr>
            </w:pPr>
            <w:r>
              <w:rPr>
                <w:rFonts w:cs="Times New Roman"/>
                <w:szCs w:val="21"/>
              </w:rPr>
              <w:t>本项目仅</w:t>
            </w:r>
            <w:r>
              <w:rPr>
                <w:rFonts w:hint="eastAsia" w:cs="Times New Roman"/>
                <w:szCs w:val="21"/>
                <w:lang w:eastAsia="zh-CN"/>
              </w:rPr>
              <w:t>部分气压罐、给水设备</w:t>
            </w:r>
            <w:r>
              <w:rPr>
                <w:rFonts w:cs="Times New Roman"/>
                <w:szCs w:val="21"/>
              </w:rPr>
              <w:t>进行塑粉喷涂，涂层厚度为500</w:t>
            </w:r>
            <w:r>
              <w:rPr>
                <w:rFonts w:ascii="Times New Roman" w:hAnsi="Times New Roman" w:cs="Times New Roman"/>
                <w:szCs w:val="21"/>
              </w:rPr>
              <w:t>μ</w:t>
            </w:r>
            <w:r>
              <w:rPr>
                <w:rFonts w:cs="Times New Roman"/>
                <w:szCs w:val="21"/>
              </w:rPr>
              <w:t>m。根据企业提供资料，</w:t>
            </w:r>
            <w:r>
              <w:rPr>
                <w:rFonts w:hint="eastAsia" w:cs="Times New Roman"/>
                <w:szCs w:val="21"/>
              </w:rPr>
              <w:t>其中</w:t>
            </w:r>
            <w:r>
              <w:rPr>
                <w:rFonts w:hint="eastAsia" w:cs="Times New Roman"/>
                <w:szCs w:val="21"/>
                <w:lang w:val="en-US" w:eastAsia="zh-CN"/>
              </w:rPr>
              <w:t>600套气压罐</w:t>
            </w:r>
            <w:r>
              <w:rPr>
                <w:rFonts w:hint="eastAsia" w:cs="Times New Roman"/>
                <w:szCs w:val="21"/>
              </w:rPr>
              <w:t>平均</w:t>
            </w:r>
            <w:r>
              <w:rPr>
                <w:rFonts w:cs="Times New Roman"/>
                <w:szCs w:val="21"/>
              </w:rPr>
              <w:t>喷涂面积为</w:t>
            </w:r>
            <w:r>
              <w:rPr>
                <w:rFonts w:hint="eastAsia" w:cs="Times New Roman"/>
                <w:szCs w:val="21"/>
                <w:lang w:val="en-US" w:eastAsia="zh-CN"/>
              </w:rPr>
              <w:t>4</w:t>
            </w:r>
            <w:r>
              <w:rPr>
                <w:rFonts w:cs="Times New Roman"/>
                <w:szCs w:val="21"/>
              </w:rPr>
              <w:t>m</w:t>
            </w:r>
            <w:r>
              <w:rPr>
                <w:rFonts w:cs="Times New Roman"/>
                <w:szCs w:val="21"/>
                <w:vertAlign w:val="superscript"/>
              </w:rPr>
              <w:t>2</w:t>
            </w:r>
            <w:r>
              <w:rPr>
                <w:rFonts w:cs="Times New Roman"/>
                <w:szCs w:val="21"/>
              </w:rPr>
              <w:t>，喷涂总面积</w:t>
            </w:r>
            <w:r>
              <w:rPr>
                <w:rFonts w:hint="eastAsia" w:cs="Times New Roman"/>
                <w:szCs w:val="21"/>
                <w:lang w:val="en-US" w:eastAsia="zh-CN"/>
              </w:rPr>
              <w:t>0.24</w:t>
            </w:r>
            <w:r>
              <w:rPr>
                <w:rFonts w:cs="Times New Roman"/>
                <w:szCs w:val="21"/>
              </w:rPr>
              <w:t>万m</w:t>
            </w:r>
            <w:r>
              <w:rPr>
                <w:rFonts w:cs="Times New Roman"/>
                <w:szCs w:val="21"/>
                <w:vertAlign w:val="superscript"/>
              </w:rPr>
              <w:t>2</w:t>
            </w:r>
            <w:r>
              <w:rPr>
                <w:rFonts w:hint="eastAsia" w:cs="Times New Roman"/>
                <w:szCs w:val="21"/>
              </w:rPr>
              <w:t>，</w:t>
            </w:r>
            <w:r>
              <w:rPr>
                <w:rFonts w:hint="eastAsia" w:cs="Times New Roman"/>
                <w:szCs w:val="21"/>
                <w:lang w:val="en-US" w:eastAsia="zh-CN"/>
              </w:rPr>
              <w:t>3</w:t>
            </w:r>
            <w:r>
              <w:rPr>
                <w:rFonts w:cs="Times New Roman"/>
                <w:szCs w:val="21"/>
              </w:rPr>
              <w:t>00</w:t>
            </w:r>
            <w:r>
              <w:rPr>
                <w:rFonts w:hint="eastAsia" w:cs="Times New Roman"/>
                <w:szCs w:val="21"/>
                <w:lang w:eastAsia="zh-CN"/>
              </w:rPr>
              <w:t>套给水设备</w:t>
            </w:r>
            <w:r>
              <w:rPr>
                <w:rFonts w:hint="eastAsia" w:cs="Times New Roman"/>
                <w:szCs w:val="21"/>
              </w:rPr>
              <w:t>平均喷涂面积为</w:t>
            </w:r>
            <w:r>
              <w:rPr>
                <w:rFonts w:hint="eastAsia" w:cs="Times New Roman"/>
                <w:szCs w:val="21"/>
                <w:lang w:val="en-US" w:eastAsia="zh-CN"/>
              </w:rPr>
              <w:t>6</w:t>
            </w:r>
            <w:r>
              <w:rPr>
                <w:rFonts w:hint="eastAsia" w:cs="Times New Roman"/>
                <w:szCs w:val="21"/>
              </w:rPr>
              <w:t>m</w:t>
            </w:r>
            <w:r>
              <w:rPr>
                <w:rFonts w:cs="Times New Roman"/>
                <w:szCs w:val="21"/>
                <w:vertAlign w:val="superscript"/>
              </w:rPr>
              <w:t>2</w:t>
            </w:r>
            <w:r>
              <w:rPr>
                <w:rFonts w:hint="eastAsia" w:cs="Times New Roman"/>
                <w:szCs w:val="21"/>
              </w:rPr>
              <w:t>，喷涂总面积0</w:t>
            </w:r>
            <w:r>
              <w:rPr>
                <w:rFonts w:cs="Times New Roman"/>
                <w:szCs w:val="21"/>
              </w:rPr>
              <w:t>.</w:t>
            </w:r>
            <w:r>
              <w:rPr>
                <w:rFonts w:hint="eastAsia" w:cs="Times New Roman"/>
                <w:szCs w:val="21"/>
                <w:lang w:val="en-US" w:eastAsia="zh-CN"/>
              </w:rPr>
              <w:t>18</w:t>
            </w:r>
            <w:r>
              <w:rPr>
                <w:rFonts w:cs="Times New Roman"/>
                <w:szCs w:val="21"/>
              </w:rPr>
              <w:t>万m</w:t>
            </w:r>
            <w:r>
              <w:rPr>
                <w:rFonts w:cs="Times New Roman"/>
                <w:szCs w:val="21"/>
                <w:vertAlign w:val="superscript"/>
              </w:rPr>
              <w:t>2</w:t>
            </w:r>
            <w:r>
              <w:rPr>
                <w:rFonts w:hint="eastAsia" w:cs="Times New Roman"/>
                <w:szCs w:val="21"/>
              </w:rPr>
              <w:t>。</w:t>
            </w:r>
            <w:r>
              <w:rPr>
                <w:rFonts w:cs="Times New Roman"/>
                <w:szCs w:val="21"/>
              </w:rPr>
              <w:t>根据塑粉MSDS本项目塑粉挥发份≤0.6%。</w:t>
            </w:r>
          </w:p>
          <w:p w14:paraId="6460DA79">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w:t>
            </w:r>
            <w:r>
              <w:rPr>
                <w:rFonts w:hint="eastAsia" w:ascii="宋体" w:hAnsi="宋体" w:eastAsia="宋体" w:cs="宋体"/>
                <w:b/>
                <w:bCs/>
                <w:lang w:val="en-US" w:eastAsia="zh-CN"/>
              </w:rPr>
              <w:t>2-18</w:t>
            </w:r>
            <w:r>
              <w:rPr>
                <w:rFonts w:hint="eastAsia" w:ascii="宋体" w:hAnsi="宋体" w:eastAsia="宋体" w:cs="宋体"/>
                <w:b/>
                <w:bCs/>
                <w:lang w:val="de-DE"/>
              </w:rPr>
              <w:t xml:space="preserve">  本项目涂装工序涂层参数及工艺特点表</w:t>
            </w:r>
          </w:p>
          <w:tbl>
            <w:tblPr>
              <w:tblStyle w:val="81"/>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1661"/>
              <w:gridCol w:w="1821"/>
              <w:gridCol w:w="1442"/>
              <w:gridCol w:w="3495"/>
            </w:tblGrid>
            <w:tr w14:paraId="4AFA371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59" w:hRule="atLeast"/>
                <w:jc w:val="center"/>
              </w:trPr>
              <w:tc>
                <w:tcPr>
                  <w:tcW w:w="3944" w:type="dxa"/>
                  <w:gridSpan w:val="2"/>
                  <w:shd w:val="clear" w:color="auto" w:fill="auto"/>
                  <w:vAlign w:val="center"/>
                </w:tcPr>
                <w:p w14:paraId="44FC3588">
                  <w:pPr>
                    <w:pStyle w:val="200"/>
                    <w:spacing w:line="300" w:lineRule="exact"/>
                    <w:rPr>
                      <w:sz w:val="21"/>
                      <w:szCs w:val="21"/>
                    </w:rPr>
                  </w:pPr>
                  <w:r>
                    <w:rPr>
                      <w:rFonts w:hint="eastAsia"/>
                      <w:sz w:val="21"/>
                      <w:szCs w:val="21"/>
                    </w:rPr>
                    <w:t>名称</w:t>
                  </w:r>
                </w:p>
              </w:tc>
              <w:tc>
                <w:tcPr>
                  <w:tcW w:w="1555" w:type="dxa"/>
                  <w:shd w:val="clear" w:color="auto" w:fill="auto"/>
                  <w:vAlign w:val="center"/>
                </w:tcPr>
                <w:p w14:paraId="4F67BBD1">
                  <w:pPr>
                    <w:pStyle w:val="61"/>
                    <w:spacing w:line="300" w:lineRule="exact"/>
                    <w:jc w:val="center"/>
                    <w:rPr>
                      <w:rFonts w:ascii="宋体" w:hAnsi="宋体" w:eastAsia="宋体"/>
                      <w:b/>
                      <w:bCs w:val="0"/>
                      <w:kern w:val="0"/>
                      <w:sz w:val="21"/>
                      <w:szCs w:val="21"/>
                    </w:rPr>
                  </w:pPr>
                  <w:r>
                    <w:rPr>
                      <w:rFonts w:hint="eastAsia" w:ascii="宋体" w:hAnsi="宋体" w:eastAsia="宋体"/>
                      <w:b/>
                      <w:bCs w:val="0"/>
                      <w:kern w:val="0"/>
                      <w:sz w:val="21"/>
                      <w:szCs w:val="21"/>
                    </w:rPr>
                    <w:t>单位</w:t>
                  </w:r>
                </w:p>
              </w:tc>
              <w:tc>
                <w:tcPr>
                  <w:tcW w:w="3919" w:type="dxa"/>
                  <w:shd w:val="clear" w:color="auto" w:fill="auto"/>
                  <w:vAlign w:val="center"/>
                </w:tcPr>
                <w:p w14:paraId="3EC9EDBE">
                  <w:pPr>
                    <w:pStyle w:val="61"/>
                    <w:spacing w:line="300" w:lineRule="exact"/>
                    <w:jc w:val="center"/>
                    <w:rPr>
                      <w:rFonts w:ascii="宋体" w:hAnsi="宋体" w:eastAsia="宋体"/>
                      <w:b/>
                      <w:bCs w:val="0"/>
                      <w:kern w:val="0"/>
                      <w:sz w:val="21"/>
                      <w:szCs w:val="21"/>
                    </w:rPr>
                  </w:pPr>
                  <w:r>
                    <w:rPr>
                      <w:rFonts w:hint="eastAsia" w:ascii="宋体" w:hAnsi="宋体" w:eastAsia="宋体"/>
                      <w:b/>
                      <w:bCs w:val="0"/>
                      <w:kern w:val="0"/>
                      <w:sz w:val="21"/>
                      <w:szCs w:val="21"/>
                    </w:rPr>
                    <w:t>喷涂参数</w:t>
                  </w:r>
                </w:p>
              </w:tc>
            </w:tr>
            <w:tr w14:paraId="5388F1B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880" w:type="dxa"/>
                  <w:vMerge w:val="restart"/>
                  <w:shd w:val="clear" w:color="auto" w:fill="auto"/>
                  <w:vAlign w:val="center"/>
                </w:tcPr>
                <w:p w14:paraId="3414EC48">
                  <w:pPr>
                    <w:pStyle w:val="200"/>
                    <w:spacing w:line="300" w:lineRule="exact"/>
                    <w:rPr>
                      <w:sz w:val="21"/>
                      <w:szCs w:val="21"/>
                    </w:rPr>
                  </w:pPr>
                  <w:r>
                    <w:rPr>
                      <w:rFonts w:hint="eastAsia"/>
                      <w:sz w:val="21"/>
                      <w:szCs w:val="21"/>
                    </w:rPr>
                    <w:t>底涂</w:t>
                  </w:r>
                </w:p>
              </w:tc>
              <w:tc>
                <w:tcPr>
                  <w:tcW w:w="2064" w:type="dxa"/>
                  <w:shd w:val="clear" w:color="auto" w:fill="auto"/>
                  <w:vAlign w:val="center"/>
                </w:tcPr>
                <w:p w14:paraId="2FDCCEF3">
                  <w:pPr>
                    <w:pStyle w:val="200"/>
                    <w:spacing w:line="300" w:lineRule="exact"/>
                    <w:rPr>
                      <w:sz w:val="21"/>
                      <w:szCs w:val="21"/>
                    </w:rPr>
                  </w:pPr>
                  <w:r>
                    <w:rPr>
                      <w:rFonts w:hint="eastAsia"/>
                      <w:sz w:val="21"/>
                      <w:szCs w:val="21"/>
                    </w:rPr>
                    <w:t>涂装面积</w:t>
                  </w:r>
                </w:p>
              </w:tc>
              <w:tc>
                <w:tcPr>
                  <w:tcW w:w="1555" w:type="dxa"/>
                  <w:shd w:val="clear" w:color="auto" w:fill="auto"/>
                  <w:vAlign w:val="center"/>
                </w:tcPr>
                <w:p w14:paraId="2166F897">
                  <w:pPr>
                    <w:pStyle w:val="200"/>
                    <w:spacing w:line="300" w:lineRule="exact"/>
                    <w:rPr>
                      <w:sz w:val="21"/>
                      <w:szCs w:val="21"/>
                    </w:rPr>
                  </w:pPr>
                  <w:r>
                    <w:rPr>
                      <w:sz w:val="21"/>
                      <w:szCs w:val="21"/>
                    </w:rPr>
                    <w:t>m</w:t>
                  </w:r>
                  <w:r>
                    <w:rPr>
                      <w:sz w:val="21"/>
                      <w:szCs w:val="21"/>
                      <w:vertAlign w:val="superscript"/>
                    </w:rPr>
                    <w:t>2</w:t>
                  </w:r>
                  <w:r>
                    <w:rPr>
                      <w:sz w:val="21"/>
                      <w:szCs w:val="21"/>
                    </w:rPr>
                    <w:t xml:space="preserve"> </w:t>
                  </w:r>
                </w:p>
              </w:tc>
              <w:tc>
                <w:tcPr>
                  <w:tcW w:w="3919" w:type="dxa"/>
                  <w:shd w:val="clear" w:color="auto" w:fill="auto"/>
                  <w:vAlign w:val="center"/>
                </w:tcPr>
                <w:p w14:paraId="390B2F4B">
                  <w:pPr>
                    <w:pStyle w:val="200"/>
                    <w:spacing w:line="300" w:lineRule="exact"/>
                    <w:rPr>
                      <w:rFonts w:hint="default" w:eastAsia="宋体"/>
                      <w:sz w:val="21"/>
                      <w:szCs w:val="21"/>
                      <w:lang w:val="en-US" w:eastAsia="zh-CN"/>
                    </w:rPr>
                  </w:pPr>
                  <w:r>
                    <w:rPr>
                      <w:rFonts w:hint="eastAsia"/>
                      <w:sz w:val="21"/>
                      <w:szCs w:val="21"/>
                      <w:lang w:val="en-US" w:eastAsia="zh-CN"/>
                    </w:rPr>
                    <w:t>4200</w:t>
                  </w:r>
                </w:p>
              </w:tc>
            </w:tr>
            <w:tr w14:paraId="732FC1A4">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880" w:type="dxa"/>
                  <w:vMerge w:val="continue"/>
                  <w:shd w:val="clear" w:color="auto" w:fill="auto"/>
                  <w:vAlign w:val="center"/>
                </w:tcPr>
                <w:p w14:paraId="7336F3E9">
                  <w:pPr>
                    <w:pStyle w:val="200"/>
                    <w:spacing w:line="300" w:lineRule="exact"/>
                    <w:rPr>
                      <w:sz w:val="21"/>
                      <w:szCs w:val="21"/>
                    </w:rPr>
                  </w:pPr>
                </w:p>
              </w:tc>
              <w:tc>
                <w:tcPr>
                  <w:tcW w:w="2064" w:type="dxa"/>
                  <w:shd w:val="clear" w:color="auto" w:fill="auto"/>
                  <w:vAlign w:val="center"/>
                </w:tcPr>
                <w:p w14:paraId="3E78A2B1">
                  <w:pPr>
                    <w:pStyle w:val="200"/>
                    <w:spacing w:line="300" w:lineRule="exact"/>
                    <w:rPr>
                      <w:sz w:val="21"/>
                      <w:szCs w:val="21"/>
                    </w:rPr>
                  </w:pPr>
                  <w:r>
                    <w:rPr>
                      <w:rFonts w:hint="eastAsia"/>
                      <w:sz w:val="21"/>
                      <w:szCs w:val="21"/>
                    </w:rPr>
                    <w:t>塑粉涂层厚度</w:t>
                  </w:r>
                </w:p>
              </w:tc>
              <w:tc>
                <w:tcPr>
                  <w:tcW w:w="1555" w:type="dxa"/>
                  <w:shd w:val="clear" w:color="auto" w:fill="auto"/>
                  <w:vAlign w:val="center"/>
                </w:tcPr>
                <w:p w14:paraId="67CE91BF">
                  <w:pPr>
                    <w:pStyle w:val="200"/>
                    <w:spacing w:line="300" w:lineRule="exact"/>
                    <w:rPr>
                      <w:rFonts w:ascii="Times New Roman" w:hAnsi="Times New Roman" w:cs="Times New Roman"/>
                      <w:sz w:val="21"/>
                      <w:szCs w:val="21"/>
                    </w:rPr>
                  </w:pPr>
                  <w:r>
                    <w:rPr>
                      <w:rFonts w:ascii="Times New Roman" w:hAnsi="Times New Roman" w:cs="Times New Roman"/>
                      <w:sz w:val="21"/>
                      <w:szCs w:val="21"/>
                    </w:rPr>
                    <w:t>μm</w:t>
                  </w:r>
                </w:p>
              </w:tc>
              <w:tc>
                <w:tcPr>
                  <w:tcW w:w="3919" w:type="dxa"/>
                  <w:shd w:val="clear" w:color="auto" w:fill="auto"/>
                  <w:vAlign w:val="center"/>
                </w:tcPr>
                <w:p w14:paraId="25996CA3">
                  <w:pPr>
                    <w:pStyle w:val="200"/>
                    <w:spacing w:line="300" w:lineRule="exact"/>
                    <w:rPr>
                      <w:sz w:val="21"/>
                      <w:szCs w:val="21"/>
                    </w:rPr>
                  </w:pPr>
                  <w:r>
                    <w:rPr>
                      <w:sz w:val="21"/>
                      <w:szCs w:val="21"/>
                    </w:rPr>
                    <w:t>5</w:t>
                  </w:r>
                  <w:r>
                    <w:rPr>
                      <w:rFonts w:hint="eastAsia"/>
                      <w:sz w:val="21"/>
                      <w:szCs w:val="21"/>
                      <w:lang w:val="en-US" w:eastAsia="zh-CN"/>
                    </w:rPr>
                    <w:t>5</w:t>
                  </w:r>
                  <w:r>
                    <w:rPr>
                      <w:sz w:val="21"/>
                      <w:szCs w:val="21"/>
                    </w:rPr>
                    <w:t>0</w:t>
                  </w:r>
                </w:p>
              </w:tc>
            </w:tr>
            <w:tr w14:paraId="0DCD58D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880" w:type="dxa"/>
                  <w:vMerge w:val="continue"/>
                  <w:shd w:val="clear" w:color="auto" w:fill="auto"/>
                  <w:vAlign w:val="center"/>
                </w:tcPr>
                <w:p w14:paraId="12999494">
                  <w:pPr>
                    <w:pStyle w:val="200"/>
                    <w:spacing w:line="300" w:lineRule="exact"/>
                    <w:rPr>
                      <w:sz w:val="21"/>
                      <w:szCs w:val="21"/>
                    </w:rPr>
                  </w:pPr>
                </w:p>
              </w:tc>
              <w:tc>
                <w:tcPr>
                  <w:tcW w:w="2064" w:type="dxa"/>
                  <w:shd w:val="clear" w:color="auto" w:fill="auto"/>
                  <w:vAlign w:val="center"/>
                </w:tcPr>
                <w:p w14:paraId="4E789D3C">
                  <w:pPr>
                    <w:pStyle w:val="200"/>
                    <w:spacing w:line="300" w:lineRule="exact"/>
                    <w:rPr>
                      <w:sz w:val="21"/>
                      <w:szCs w:val="21"/>
                    </w:rPr>
                  </w:pPr>
                  <w:r>
                    <w:rPr>
                      <w:rFonts w:hint="eastAsia"/>
                      <w:sz w:val="21"/>
                      <w:szCs w:val="21"/>
                    </w:rPr>
                    <w:t>塑粉挥发分</w:t>
                  </w:r>
                </w:p>
              </w:tc>
              <w:tc>
                <w:tcPr>
                  <w:tcW w:w="1555" w:type="dxa"/>
                  <w:shd w:val="clear" w:color="auto" w:fill="auto"/>
                  <w:vAlign w:val="center"/>
                </w:tcPr>
                <w:p w14:paraId="04A61390">
                  <w:pPr>
                    <w:pStyle w:val="200"/>
                    <w:spacing w:line="300" w:lineRule="exact"/>
                    <w:rPr>
                      <w:sz w:val="21"/>
                      <w:szCs w:val="21"/>
                    </w:rPr>
                  </w:pPr>
                  <w:r>
                    <w:rPr>
                      <w:sz w:val="21"/>
                      <w:szCs w:val="21"/>
                    </w:rPr>
                    <w:t>%</w:t>
                  </w:r>
                </w:p>
              </w:tc>
              <w:tc>
                <w:tcPr>
                  <w:tcW w:w="3919" w:type="dxa"/>
                  <w:shd w:val="clear" w:color="auto" w:fill="auto"/>
                  <w:vAlign w:val="center"/>
                </w:tcPr>
                <w:p w14:paraId="3FF99397">
                  <w:pPr>
                    <w:pStyle w:val="200"/>
                    <w:spacing w:line="300" w:lineRule="exact"/>
                    <w:rPr>
                      <w:sz w:val="21"/>
                      <w:szCs w:val="21"/>
                    </w:rPr>
                  </w:pPr>
                  <w:r>
                    <w:rPr>
                      <w:sz w:val="21"/>
                      <w:szCs w:val="21"/>
                    </w:rPr>
                    <w:t>0.6</w:t>
                  </w:r>
                </w:p>
              </w:tc>
            </w:tr>
            <w:tr w14:paraId="2EA0351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jc w:val="center"/>
              </w:trPr>
              <w:tc>
                <w:tcPr>
                  <w:tcW w:w="1880" w:type="dxa"/>
                  <w:vMerge w:val="continue"/>
                  <w:shd w:val="clear" w:color="auto" w:fill="auto"/>
                  <w:vAlign w:val="center"/>
                </w:tcPr>
                <w:p w14:paraId="4FAEDF4C">
                  <w:pPr>
                    <w:pStyle w:val="200"/>
                    <w:spacing w:line="300" w:lineRule="exact"/>
                    <w:rPr>
                      <w:sz w:val="21"/>
                      <w:szCs w:val="21"/>
                    </w:rPr>
                  </w:pPr>
                </w:p>
              </w:tc>
              <w:tc>
                <w:tcPr>
                  <w:tcW w:w="2064" w:type="dxa"/>
                  <w:shd w:val="clear" w:color="auto" w:fill="auto"/>
                  <w:vAlign w:val="center"/>
                </w:tcPr>
                <w:p w14:paraId="7FDABAD0">
                  <w:pPr>
                    <w:pStyle w:val="200"/>
                    <w:spacing w:line="300" w:lineRule="exact"/>
                    <w:rPr>
                      <w:sz w:val="21"/>
                      <w:szCs w:val="21"/>
                    </w:rPr>
                  </w:pPr>
                  <w:r>
                    <w:rPr>
                      <w:rFonts w:hint="eastAsia"/>
                      <w:sz w:val="21"/>
                      <w:szCs w:val="21"/>
                    </w:rPr>
                    <w:t>塑粉附着率</w:t>
                  </w:r>
                </w:p>
              </w:tc>
              <w:tc>
                <w:tcPr>
                  <w:tcW w:w="1555" w:type="dxa"/>
                  <w:shd w:val="clear" w:color="auto" w:fill="auto"/>
                  <w:vAlign w:val="center"/>
                </w:tcPr>
                <w:p w14:paraId="667624AB">
                  <w:pPr>
                    <w:pStyle w:val="200"/>
                    <w:spacing w:line="300" w:lineRule="exact"/>
                    <w:rPr>
                      <w:sz w:val="21"/>
                      <w:szCs w:val="21"/>
                    </w:rPr>
                  </w:pPr>
                  <w:r>
                    <w:rPr>
                      <w:rFonts w:hint="eastAsia"/>
                      <w:sz w:val="21"/>
                      <w:szCs w:val="21"/>
                    </w:rPr>
                    <w:t>%</w:t>
                  </w:r>
                </w:p>
              </w:tc>
              <w:tc>
                <w:tcPr>
                  <w:tcW w:w="3919" w:type="dxa"/>
                  <w:shd w:val="clear" w:color="auto" w:fill="auto"/>
                  <w:vAlign w:val="center"/>
                </w:tcPr>
                <w:p w14:paraId="54D49FAF">
                  <w:pPr>
                    <w:pStyle w:val="200"/>
                    <w:spacing w:line="300" w:lineRule="exact"/>
                    <w:rPr>
                      <w:sz w:val="21"/>
                      <w:szCs w:val="21"/>
                    </w:rPr>
                  </w:pPr>
                  <w:r>
                    <w:rPr>
                      <w:sz w:val="21"/>
                      <w:szCs w:val="21"/>
                    </w:rPr>
                    <w:t>70</w:t>
                  </w:r>
                </w:p>
              </w:tc>
            </w:tr>
          </w:tbl>
          <w:p w14:paraId="659FAB47">
            <w:pPr>
              <w:spacing w:line="360" w:lineRule="auto"/>
              <w:ind w:firstLine="420" w:firstLineChars="200"/>
              <w:rPr>
                <w:szCs w:val="21"/>
              </w:rPr>
            </w:pPr>
            <w:r>
              <w:rPr>
                <w:rFonts w:hint="eastAsia"/>
                <w:szCs w:val="21"/>
              </w:rPr>
              <w:t>参考涂装用量计算公式为：</w:t>
            </w:r>
          </w:p>
          <w:p w14:paraId="5C813806">
            <w:pPr>
              <w:spacing w:line="360" w:lineRule="auto"/>
              <w:ind w:firstLine="482"/>
              <w:rPr>
                <w:b/>
                <w:bCs/>
                <w:i/>
              </w:rPr>
            </w:pPr>
            <m:oMathPara>
              <m:oMath>
                <m:r>
                  <m:rPr>
                    <m:sty m:val="bi"/>
                  </m:rPr>
                  <w:rPr>
                    <w:rFonts w:ascii="Cambria Math" w:hAnsi="Cambria Math"/>
                  </w:rPr>
                  <m:t>m=ρδs×</m:t>
                </m:r>
                <m:sSup>
                  <m:sSupPr>
                    <m:ctrlPr>
                      <w:rPr>
                        <w:rFonts w:ascii="Cambria Math" w:hAnsi="Cambria Math"/>
                        <w:b/>
                        <w:bCs/>
                        <w:i/>
                      </w:rPr>
                    </m:ctrlPr>
                  </m:sSupPr>
                  <m:e>
                    <m:r>
                      <m:rPr>
                        <m:sty m:val="bi"/>
                      </m:rPr>
                      <w:rPr>
                        <w:rFonts w:ascii="Cambria Math" w:hAnsi="Cambria Math"/>
                      </w:rPr>
                      <m:t>10</m:t>
                    </m:r>
                    <m:ctrlPr>
                      <w:rPr>
                        <w:rFonts w:ascii="Cambria Math" w:hAnsi="Cambria Math"/>
                        <w:b/>
                        <w:bCs/>
                        <w:i/>
                      </w:rPr>
                    </m:ctrlPr>
                  </m:e>
                  <m:sup>
                    <m:r>
                      <m:rPr>
                        <m:sty m:val="bi"/>
                      </m:rPr>
                      <w:rPr>
                        <w:rFonts w:ascii="Cambria Math" w:hAnsi="Cambria Math"/>
                      </w:rPr>
                      <m:t>−6</m:t>
                    </m:r>
                    <m:ctrlPr>
                      <w:rPr>
                        <w:rFonts w:ascii="Cambria Math" w:hAnsi="Cambria Math"/>
                        <w:b/>
                        <w:bCs/>
                        <w:i/>
                      </w:rPr>
                    </m:ctrlPr>
                  </m:sup>
                </m:sSup>
                <m:r>
                  <m:rPr>
                    <m:sty m:val="bi"/>
                  </m:rPr>
                  <w:rPr>
                    <w:rFonts w:ascii="Cambria Math" w:hAnsi="Cambria Math"/>
                  </w:rPr>
                  <m:t>/</m:t>
                </m:r>
                <m:d>
                  <m:dPr>
                    <m:ctrlPr>
                      <w:rPr>
                        <w:rFonts w:ascii="Cambria Math" w:hAnsi="Cambria Math"/>
                        <w:b/>
                        <w:bCs/>
                        <w:i/>
                      </w:rPr>
                    </m:ctrlPr>
                  </m:dPr>
                  <m:e>
                    <m:r>
                      <m:rPr>
                        <m:sty m:val="bi"/>
                      </m:rPr>
                      <w:rPr>
                        <w:rFonts w:ascii="Cambria Math" w:hAnsi="Cambria Math"/>
                      </w:rPr>
                      <m:t>NV∙ε</m:t>
                    </m:r>
                    <m:ctrlPr>
                      <w:rPr>
                        <w:rFonts w:ascii="Cambria Math" w:hAnsi="Cambria Math"/>
                        <w:b/>
                        <w:bCs/>
                        <w:i/>
                      </w:rPr>
                    </m:ctrlPr>
                  </m:e>
                </m:d>
              </m:oMath>
            </m:oMathPara>
          </w:p>
          <w:p w14:paraId="4D8EDAE2">
            <w:pPr>
              <w:spacing w:line="360" w:lineRule="auto"/>
              <w:ind w:firstLine="420" w:firstLineChars="200"/>
              <w:rPr>
                <w:szCs w:val="21"/>
              </w:rPr>
            </w:pPr>
            <w:r>
              <w:rPr>
                <w:szCs w:val="21"/>
              </w:rPr>
              <w:t>其中：m——某种</w:t>
            </w:r>
            <w:r>
              <w:rPr>
                <w:rFonts w:hint="eastAsia"/>
                <w:szCs w:val="21"/>
              </w:rPr>
              <w:t>涂料</w:t>
            </w:r>
            <w:r>
              <w:rPr>
                <w:szCs w:val="21"/>
              </w:rPr>
              <w:t>用量（t/a）；</w:t>
            </w:r>
          </w:p>
          <w:p w14:paraId="29137627">
            <w:pPr>
              <w:spacing w:line="360" w:lineRule="auto"/>
              <w:ind w:firstLine="420" w:firstLineChars="200"/>
              <w:rPr>
                <w:szCs w:val="21"/>
              </w:rPr>
            </w:pPr>
            <w:r>
              <w:rPr>
                <w:szCs w:val="21"/>
              </w:rPr>
              <w:t>ρ——该</w:t>
            </w:r>
            <w:r>
              <w:rPr>
                <w:rFonts w:hint="eastAsia"/>
                <w:szCs w:val="21"/>
              </w:rPr>
              <w:t>涂料</w:t>
            </w:r>
            <w:r>
              <w:rPr>
                <w:szCs w:val="21"/>
              </w:rPr>
              <w:t>密度，单位：g/cm</w:t>
            </w:r>
            <w:r>
              <w:rPr>
                <w:szCs w:val="21"/>
                <w:vertAlign w:val="superscript"/>
              </w:rPr>
              <w:t>3</w:t>
            </w:r>
            <w:r>
              <w:rPr>
                <w:szCs w:val="21"/>
              </w:rPr>
              <w:t>；</w:t>
            </w:r>
          </w:p>
          <w:p w14:paraId="5F878A04">
            <w:pPr>
              <w:spacing w:line="360" w:lineRule="auto"/>
              <w:ind w:firstLine="420" w:firstLineChars="200"/>
              <w:rPr>
                <w:szCs w:val="21"/>
              </w:rPr>
            </w:pPr>
            <w:r>
              <w:rPr>
                <w:szCs w:val="21"/>
              </w:rPr>
              <w:t>δ——涂层厚度（</w:t>
            </w:r>
            <w:r>
              <w:rPr>
                <w:rFonts w:ascii="Times New Roman" w:hAnsi="Times New Roman" w:cs="Times New Roman"/>
                <w:szCs w:val="21"/>
              </w:rPr>
              <w:t>μm</w:t>
            </w:r>
            <w:r>
              <w:rPr>
                <w:szCs w:val="21"/>
              </w:rPr>
              <w:t>）；</w:t>
            </w:r>
          </w:p>
          <w:p w14:paraId="1364380B">
            <w:pPr>
              <w:spacing w:line="360" w:lineRule="auto"/>
              <w:ind w:firstLine="420" w:firstLineChars="200"/>
              <w:rPr>
                <w:szCs w:val="21"/>
              </w:rPr>
            </w:pPr>
            <w:r>
              <w:rPr>
                <w:szCs w:val="21"/>
              </w:rPr>
              <w:t>s——涂装面积（m</w:t>
            </w:r>
            <w:r>
              <w:rPr>
                <w:szCs w:val="21"/>
                <w:vertAlign w:val="superscript"/>
              </w:rPr>
              <w:t>2</w:t>
            </w:r>
            <w:r>
              <w:rPr>
                <w:szCs w:val="21"/>
              </w:rPr>
              <w:t>）；</w:t>
            </w:r>
          </w:p>
          <w:p w14:paraId="227498D2">
            <w:pPr>
              <w:spacing w:line="360" w:lineRule="auto"/>
              <w:ind w:firstLine="420" w:firstLineChars="200"/>
              <w:rPr>
                <w:szCs w:val="21"/>
              </w:rPr>
            </w:pPr>
            <w:r>
              <w:rPr>
                <w:szCs w:val="21"/>
              </w:rPr>
              <w:t>NV——该</w:t>
            </w:r>
            <w:r>
              <w:rPr>
                <w:rFonts w:hint="eastAsia"/>
                <w:szCs w:val="21"/>
              </w:rPr>
              <w:t>涂料</w:t>
            </w:r>
            <w:r>
              <w:rPr>
                <w:szCs w:val="21"/>
              </w:rPr>
              <w:t>中的固体份（%）；</w:t>
            </w:r>
          </w:p>
          <w:p w14:paraId="75EE6408">
            <w:pPr>
              <w:spacing w:line="360" w:lineRule="auto"/>
              <w:ind w:firstLine="420" w:firstLineChars="200"/>
              <w:rPr>
                <w:szCs w:val="21"/>
              </w:rPr>
            </w:pPr>
            <w:r>
              <w:rPr>
                <w:szCs w:val="21"/>
              </w:rPr>
              <w:t>ε——</w:t>
            </w:r>
            <w:r>
              <w:rPr>
                <w:rFonts w:hint="eastAsia"/>
                <w:szCs w:val="21"/>
              </w:rPr>
              <w:t>涂料附着</w:t>
            </w:r>
            <w:r>
              <w:rPr>
                <w:szCs w:val="21"/>
              </w:rPr>
              <w:t>率。</w:t>
            </w:r>
          </w:p>
          <w:p w14:paraId="5202FD70">
            <w:pPr>
              <w:spacing w:line="360" w:lineRule="auto"/>
              <w:ind w:firstLine="420" w:firstLineChars="200"/>
              <w:rPr>
                <w:szCs w:val="21"/>
              </w:rPr>
            </w:pPr>
            <w:r>
              <w:rPr>
                <w:rFonts w:hint="eastAsia"/>
                <w:szCs w:val="21"/>
              </w:rPr>
              <w:t>根据表</w:t>
            </w:r>
            <w:r>
              <w:rPr>
                <w:rFonts w:hint="eastAsia"/>
                <w:szCs w:val="21"/>
                <w:lang w:val="en-US" w:eastAsia="zh-CN"/>
              </w:rPr>
              <w:t>2-19</w:t>
            </w:r>
            <w:r>
              <w:rPr>
                <w:rFonts w:hint="eastAsia"/>
                <w:szCs w:val="21"/>
              </w:rPr>
              <w:t>，喷塑使用计算参数见下表。</w:t>
            </w:r>
          </w:p>
          <w:p w14:paraId="00BC1CD3">
            <w:pPr>
              <w:spacing w:line="360" w:lineRule="auto"/>
              <w:ind w:firstLine="422" w:firstLineChars="200"/>
              <w:jc w:val="center"/>
              <w:rPr>
                <w:rFonts w:hint="eastAsia" w:ascii="宋体" w:hAnsi="宋体" w:eastAsia="宋体" w:cs="宋体"/>
                <w:b/>
                <w:bCs/>
                <w:lang w:val="de-DE"/>
              </w:rPr>
            </w:pPr>
            <w:r>
              <w:rPr>
                <w:rFonts w:hint="eastAsia" w:ascii="宋体" w:hAnsi="宋体" w:eastAsia="宋体" w:cs="宋体"/>
                <w:b/>
                <w:bCs/>
                <w:lang w:val="de-DE"/>
              </w:rPr>
              <w:t>表</w:t>
            </w:r>
            <w:r>
              <w:rPr>
                <w:rFonts w:hint="eastAsia" w:ascii="宋体" w:hAnsi="宋体" w:eastAsia="宋体" w:cs="宋体"/>
                <w:b/>
                <w:bCs/>
                <w:lang w:val="en-US" w:eastAsia="zh-CN"/>
              </w:rPr>
              <w:t>2-19</w:t>
            </w:r>
            <w:r>
              <w:rPr>
                <w:rFonts w:hint="eastAsia" w:ascii="宋体" w:hAnsi="宋体" w:eastAsia="宋体" w:cs="宋体"/>
                <w:b/>
                <w:bCs/>
                <w:lang w:val="de-DE"/>
              </w:rPr>
              <w:t xml:space="preserve">  塑粉用量计算参数一览表</w:t>
            </w:r>
          </w:p>
          <w:tbl>
            <w:tblPr>
              <w:tblStyle w:val="81"/>
              <w:tblW w:w="5000" w:type="pct"/>
              <w:jc w:val="center"/>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Layout w:type="autofit"/>
              <w:tblCellMar>
                <w:top w:w="0" w:type="dxa"/>
                <w:left w:w="0" w:type="dxa"/>
                <w:bottom w:w="0" w:type="dxa"/>
                <w:right w:w="0" w:type="dxa"/>
              </w:tblCellMar>
            </w:tblPr>
            <w:tblGrid>
              <w:gridCol w:w="768"/>
              <w:gridCol w:w="1084"/>
              <w:gridCol w:w="960"/>
              <w:gridCol w:w="1024"/>
              <w:gridCol w:w="790"/>
              <w:gridCol w:w="631"/>
              <w:gridCol w:w="1106"/>
              <w:gridCol w:w="1106"/>
              <w:gridCol w:w="950"/>
            </w:tblGrid>
            <w:tr w14:paraId="3086F98A">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jc w:val="center"/>
              </w:trPr>
              <w:tc>
                <w:tcPr>
                  <w:tcW w:w="456" w:type="pct"/>
                  <w:shd w:val="clear" w:color="auto" w:fill="auto"/>
                  <w:vAlign w:val="center"/>
                </w:tcPr>
                <w:p w14:paraId="19D3F191">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涂层</w:t>
                  </w:r>
                </w:p>
              </w:tc>
              <w:tc>
                <w:tcPr>
                  <w:tcW w:w="644" w:type="pct"/>
                  <w:shd w:val="clear" w:color="auto" w:fill="auto"/>
                  <w:vAlign w:val="center"/>
                </w:tcPr>
                <w:p w14:paraId="07B9F0EA">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塑粉密度ρ（g/cm</w:t>
                  </w:r>
                  <w:r>
                    <w:rPr>
                      <w:rFonts w:hint="default" w:ascii="Times New Roman" w:hAnsi="Times New Roman" w:cs="Times New Roman"/>
                      <w:sz w:val="21"/>
                      <w:szCs w:val="21"/>
                      <w:vertAlign w:val="superscript"/>
                    </w:rPr>
                    <w:t>3</w:t>
                  </w:r>
                  <w:r>
                    <w:rPr>
                      <w:rFonts w:hint="default" w:ascii="Times New Roman" w:hAnsi="Times New Roman" w:cs="Times New Roman"/>
                      <w:sz w:val="21"/>
                      <w:szCs w:val="21"/>
                    </w:rPr>
                    <w:t>）</w:t>
                  </w:r>
                </w:p>
              </w:tc>
              <w:tc>
                <w:tcPr>
                  <w:tcW w:w="570" w:type="pct"/>
                  <w:shd w:val="clear" w:color="auto" w:fill="auto"/>
                  <w:vAlign w:val="center"/>
                </w:tcPr>
                <w:p w14:paraId="4AF923A2">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塑粉膜厚度δ（μm）</w:t>
                  </w:r>
                </w:p>
              </w:tc>
              <w:tc>
                <w:tcPr>
                  <w:tcW w:w="608" w:type="pct"/>
                  <w:shd w:val="clear" w:color="auto" w:fill="auto"/>
                  <w:vAlign w:val="center"/>
                </w:tcPr>
                <w:p w14:paraId="025895E2">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涂装总面积s（万m</w:t>
                  </w:r>
                  <w:r>
                    <w:rPr>
                      <w:rFonts w:hint="default" w:ascii="Times New Roman" w:hAnsi="Times New Roman" w:cs="Times New Roman"/>
                      <w:sz w:val="21"/>
                      <w:szCs w:val="21"/>
                      <w:vertAlign w:val="superscript"/>
                    </w:rPr>
                    <w:t>2</w:t>
                  </w:r>
                  <w:r>
                    <w:rPr>
                      <w:rFonts w:hint="default" w:ascii="Times New Roman" w:hAnsi="Times New Roman" w:cs="Times New Roman"/>
                      <w:sz w:val="21"/>
                      <w:szCs w:val="21"/>
                    </w:rPr>
                    <w:t>）</w:t>
                  </w:r>
                </w:p>
              </w:tc>
              <w:tc>
                <w:tcPr>
                  <w:tcW w:w="469" w:type="pct"/>
                  <w:shd w:val="clear" w:color="auto" w:fill="auto"/>
                  <w:vAlign w:val="center"/>
                </w:tcPr>
                <w:p w14:paraId="058B0F92">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塑粉中的固体份NV</w:t>
                  </w:r>
                </w:p>
              </w:tc>
              <w:tc>
                <w:tcPr>
                  <w:tcW w:w="375" w:type="pct"/>
                  <w:shd w:val="clear" w:color="auto" w:fill="auto"/>
                  <w:vAlign w:val="center"/>
                </w:tcPr>
                <w:p w14:paraId="07F6AEFB">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附着率ε</w:t>
                  </w:r>
                </w:p>
              </w:tc>
              <w:tc>
                <w:tcPr>
                  <w:tcW w:w="657" w:type="pct"/>
                  <w:shd w:val="clear" w:color="auto" w:fill="auto"/>
                  <w:vAlign w:val="center"/>
                </w:tcPr>
                <w:p w14:paraId="64144450">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塑粉年用量（t/a）</w:t>
                  </w:r>
                </w:p>
              </w:tc>
              <w:tc>
                <w:tcPr>
                  <w:tcW w:w="657" w:type="pct"/>
                  <w:shd w:val="clear" w:color="auto" w:fill="auto"/>
                  <w:vAlign w:val="center"/>
                </w:tcPr>
                <w:p w14:paraId="2F4DAD6D">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喷涂时塑粉附着量（t/a）</w:t>
                  </w:r>
                </w:p>
              </w:tc>
              <w:tc>
                <w:tcPr>
                  <w:tcW w:w="564" w:type="pct"/>
                  <w:shd w:val="clear" w:color="auto" w:fill="auto"/>
                  <w:vAlign w:val="center"/>
                </w:tcPr>
                <w:p w14:paraId="77C88E17">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喷涂时塑粉未附着量（t/a）</w:t>
                  </w:r>
                </w:p>
              </w:tc>
            </w:tr>
            <w:tr w14:paraId="25B8C2BF">
              <w:tblPrEx>
                <w:tblBorders>
                  <w:top w:val="single" w:color="auto" w:sz="2" w:space="0"/>
                  <w:left w:val="single" w:color="auto" w:sz="2" w:space="0"/>
                  <w:bottom w:val="single" w:color="auto" w:sz="2" w:space="0"/>
                  <w:right w:val="single" w:color="auto" w:sz="2" w:space="0"/>
                  <w:insideH w:val="single" w:color="auto" w:sz="4" w:space="0"/>
                  <w:insideV w:val="single" w:color="auto" w:sz="4" w:space="0"/>
                </w:tblBorders>
                <w:tblCellMar>
                  <w:top w:w="0" w:type="dxa"/>
                  <w:left w:w="0" w:type="dxa"/>
                  <w:bottom w:w="0" w:type="dxa"/>
                  <w:right w:w="0" w:type="dxa"/>
                </w:tblCellMar>
              </w:tblPrEx>
              <w:trPr>
                <w:trHeight w:val="451" w:hRule="atLeast"/>
                <w:jc w:val="center"/>
              </w:trPr>
              <w:tc>
                <w:tcPr>
                  <w:tcW w:w="456" w:type="pct"/>
                  <w:shd w:val="clear" w:color="auto" w:fill="auto"/>
                  <w:vAlign w:val="center"/>
                </w:tcPr>
                <w:p w14:paraId="530FAAC0">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1层</w:t>
                  </w:r>
                </w:p>
              </w:tc>
              <w:tc>
                <w:tcPr>
                  <w:tcW w:w="644" w:type="pct"/>
                  <w:shd w:val="clear" w:color="auto" w:fill="auto"/>
                  <w:vAlign w:val="center"/>
                </w:tcPr>
                <w:p w14:paraId="7174F695">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1.5</w:t>
                  </w:r>
                </w:p>
              </w:tc>
              <w:tc>
                <w:tcPr>
                  <w:tcW w:w="570" w:type="pct"/>
                  <w:shd w:val="clear" w:color="auto" w:fill="auto"/>
                  <w:vAlign w:val="center"/>
                </w:tcPr>
                <w:p w14:paraId="7C3EC1B7">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5</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0</w:t>
                  </w:r>
                </w:p>
              </w:tc>
              <w:tc>
                <w:tcPr>
                  <w:tcW w:w="608" w:type="pct"/>
                  <w:shd w:val="clear" w:color="auto" w:fill="auto"/>
                  <w:vAlign w:val="center"/>
                </w:tcPr>
                <w:p w14:paraId="06DC2347">
                  <w:pPr>
                    <w:pStyle w:val="200"/>
                    <w:spacing w:line="240" w:lineRule="exac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0.42</w:t>
                  </w:r>
                </w:p>
              </w:tc>
              <w:tc>
                <w:tcPr>
                  <w:tcW w:w="469" w:type="pct"/>
                  <w:shd w:val="clear" w:color="auto" w:fill="auto"/>
                  <w:vAlign w:val="center"/>
                </w:tcPr>
                <w:p w14:paraId="4ADEB946">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99.4</w:t>
                  </w:r>
                </w:p>
              </w:tc>
              <w:tc>
                <w:tcPr>
                  <w:tcW w:w="375" w:type="pct"/>
                  <w:shd w:val="clear" w:color="auto" w:fill="auto"/>
                  <w:vAlign w:val="center"/>
                </w:tcPr>
                <w:p w14:paraId="33B0674D">
                  <w:pPr>
                    <w:pStyle w:val="200"/>
                    <w:spacing w:line="240" w:lineRule="exact"/>
                    <w:rPr>
                      <w:rFonts w:hint="default" w:ascii="Times New Roman" w:hAnsi="Times New Roman" w:cs="Times New Roman"/>
                      <w:sz w:val="21"/>
                      <w:szCs w:val="21"/>
                    </w:rPr>
                  </w:pPr>
                  <w:r>
                    <w:rPr>
                      <w:rFonts w:hint="default" w:ascii="Times New Roman" w:hAnsi="Times New Roman" w:cs="Times New Roman"/>
                      <w:sz w:val="21"/>
                      <w:szCs w:val="21"/>
                    </w:rPr>
                    <w:t>70</w:t>
                  </w:r>
                </w:p>
              </w:tc>
              <w:tc>
                <w:tcPr>
                  <w:tcW w:w="657" w:type="pct"/>
                  <w:shd w:val="clear" w:color="auto" w:fill="auto"/>
                  <w:vAlign w:val="center"/>
                </w:tcPr>
                <w:p w14:paraId="11DA704B">
                  <w:pPr>
                    <w:pStyle w:val="200"/>
                    <w:spacing w:line="240" w:lineRule="exac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4.98</w:t>
                  </w:r>
                </w:p>
              </w:tc>
              <w:tc>
                <w:tcPr>
                  <w:tcW w:w="657" w:type="pct"/>
                  <w:shd w:val="clear" w:color="auto" w:fill="auto"/>
                  <w:vAlign w:val="center"/>
                </w:tcPr>
                <w:p w14:paraId="6EFB7C64">
                  <w:pPr>
                    <w:pStyle w:val="200"/>
                    <w:spacing w:line="240" w:lineRule="exac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3.486</w:t>
                  </w:r>
                </w:p>
              </w:tc>
              <w:tc>
                <w:tcPr>
                  <w:tcW w:w="564" w:type="pct"/>
                  <w:shd w:val="clear" w:color="auto" w:fill="auto"/>
                  <w:vAlign w:val="center"/>
                </w:tcPr>
                <w:p w14:paraId="37191E83">
                  <w:pPr>
                    <w:pStyle w:val="200"/>
                    <w:spacing w:line="240" w:lineRule="exact"/>
                    <w:rPr>
                      <w:rFonts w:hint="default" w:ascii="Times New Roman" w:hAnsi="Times New Roman" w:eastAsia="宋体" w:cs="Times New Roman"/>
                      <w:sz w:val="21"/>
                      <w:szCs w:val="21"/>
                      <w:lang w:val="en-US" w:eastAsia="zh-CN"/>
                    </w:rPr>
                  </w:pPr>
                  <w:r>
                    <w:rPr>
                      <w:rFonts w:hint="default" w:ascii="Times New Roman" w:hAnsi="Times New Roman" w:cs="Times New Roman"/>
                      <w:sz w:val="21"/>
                      <w:szCs w:val="21"/>
                      <w:lang w:val="en-US" w:eastAsia="zh-CN"/>
                    </w:rPr>
                    <w:t>1.494</w:t>
                  </w:r>
                </w:p>
              </w:tc>
            </w:tr>
          </w:tbl>
          <w:p w14:paraId="0025893B">
            <w:pPr>
              <w:autoSpaceDE w:val="0"/>
              <w:autoSpaceDN w:val="0"/>
              <w:adjustRightInd w:val="0"/>
              <w:snapToGrid w:val="0"/>
              <w:spacing w:line="360" w:lineRule="auto"/>
              <w:jc w:val="left"/>
              <w:rPr>
                <w:rFonts w:hint="default" w:eastAsia="宋体"/>
                <w:b/>
                <w:bCs/>
                <w:lang w:val="en-US" w:eastAsia="zh-CN"/>
              </w:rPr>
            </w:pPr>
            <w:r>
              <w:rPr>
                <w:rFonts w:hint="eastAsia"/>
                <w:b/>
                <w:bCs/>
                <w:lang w:val="en-US" w:eastAsia="zh-CN"/>
              </w:rPr>
              <w:t xml:space="preserve">         </w:t>
            </w:r>
            <w:r>
              <w:rPr>
                <w:rFonts w:hint="eastAsia"/>
                <w:b w:val="0"/>
                <w:bCs w:val="0"/>
                <w:lang w:val="en-US" w:eastAsia="zh-CN"/>
              </w:rPr>
              <w:t>综上， 本项目塑粉年使用量4.98t/a。</w:t>
            </w:r>
          </w:p>
          <w:p w14:paraId="2139F3BB">
            <w:pPr>
              <w:autoSpaceDE w:val="0"/>
              <w:autoSpaceDN w:val="0"/>
              <w:adjustRightInd w:val="0"/>
              <w:snapToGrid w:val="0"/>
              <w:spacing w:line="360" w:lineRule="auto"/>
              <w:jc w:val="left"/>
              <w:rPr>
                <w:b/>
                <w:bCs/>
                <w:kern w:val="0"/>
              </w:rPr>
            </w:pPr>
            <w:r>
              <w:rPr>
                <w:b/>
                <w:bCs/>
              </w:rPr>
              <w:t>二、主要产排污环节</w:t>
            </w:r>
          </w:p>
          <w:p w14:paraId="099D3548">
            <w:pPr>
              <w:tabs>
                <w:tab w:val="left" w:pos="1680"/>
              </w:tabs>
              <w:adjustRightInd w:val="0"/>
              <w:snapToGrid w:val="0"/>
              <w:spacing w:line="360" w:lineRule="auto"/>
              <w:ind w:firstLine="422" w:firstLineChars="200"/>
              <w:rPr>
                <w:b/>
              </w:rPr>
            </w:pPr>
            <w:r>
              <w:rPr>
                <w:b/>
              </w:rPr>
              <w:t>（1）大气污染物</w:t>
            </w:r>
          </w:p>
          <w:p w14:paraId="676D46FD">
            <w:pPr>
              <w:adjustRightInd w:val="0"/>
              <w:snapToGrid w:val="0"/>
              <w:spacing w:line="360" w:lineRule="auto"/>
              <w:ind w:firstLine="420" w:firstLineChars="200"/>
              <w:rPr>
                <w:rFonts w:hint="eastAsia" w:ascii="宋体" w:hAnsi="宋体" w:eastAsia="宋体" w:cs="Times New Roman"/>
                <w:color w:val="000000"/>
                <w:sz w:val="21"/>
                <w:szCs w:val="21"/>
                <w:lang w:val="zh-CN"/>
              </w:rPr>
            </w:pPr>
            <w:r>
              <w:rPr>
                <w:rFonts w:hint="default" w:ascii="Times New Roman" w:hAnsi="Times New Roman" w:eastAsia="宋体" w:cs="Times New Roman"/>
                <w:sz w:val="21"/>
                <w:szCs w:val="21"/>
                <w:lang w:eastAsia="zh-CN"/>
              </w:rPr>
              <w:t>本项目产生的废气主要为</w:t>
            </w:r>
            <w:r>
              <w:rPr>
                <w:rFonts w:hint="eastAsia"/>
                <w:bCs/>
                <w:color w:val="auto"/>
                <w:sz w:val="21"/>
                <w:szCs w:val="21"/>
                <w:lang w:eastAsia="zh-CN"/>
              </w:rPr>
              <w:t>机械加工工序产生的颗粒物（</w:t>
            </w:r>
            <w:r>
              <w:rPr>
                <w:rFonts w:hint="eastAsia"/>
                <w:bCs/>
                <w:color w:val="auto"/>
                <w:sz w:val="21"/>
                <w:szCs w:val="21"/>
                <w:lang w:val="en-US" w:eastAsia="zh-CN"/>
              </w:rPr>
              <w:t>G1.1-G1.4</w:t>
            </w:r>
            <w:r>
              <w:rPr>
                <w:rFonts w:hint="eastAsia"/>
                <w:bCs/>
                <w:color w:val="auto"/>
                <w:sz w:val="21"/>
                <w:szCs w:val="21"/>
                <w:lang w:eastAsia="zh-CN"/>
              </w:rPr>
              <w:t>）；喷漆房涂装工序调漆、喷漆、晾干过程产生的漆雾颗粒、</w:t>
            </w:r>
            <w:r>
              <w:rPr>
                <w:rFonts w:hint="eastAsia"/>
                <w:bCs/>
                <w:color w:val="auto"/>
                <w:sz w:val="21"/>
                <w:szCs w:val="21"/>
                <w:lang w:val="en-US" w:eastAsia="zh-CN"/>
              </w:rPr>
              <w:t>VOCs（</w:t>
            </w:r>
            <w:r>
              <w:rPr>
                <w:rFonts w:hint="eastAsia" w:ascii="Times New Roman" w:hAnsi="Times New Roman" w:cs="Times New Roman"/>
                <w:b w:val="0"/>
                <w:bCs w:val="0"/>
                <w:kern w:val="2"/>
                <w:sz w:val="21"/>
                <w:szCs w:val="21"/>
                <w:lang w:val="en-US" w:eastAsia="zh-CN" w:bidi="ar-SA"/>
              </w:rPr>
              <w:t>G2.1-G2.5</w:t>
            </w:r>
            <w:r>
              <w:rPr>
                <w:rFonts w:hint="eastAsia"/>
                <w:bCs/>
                <w:color w:val="auto"/>
                <w:sz w:val="21"/>
                <w:szCs w:val="21"/>
                <w:lang w:val="en-US" w:eastAsia="zh-CN"/>
              </w:rPr>
              <w:t>）；喷塑工序产生的颗粒物（G2.6），固化工序产生的VOCs（G2.7）；浸漆、烘干工序产生的VOCs、苯乙烯（G16）</w:t>
            </w:r>
            <w:r>
              <w:rPr>
                <w:rFonts w:hint="eastAsia" w:cs="Times New Roman"/>
                <w:b w:val="0"/>
                <w:bCs w:val="0"/>
                <w:kern w:val="2"/>
                <w:sz w:val="21"/>
                <w:szCs w:val="21"/>
                <w:lang w:val="en-US" w:eastAsia="zh-CN" w:bidi="ar-SA"/>
              </w:rPr>
              <w:t>；碳钢板/不锈钢板下料、开孔</w:t>
            </w:r>
            <w:r>
              <w:rPr>
                <w:rFonts w:hint="eastAsia"/>
                <w:bCs/>
                <w:color w:val="auto"/>
                <w:sz w:val="21"/>
                <w:szCs w:val="21"/>
                <w:lang w:eastAsia="zh-CN"/>
              </w:rPr>
              <w:t>产生的颗粒物</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lang w:val="en-US" w:eastAsia="zh-CN"/>
              </w:rPr>
              <w:t>G3</w:t>
            </w:r>
            <w:r>
              <w:rPr>
                <w:rFonts w:hint="eastAsia" w:cs="Times New Roman"/>
                <w:bCs/>
                <w:color w:val="auto"/>
                <w:sz w:val="21"/>
                <w:szCs w:val="21"/>
                <w:lang w:val="en-US" w:eastAsia="zh-CN"/>
              </w:rPr>
              <w:t>.1-G3.10</w:t>
            </w:r>
            <w:r>
              <w:rPr>
                <w:rFonts w:hint="default" w:ascii="Times New Roman" w:hAnsi="Times New Roman" w:cs="Times New Roman"/>
                <w:bCs/>
                <w:color w:val="auto"/>
                <w:sz w:val="21"/>
                <w:szCs w:val="21"/>
                <w:lang w:eastAsia="zh-CN"/>
              </w:rPr>
              <w:t>）；</w:t>
            </w:r>
            <w:r>
              <w:rPr>
                <w:rFonts w:hint="eastAsia" w:cs="Times New Roman"/>
                <w:bCs/>
                <w:color w:val="auto"/>
                <w:sz w:val="21"/>
                <w:szCs w:val="21"/>
                <w:lang w:eastAsia="zh-CN"/>
              </w:rPr>
              <w:t>焊接工序产生的颗粒物（</w:t>
            </w:r>
            <w:r>
              <w:rPr>
                <w:rFonts w:hint="eastAsia" w:cs="Times New Roman"/>
                <w:bCs/>
                <w:color w:val="auto"/>
                <w:sz w:val="21"/>
                <w:szCs w:val="21"/>
                <w:lang w:val="en-US" w:eastAsia="zh-CN"/>
              </w:rPr>
              <w:t>G4.1-G4.12</w:t>
            </w: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w:t>
            </w:r>
            <w:r>
              <w:rPr>
                <w:rFonts w:hint="eastAsia" w:cs="Times New Roman"/>
                <w:bCs/>
                <w:color w:val="auto"/>
                <w:sz w:val="21"/>
                <w:szCs w:val="21"/>
                <w:lang w:eastAsia="zh-CN"/>
              </w:rPr>
              <w:t>开孔工序产生的颗粒物（</w:t>
            </w:r>
            <w:r>
              <w:rPr>
                <w:rFonts w:hint="eastAsia" w:cs="Times New Roman"/>
                <w:bCs/>
                <w:color w:val="auto"/>
                <w:sz w:val="21"/>
                <w:szCs w:val="21"/>
                <w:lang w:val="en-US" w:eastAsia="zh-CN"/>
              </w:rPr>
              <w:t>G10.1、G10.2</w:t>
            </w:r>
            <w:r>
              <w:rPr>
                <w:rFonts w:hint="eastAsia" w:cs="Times New Roman"/>
                <w:bCs/>
                <w:color w:val="auto"/>
                <w:sz w:val="21"/>
                <w:szCs w:val="21"/>
                <w:lang w:eastAsia="zh-CN"/>
              </w:rPr>
              <w:t>）；玻璃钢缠绕罐原料投料、缠绕成型产生的</w:t>
            </w:r>
            <w:r>
              <w:rPr>
                <w:rFonts w:hint="eastAsia" w:ascii="Times New Roman" w:hAnsi="Times New Roman" w:cs="Times New Roman"/>
                <w:b w:val="0"/>
                <w:bCs w:val="0"/>
                <w:kern w:val="2"/>
                <w:sz w:val="21"/>
                <w:szCs w:val="21"/>
                <w:lang w:val="en-US" w:eastAsia="zh-CN" w:bidi="ar-SA"/>
              </w:rPr>
              <w:t>VOCs、苯乙烯（</w:t>
            </w:r>
            <w:r>
              <w:rPr>
                <w:rFonts w:hint="eastAsia" w:cs="Times New Roman"/>
                <w:b w:val="0"/>
                <w:bCs w:val="0"/>
                <w:kern w:val="2"/>
                <w:sz w:val="21"/>
                <w:szCs w:val="21"/>
                <w:lang w:val="en-US" w:eastAsia="zh-CN" w:bidi="ar-SA"/>
              </w:rPr>
              <w:t>G5、</w:t>
            </w:r>
            <w:r>
              <w:rPr>
                <w:rFonts w:hint="eastAsia" w:ascii="Times New Roman" w:hAnsi="Times New Roman" w:cs="Times New Roman"/>
                <w:b w:val="0"/>
                <w:bCs w:val="0"/>
                <w:kern w:val="2"/>
                <w:sz w:val="21"/>
                <w:szCs w:val="21"/>
                <w:lang w:val="en-US" w:eastAsia="zh-CN" w:bidi="ar-SA"/>
              </w:rPr>
              <w:t>G6）</w:t>
            </w:r>
            <w:r>
              <w:rPr>
                <w:rFonts w:hint="eastAsia" w:cs="Times New Roman"/>
                <w:b w:val="0"/>
                <w:bCs w:val="0"/>
                <w:kern w:val="2"/>
                <w:sz w:val="21"/>
                <w:szCs w:val="21"/>
                <w:lang w:val="en-US" w:eastAsia="zh-CN" w:bidi="ar-SA"/>
              </w:rPr>
              <w:t>；常温固化、原料装模、组装、粘接工序产生的</w:t>
            </w:r>
            <w:r>
              <w:rPr>
                <w:rFonts w:hint="eastAsia" w:ascii="Times New Roman" w:hAnsi="Times New Roman" w:cs="Times New Roman"/>
                <w:b w:val="0"/>
                <w:bCs w:val="0"/>
                <w:kern w:val="2"/>
                <w:sz w:val="21"/>
                <w:szCs w:val="21"/>
                <w:lang w:val="en-US" w:eastAsia="zh-CN" w:bidi="ar-SA"/>
              </w:rPr>
              <w:t>VOCs、苯乙烯（G</w:t>
            </w:r>
            <w:r>
              <w:rPr>
                <w:rFonts w:hint="eastAsia" w:cs="Times New Roman"/>
                <w:b w:val="0"/>
                <w:bCs w:val="0"/>
                <w:kern w:val="2"/>
                <w:sz w:val="21"/>
                <w:szCs w:val="21"/>
                <w:lang w:val="en-US" w:eastAsia="zh-CN" w:bidi="ar-SA"/>
              </w:rPr>
              <w:t>7、</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8.1-G8.3、</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9.1、G9.2</w:t>
            </w:r>
            <w:r>
              <w:rPr>
                <w:rFonts w:hint="eastAsia" w:ascii="Times New Roman" w:hAnsi="Times New Roman" w:cs="Times New Roman"/>
                <w:b w:val="0"/>
                <w:bCs w:val="0"/>
                <w:kern w:val="2"/>
                <w:sz w:val="21"/>
                <w:szCs w:val="21"/>
                <w:lang w:val="en-US" w:eastAsia="zh-CN" w:bidi="ar-SA"/>
              </w:rPr>
              <w:t>）</w:t>
            </w:r>
            <w:r>
              <w:rPr>
                <w:rFonts w:hint="eastAsia" w:cs="Times New Roman"/>
                <w:b w:val="0"/>
                <w:bCs w:val="0"/>
                <w:kern w:val="2"/>
                <w:sz w:val="21"/>
                <w:szCs w:val="21"/>
                <w:lang w:val="en-US" w:eastAsia="zh-CN" w:bidi="ar-SA"/>
              </w:rPr>
              <w:t>；PPH缠绕罐加热熔融、缠绕成型、常温固化、人工装模、组装、粘接工序产生的VOCs（</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11、G12、G13.1-G13.3、G14.1、G14.2、G15）</w:t>
            </w:r>
            <w:r>
              <w:rPr>
                <w:rFonts w:hint="default" w:ascii="Times New Roman" w:hAnsi="Times New Roman" w:eastAsia="宋体" w:cs="Times New Roman"/>
                <w:color w:val="000000"/>
                <w:sz w:val="21"/>
                <w:szCs w:val="21"/>
                <w:lang w:val="zh-CN"/>
              </w:rPr>
              <w:t>。</w:t>
            </w:r>
          </w:p>
          <w:p w14:paraId="361B0902">
            <w:pPr>
              <w:tabs>
                <w:tab w:val="left" w:pos="1680"/>
              </w:tabs>
              <w:adjustRightInd w:val="0"/>
              <w:snapToGrid w:val="0"/>
              <w:spacing w:line="360" w:lineRule="auto"/>
              <w:ind w:firstLine="422" w:firstLineChars="200"/>
              <w:rPr>
                <w:b/>
              </w:rPr>
            </w:pPr>
            <w:r>
              <w:rPr>
                <w:b/>
              </w:rPr>
              <w:t>（2）废水</w:t>
            </w:r>
          </w:p>
          <w:p w14:paraId="7CA04988">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sz w:val="21"/>
                <w:szCs w:val="21"/>
                <w:lang w:val="en-US" w:eastAsia="zh-CN"/>
              </w:rPr>
            </w:pPr>
            <w:r>
              <w:rPr>
                <w:rFonts w:hint="eastAsia"/>
                <w:sz w:val="21"/>
                <w:szCs w:val="21"/>
              </w:rPr>
              <w:t>本项目生产</w:t>
            </w:r>
            <w:r>
              <w:rPr>
                <w:rFonts w:hint="eastAsia"/>
                <w:sz w:val="21"/>
                <w:szCs w:val="21"/>
                <w:lang w:eastAsia="zh-CN"/>
              </w:rPr>
              <w:t>过程</w:t>
            </w:r>
            <w:r>
              <w:rPr>
                <w:rFonts w:hint="eastAsia" w:ascii="Times New Roman" w:hAnsi="Times New Roman" w:cs="Times New Roman"/>
                <w:sz w:val="21"/>
                <w:szCs w:val="21"/>
                <w:lang w:eastAsia="zh-CN"/>
              </w:rPr>
              <w:t>锯床冷却用水</w:t>
            </w:r>
            <w:r>
              <w:rPr>
                <w:rFonts w:hint="eastAsia" w:cs="Times New Roman"/>
                <w:sz w:val="21"/>
                <w:szCs w:val="21"/>
                <w:lang w:val="en-US" w:eastAsia="zh-CN"/>
              </w:rPr>
              <w:t>补水、</w:t>
            </w:r>
            <w:r>
              <w:rPr>
                <w:rFonts w:hint="eastAsia" w:ascii="Times New Roman" w:hAnsi="Times New Roman" w:cs="Times New Roman"/>
                <w:sz w:val="21"/>
                <w:szCs w:val="21"/>
                <w:lang w:val="en-US" w:eastAsia="zh-CN"/>
              </w:rPr>
              <w:t>水压试验用水、</w:t>
            </w:r>
            <w:r>
              <w:rPr>
                <w:rFonts w:hint="eastAsia"/>
                <w:sz w:val="21"/>
                <w:szCs w:val="21"/>
                <w:lang w:val="en-US" w:eastAsia="zh-CN"/>
              </w:rPr>
              <w:t>喷砂、磨床、</w:t>
            </w:r>
            <w:r>
              <w:rPr>
                <w:rFonts w:hint="eastAsia" w:ascii="Times New Roman" w:hAnsi="Times New Roman" w:eastAsia="宋体" w:cs="Times New Roman"/>
                <w:sz w:val="21"/>
                <w:szCs w:val="21"/>
                <w:lang w:val="en-US" w:eastAsia="zh-CN"/>
              </w:rPr>
              <w:t>PPH缠绕一体化成型机</w:t>
            </w:r>
            <w:r>
              <w:rPr>
                <w:rFonts w:hint="eastAsia"/>
                <w:sz w:val="21"/>
                <w:szCs w:val="21"/>
                <w:lang w:val="en-US" w:eastAsia="zh-CN"/>
              </w:rPr>
              <w:t>用水补水、</w:t>
            </w:r>
            <w:r>
              <w:rPr>
                <w:rFonts w:hint="eastAsia" w:cs="Times New Roman"/>
                <w:sz w:val="21"/>
                <w:szCs w:val="21"/>
                <w:lang w:val="en-US" w:eastAsia="zh-CN"/>
              </w:rPr>
              <w:t>车间洒水降尘用水</w:t>
            </w:r>
            <w:r>
              <w:rPr>
                <w:rFonts w:hint="eastAsia" w:ascii="Times New Roman" w:hAnsi="Times New Roman" w:cs="Times New Roman"/>
                <w:sz w:val="21"/>
                <w:szCs w:val="21"/>
                <w:lang w:eastAsia="zh-CN"/>
              </w:rPr>
              <w:t>全部蒸发损耗，</w:t>
            </w:r>
            <w:r>
              <w:rPr>
                <w:rFonts w:hint="eastAsia" w:ascii="Times New Roman" w:hAnsi="Times New Roman" w:cs="Times New Roman"/>
                <w:sz w:val="21"/>
                <w:szCs w:val="21"/>
                <w:lang w:val="en-US" w:eastAsia="zh-CN"/>
              </w:rPr>
              <w:t>无废水产生</w:t>
            </w:r>
            <w:r>
              <w:rPr>
                <w:rFonts w:hint="eastAsia"/>
                <w:sz w:val="21"/>
                <w:szCs w:val="21"/>
                <w:lang w:val="en-US" w:eastAsia="zh-CN"/>
              </w:rPr>
              <w:t>。</w:t>
            </w:r>
            <w:r>
              <w:rPr>
                <w:rFonts w:hint="default"/>
                <w:sz w:val="21"/>
                <w:szCs w:val="21"/>
              </w:rPr>
              <w:t>职工生活污水经化粪池预处理后，</w:t>
            </w:r>
            <w:r>
              <w:rPr>
                <w:rFonts w:hint="eastAsia"/>
                <w:sz w:val="21"/>
                <w:szCs w:val="21"/>
                <w:lang w:eastAsia="zh-CN"/>
              </w:rPr>
              <w:t>经污水管网排入淄博市利民净化水有限公司</w:t>
            </w:r>
            <w:r>
              <w:rPr>
                <w:rFonts w:hint="eastAsia"/>
                <w:sz w:val="21"/>
                <w:szCs w:val="21"/>
                <w:lang w:val="en-US" w:eastAsia="zh-CN"/>
              </w:rPr>
              <w:t>进一步</w:t>
            </w:r>
            <w:r>
              <w:rPr>
                <w:rFonts w:hint="eastAsia"/>
                <w:sz w:val="21"/>
                <w:szCs w:val="21"/>
                <w:lang w:eastAsia="zh-CN"/>
              </w:rPr>
              <w:t>处理达标后排入孝妇河</w:t>
            </w:r>
            <w:r>
              <w:rPr>
                <w:rFonts w:hint="default"/>
                <w:sz w:val="21"/>
                <w:szCs w:val="21"/>
              </w:rPr>
              <w:t>。</w:t>
            </w:r>
          </w:p>
          <w:p w14:paraId="7377EC5E">
            <w:pPr>
              <w:adjustRightInd w:val="0"/>
              <w:snapToGrid w:val="0"/>
              <w:spacing w:line="360" w:lineRule="auto"/>
              <w:ind w:firstLine="422" w:firstLineChars="200"/>
              <w:rPr>
                <w:b/>
                <w:bCs/>
              </w:rPr>
            </w:pPr>
            <w:r>
              <w:rPr>
                <w:b/>
                <w:bCs/>
              </w:rPr>
              <w:t>（3）噪声：</w:t>
            </w:r>
          </w:p>
          <w:p w14:paraId="2F30A39C">
            <w:pPr>
              <w:adjustRightInd w:val="0"/>
              <w:snapToGrid w:val="0"/>
              <w:spacing w:line="360" w:lineRule="auto"/>
              <w:ind w:firstLine="420" w:firstLineChars="200"/>
              <w:rPr>
                <w:lang w:val="de-DE"/>
              </w:rPr>
            </w:pPr>
            <w:r>
              <w:rPr>
                <w:rFonts w:hint="eastAsia"/>
                <w:bCs/>
                <w:lang w:eastAsia="zh-CN"/>
              </w:rPr>
              <w:t>本</w:t>
            </w:r>
            <w:r>
              <w:rPr>
                <w:bCs/>
              </w:rPr>
              <w:t>项目</w:t>
            </w:r>
            <w:r>
              <w:rPr>
                <w:rFonts w:hint="eastAsia"/>
                <w:bCs/>
                <w:lang w:eastAsia="zh-CN"/>
              </w:rPr>
              <w:t>噪</w:t>
            </w:r>
            <w:r>
              <w:t>声源主要</w:t>
            </w:r>
            <w:r>
              <w:rPr>
                <w:highlight w:val="none"/>
              </w:rPr>
              <w:t>是</w:t>
            </w:r>
            <w:r>
              <w:rPr>
                <w:rFonts w:hint="eastAsia"/>
                <w:highlight w:val="none"/>
                <w:lang w:eastAsia="zh-CN"/>
              </w:rPr>
              <w:t>等离子切割机、剪板机、四柱油压机、风机等机械设备</w:t>
            </w:r>
            <w:r>
              <w:rPr>
                <w:lang w:val="de-DE"/>
              </w:rPr>
              <w:t>产生的噪声，根据国内同类行业的车间内噪声值的经验数据，其噪声级在</w:t>
            </w:r>
            <w:r>
              <w:rPr>
                <w:rFonts w:hint="eastAsia"/>
                <w:lang w:val="en-US" w:eastAsia="zh-CN"/>
              </w:rPr>
              <w:t>65</w:t>
            </w:r>
            <w:r>
              <w:t>-</w:t>
            </w:r>
            <w:r>
              <w:rPr>
                <w:rFonts w:hint="eastAsia"/>
                <w:lang w:val="en-US" w:eastAsia="zh-CN"/>
              </w:rPr>
              <w:t>85</w:t>
            </w:r>
            <w:r>
              <w:rPr>
                <w:lang w:val="de-DE"/>
              </w:rPr>
              <w:t>dB（A）之间。</w:t>
            </w:r>
          </w:p>
          <w:p w14:paraId="51F7299A">
            <w:pPr>
              <w:adjustRightInd w:val="0"/>
              <w:snapToGrid w:val="0"/>
              <w:spacing w:line="360" w:lineRule="auto"/>
              <w:ind w:firstLine="422" w:firstLineChars="200"/>
              <w:rPr>
                <w:b/>
                <w:bCs/>
              </w:rPr>
            </w:pPr>
            <w:r>
              <w:rPr>
                <w:b/>
                <w:bCs/>
              </w:rPr>
              <w:t>（4）固废</w:t>
            </w:r>
          </w:p>
          <w:p w14:paraId="2FFE72ED">
            <w:pPr>
              <w:spacing w:line="360" w:lineRule="auto"/>
              <w:ind w:firstLine="482"/>
              <w:rPr>
                <w:rFonts w:hint="default" w:ascii="Times New Roman" w:hAnsi="Times New Roman" w:cs="Times New Roman"/>
              </w:rPr>
            </w:pPr>
            <w:r>
              <w:rPr>
                <w:rFonts w:hint="default" w:ascii="Times New Roman" w:hAnsi="Times New Roman" w:cs="Times New Roman"/>
              </w:rPr>
              <w:t>本项目</w:t>
            </w:r>
            <w:r>
              <w:rPr>
                <w:rFonts w:hint="eastAsia" w:cs="Times New Roman"/>
                <w:lang w:eastAsia="zh-CN"/>
              </w:rPr>
              <w:t>不饱和聚酯树脂</w:t>
            </w:r>
            <w:r>
              <w:rPr>
                <w:rFonts w:hint="default" w:ascii="Times New Roman" w:hAnsi="Times New Roman" w:cs="Times New Roman"/>
                <w:lang w:eastAsia="zh-CN"/>
              </w:rPr>
              <w:t>桶</w:t>
            </w:r>
            <w:r>
              <w:rPr>
                <w:rFonts w:hint="default" w:ascii="Times New Roman" w:hAnsi="Times New Roman" w:cs="Times New Roman"/>
              </w:rPr>
              <w:t>使用完毕后由生产厂家回收直接罐装后运回</w:t>
            </w:r>
            <w:r>
              <w:rPr>
                <w:rFonts w:hint="eastAsia" w:cs="Times New Roman"/>
                <w:lang w:eastAsia="zh-CN"/>
              </w:rPr>
              <w:t>，布袋除尘器收集的塑粉现场直接回用，不储存</w:t>
            </w:r>
            <w:r>
              <w:rPr>
                <w:rFonts w:hint="default" w:ascii="Times New Roman" w:hAnsi="Times New Roman" w:cs="Times New Roman"/>
              </w:rPr>
              <w:t>。根据《工业固体废物鉴别标准通则》（GB34330-20</w:t>
            </w:r>
            <w:r>
              <w:rPr>
                <w:rFonts w:hint="eastAsia" w:cs="Times New Roman"/>
                <w:lang w:val="en-US" w:eastAsia="zh-CN"/>
              </w:rPr>
              <w:t>25</w:t>
            </w:r>
            <w:r>
              <w:rPr>
                <w:rFonts w:hint="default" w:ascii="Times New Roman" w:hAnsi="Times New Roman" w:cs="Times New Roman"/>
              </w:rPr>
              <w:t>）</w:t>
            </w:r>
            <w:r>
              <w:rPr>
                <w:rFonts w:hint="eastAsia" w:cs="Times New Roman"/>
                <w:lang w:val="en-US" w:eastAsia="zh-CN"/>
              </w:rPr>
              <w:t>4.2</w:t>
            </w:r>
            <w:r>
              <w:rPr>
                <w:rFonts w:hint="default" w:ascii="Times New Roman" w:hAnsi="Times New Roman" w:eastAsia="宋体" w:cs="Times New Roman"/>
                <w:lang w:val="en-US" w:eastAsia="zh-CN"/>
              </w:rPr>
              <w:t>的</w:t>
            </w:r>
            <w:r>
              <w:rPr>
                <w:rFonts w:hint="default" w:ascii="Times New Roman" w:hAnsi="Times New Roman" w:eastAsia="宋体" w:cs="Times New Roman"/>
                <w:highlight w:val="none"/>
                <w:lang w:val="en-US" w:eastAsia="zh-CN"/>
              </w:rPr>
              <w:t>要求</w:t>
            </w:r>
            <w:r>
              <w:rPr>
                <w:rFonts w:hint="eastAsia" w:ascii="Times New Roman" w:hAnsi="Times New Roman" w:eastAsia="宋体" w:cs="Times New Roman"/>
                <w:highlight w:val="none"/>
                <w:lang w:eastAsia="zh-CN"/>
              </w:rPr>
              <w:t>：下列生产、生活和其他活动中满足使用用途要求，</w:t>
            </w:r>
            <w:r>
              <w:rPr>
                <w:rFonts w:hint="eastAsia" w:cs="Times New Roman"/>
                <w:highlight w:val="none"/>
                <w:lang w:val="en-US" w:eastAsia="zh-CN"/>
              </w:rPr>
              <w:t>按原始用途使用的物质，不作为固体废物。4.2.1</w:t>
            </w:r>
            <w:r>
              <w:rPr>
                <w:rFonts w:hint="default" w:ascii="Times New Roman" w:hAnsi="Times New Roman" w:eastAsia="宋体" w:cs="Times New Roman"/>
                <w:highlight w:val="none"/>
                <w:lang w:val="en-US" w:eastAsia="zh-CN"/>
              </w:rPr>
              <w:t>生产企业内部通过以下方式返回原生产线作为原料使用的物质</w:t>
            </w:r>
            <w:r>
              <w:rPr>
                <w:rFonts w:hint="eastAsia" w:cs="Times New Roman"/>
                <w:highlight w:val="none"/>
                <w:lang w:val="en-US" w:eastAsia="zh-CN"/>
              </w:rPr>
              <w:t xml:space="preserve">： </w:t>
            </w:r>
            <w:r>
              <w:rPr>
                <w:rFonts w:hint="default" w:ascii="Times New Roman" w:hAnsi="Times New Roman" w:eastAsia="宋体" w:cs="Times New Roman"/>
                <w:highlight w:val="none"/>
                <w:lang w:val="en-US" w:eastAsia="zh-CN"/>
              </w:rPr>
              <w:t>a)不经过贮存或堆积过程，直接返回</w:t>
            </w:r>
            <w:r>
              <w:rPr>
                <w:rFonts w:hint="eastAsia" w:ascii="Times New Roman" w:hAnsi="Times New Roman" w:eastAsia="宋体" w:cs="Times New Roman"/>
                <w:highlight w:val="none"/>
                <w:lang w:val="en-US" w:eastAsia="zh-CN"/>
              </w:rPr>
              <w:t>。</w:t>
            </w:r>
            <w:r>
              <w:rPr>
                <w:rFonts w:hint="default" w:ascii="Times New Roman" w:hAnsi="Times New Roman" w:eastAsia="宋体" w:cs="Times New Roman"/>
                <w:highlight w:val="none"/>
                <w:lang w:eastAsia="zh-CN"/>
              </w:rPr>
              <w:t>本项目</w:t>
            </w:r>
            <w:r>
              <w:rPr>
                <w:rFonts w:hint="eastAsia" w:ascii="Times New Roman" w:hAnsi="Times New Roman" w:eastAsia="宋体" w:cs="Times New Roman"/>
                <w:highlight w:val="none"/>
                <w:lang w:eastAsia="zh-CN"/>
              </w:rPr>
              <w:t>不饱和聚酯树脂</w:t>
            </w:r>
            <w:r>
              <w:rPr>
                <w:rFonts w:hint="default" w:ascii="Times New Roman" w:hAnsi="Times New Roman" w:eastAsia="宋体" w:cs="Times New Roman"/>
                <w:highlight w:val="none"/>
                <w:lang w:eastAsia="zh-CN"/>
              </w:rPr>
              <w:t>桶</w:t>
            </w:r>
            <w:r>
              <w:rPr>
                <w:rFonts w:hint="eastAsia" w:ascii="Times New Roman" w:hAnsi="Times New Roman" w:eastAsia="宋体" w:cs="Times New Roman"/>
                <w:highlight w:val="none"/>
                <w:lang w:eastAsia="zh-CN"/>
              </w:rPr>
              <w:t>及除尘器收集的塑粉</w:t>
            </w:r>
            <w:r>
              <w:rPr>
                <w:rFonts w:hint="default" w:ascii="Times New Roman" w:hAnsi="Times New Roman" w:eastAsia="宋体" w:cs="Times New Roman"/>
                <w:highlight w:val="none"/>
                <w:lang w:eastAsia="zh-CN"/>
              </w:rPr>
              <w:t>不作为固体废物进行管</w:t>
            </w:r>
            <w:r>
              <w:rPr>
                <w:rFonts w:hint="default" w:ascii="Times New Roman" w:hAnsi="Times New Roman" w:cs="Times New Roman"/>
                <w:highlight w:val="none"/>
              </w:rPr>
              <w:t>理，当</w:t>
            </w:r>
            <w:r>
              <w:rPr>
                <w:rFonts w:hint="eastAsia" w:ascii="Times New Roman" w:hAnsi="Times New Roman" w:eastAsia="宋体" w:cs="Times New Roman"/>
                <w:highlight w:val="none"/>
                <w:lang w:eastAsia="zh-CN"/>
              </w:rPr>
              <w:t>不饱和聚酯树脂</w:t>
            </w:r>
            <w:r>
              <w:rPr>
                <w:rFonts w:hint="default" w:ascii="Times New Roman" w:hAnsi="Times New Roman" w:eastAsia="宋体" w:cs="Times New Roman"/>
                <w:highlight w:val="none"/>
                <w:lang w:eastAsia="zh-CN"/>
              </w:rPr>
              <w:t>桶</w:t>
            </w:r>
            <w:r>
              <w:rPr>
                <w:rFonts w:hint="default" w:ascii="Times New Roman" w:hAnsi="Times New Roman" w:cs="Times New Roman"/>
                <w:highlight w:val="none"/>
              </w:rPr>
              <w:t>破损不能再使用时需按照危险废物进行处置。</w:t>
            </w:r>
          </w:p>
          <w:p w14:paraId="0D6F8D2C">
            <w:pPr>
              <w:autoSpaceDE w:val="0"/>
              <w:autoSpaceDN w:val="0"/>
              <w:spacing w:line="360" w:lineRule="auto"/>
              <w:ind w:firstLine="420" w:firstLineChars="200"/>
              <w:rPr>
                <w:rFonts w:hint="eastAsia"/>
                <w:bCs/>
                <w:sz w:val="21"/>
                <w:szCs w:val="21"/>
                <w:lang w:eastAsia="zh-CN"/>
              </w:rPr>
            </w:pPr>
            <w:r>
              <w:rPr>
                <w:sz w:val="21"/>
                <w:szCs w:val="21"/>
                <w:highlight w:val="none"/>
              </w:rPr>
              <w:t>本项目</w:t>
            </w:r>
            <w:r>
              <w:rPr>
                <w:rFonts w:hint="eastAsia"/>
                <w:bCs/>
                <w:sz w:val="21"/>
                <w:szCs w:val="21"/>
                <w:highlight w:val="none"/>
              </w:rPr>
              <w:t>产生的固体废物</w:t>
            </w:r>
            <w:r>
              <w:rPr>
                <w:rFonts w:hint="eastAsia"/>
                <w:bCs/>
                <w:sz w:val="21"/>
                <w:szCs w:val="21"/>
                <w:highlight w:val="none"/>
                <w:lang w:eastAsia="zh-CN"/>
              </w:rPr>
              <w:t>有一般工业固体废物、危险废物及生活垃圾（</w:t>
            </w:r>
            <w:r>
              <w:rPr>
                <w:rFonts w:hint="eastAsia"/>
                <w:bCs/>
                <w:sz w:val="21"/>
                <w:szCs w:val="21"/>
                <w:highlight w:val="none"/>
                <w:lang w:val="en-US" w:eastAsia="zh-CN"/>
              </w:rPr>
              <w:t>S7</w:t>
            </w:r>
            <w:r>
              <w:rPr>
                <w:rFonts w:hint="eastAsia"/>
                <w:bCs/>
                <w:sz w:val="21"/>
                <w:szCs w:val="21"/>
                <w:highlight w:val="none"/>
                <w:lang w:eastAsia="zh-CN"/>
              </w:rPr>
              <w:t>）。一般工业固体废物</w:t>
            </w:r>
            <w:r>
              <w:rPr>
                <w:rFonts w:hint="eastAsia"/>
                <w:bCs/>
                <w:sz w:val="21"/>
                <w:szCs w:val="21"/>
                <w:highlight w:val="none"/>
              </w:rPr>
              <w:t>主要有</w:t>
            </w:r>
            <w:r>
              <w:rPr>
                <w:rFonts w:hint="eastAsia"/>
                <w:bCs/>
                <w:sz w:val="21"/>
                <w:szCs w:val="21"/>
                <w:highlight w:val="none"/>
                <w:lang w:eastAsia="zh-CN"/>
              </w:rPr>
              <w:t>下料、</w:t>
            </w:r>
            <w:r>
              <w:rPr>
                <w:rFonts w:hint="eastAsia" w:cs="Times New Roman"/>
                <w:b w:val="0"/>
                <w:bCs w:val="0"/>
                <w:kern w:val="2"/>
                <w:sz w:val="21"/>
                <w:szCs w:val="21"/>
                <w:lang w:val="en-US" w:eastAsia="zh-CN" w:bidi="ar-SA"/>
              </w:rPr>
              <w:t>开孔等</w:t>
            </w:r>
            <w:r>
              <w:rPr>
                <w:rFonts w:hint="eastAsia"/>
                <w:bCs/>
                <w:sz w:val="21"/>
                <w:szCs w:val="21"/>
                <w:highlight w:val="none"/>
                <w:lang w:eastAsia="zh-CN"/>
              </w:rPr>
              <w:t>工序产生的废金属边角料（</w:t>
            </w:r>
            <w:r>
              <w:rPr>
                <w:rFonts w:hint="eastAsia"/>
                <w:bCs/>
                <w:sz w:val="21"/>
                <w:szCs w:val="21"/>
                <w:highlight w:val="none"/>
                <w:lang w:val="en-US" w:eastAsia="zh-CN"/>
              </w:rPr>
              <w:t>S1.1-S1.17</w:t>
            </w:r>
            <w:r>
              <w:rPr>
                <w:rFonts w:hint="eastAsia"/>
                <w:bCs/>
                <w:sz w:val="21"/>
                <w:szCs w:val="21"/>
                <w:highlight w:val="none"/>
                <w:lang w:eastAsia="zh-CN"/>
              </w:rPr>
              <w:t>）</w:t>
            </w:r>
            <w:r>
              <w:rPr>
                <w:rFonts w:hint="eastAsia" w:cs="Times New Roman"/>
                <w:b w:val="0"/>
                <w:bCs w:val="0"/>
                <w:kern w:val="2"/>
                <w:sz w:val="21"/>
                <w:szCs w:val="21"/>
                <w:lang w:val="en-US" w:eastAsia="zh-CN" w:bidi="ar-SA"/>
              </w:rPr>
              <w:t>；浸漆工序原料包装产生的废绝缘漆桶（S2.3）；原料包装产生的</w:t>
            </w:r>
            <w:r>
              <w:rPr>
                <w:rFonts w:hint="eastAsia" w:ascii="Times New Roman" w:hAnsi="Times New Roman" w:cs="Times New Roman"/>
                <w:b w:val="0"/>
                <w:bCs w:val="0"/>
                <w:kern w:val="2"/>
                <w:sz w:val="21"/>
                <w:szCs w:val="21"/>
                <w:lang w:val="en-US" w:eastAsia="zh-CN" w:bidi="ar-SA"/>
              </w:rPr>
              <w:t>废包装袋（</w:t>
            </w:r>
            <w:r>
              <w:rPr>
                <w:rFonts w:hint="eastAsia" w:cs="Times New Roman"/>
                <w:b w:val="0"/>
                <w:bCs w:val="0"/>
                <w:kern w:val="2"/>
                <w:sz w:val="21"/>
                <w:szCs w:val="21"/>
                <w:lang w:val="en-US" w:eastAsia="zh-CN" w:bidi="ar-SA"/>
              </w:rPr>
              <w:t>S2.3、S5</w:t>
            </w:r>
            <w:r>
              <w:rPr>
                <w:rFonts w:hint="eastAsia" w:ascii="Times New Roman" w:hAnsi="Times New Roman" w:cs="Times New Roman"/>
                <w:b w:val="0"/>
                <w:bCs w:val="0"/>
                <w:kern w:val="2"/>
                <w:sz w:val="21"/>
                <w:szCs w:val="21"/>
                <w:lang w:val="en-US" w:eastAsia="zh-CN" w:bidi="ar-SA"/>
              </w:rPr>
              <w:t>）</w:t>
            </w:r>
            <w:r>
              <w:rPr>
                <w:rFonts w:hint="eastAsia" w:cs="Times New Roman"/>
                <w:b w:val="0"/>
                <w:bCs w:val="0"/>
                <w:kern w:val="2"/>
                <w:sz w:val="21"/>
                <w:szCs w:val="21"/>
                <w:lang w:val="en-US" w:eastAsia="zh-CN" w:bidi="ar-SA"/>
              </w:rPr>
              <w:t>；焊接工序产生的废焊渣</w:t>
            </w:r>
            <w:r>
              <w:rPr>
                <w:rFonts w:hint="eastAsia" w:ascii="Times New Roman" w:hAnsi="Times New Roman" w:cs="Times New Roman"/>
                <w:b w:val="0"/>
                <w:bCs w:val="0"/>
                <w:kern w:val="2"/>
                <w:sz w:val="21"/>
                <w:szCs w:val="21"/>
                <w:lang w:val="en-US" w:eastAsia="zh-CN" w:bidi="ar-SA"/>
              </w:rPr>
              <w:t>（S3</w:t>
            </w:r>
            <w:r>
              <w:rPr>
                <w:rFonts w:hint="eastAsia" w:cs="Times New Roman"/>
                <w:b w:val="0"/>
                <w:bCs w:val="0"/>
                <w:kern w:val="2"/>
                <w:sz w:val="21"/>
                <w:szCs w:val="21"/>
                <w:lang w:val="en-US" w:eastAsia="zh-CN" w:bidi="ar-SA"/>
              </w:rPr>
              <w:t>.1-S3.12</w:t>
            </w:r>
            <w:r>
              <w:rPr>
                <w:rFonts w:hint="eastAsia" w:ascii="Times New Roman" w:hAnsi="Times New Roman" w:cs="Times New Roman"/>
                <w:b w:val="0"/>
                <w:bCs w:val="0"/>
                <w:kern w:val="2"/>
                <w:sz w:val="21"/>
                <w:szCs w:val="21"/>
                <w:lang w:val="en-US" w:eastAsia="zh-CN" w:bidi="ar-SA"/>
              </w:rPr>
              <w:t>）</w:t>
            </w:r>
            <w:r>
              <w:rPr>
                <w:rFonts w:hint="eastAsia" w:cs="Times New Roman"/>
                <w:b w:val="0"/>
                <w:bCs w:val="0"/>
                <w:kern w:val="2"/>
                <w:sz w:val="21"/>
                <w:szCs w:val="21"/>
                <w:lang w:val="en-US" w:eastAsia="zh-CN" w:bidi="ar-SA"/>
              </w:rPr>
              <w:t>；废气处理焊烟净化器收集的粉尘（S6）；开孔工序产生的废塑料边角料</w:t>
            </w:r>
            <w:r>
              <w:rPr>
                <w:rFonts w:hint="eastAsia" w:ascii="Times New Roman" w:hAnsi="Times New Roman" w:cs="Times New Roman"/>
                <w:b w:val="0"/>
                <w:bCs w:val="0"/>
                <w:kern w:val="2"/>
                <w:sz w:val="21"/>
                <w:szCs w:val="21"/>
                <w:lang w:val="en-US" w:eastAsia="zh-CN" w:bidi="ar-SA"/>
              </w:rPr>
              <w:t>（S4</w:t>
            </w:r>
            <w:r>
              <w:rPr>
                <w:rFonts w:hint="eastAsia" w:cs="Times New Roman"/>
                <w:b w:val="0"/>
                <w:bCs w:val="0"/>
                <w:kern w:val="2"/>
                <w:sz w:val="21"/>
                <w:szCs w:val="21"/>
                <w:lang w:val="en-US" w:eastAsia="zh-CN" w:bidi="ar-SA"/>
              </w:rPr>
              <w:t>.1、S4.2</w:t>
            </w:r>
            <w:r>
              <w:rPr>
                <w:rFonts w:hint="eastAsia" w:ascii="Times New Roman" w:hAnsi="Times New Roman" w:cs="Times New Roman"/>
                <w:b w:val="0"/>
                <w:bCs w:val="0"/>
                <w:kern w:val="2"/>
                <w:sz w:val="21"/>
                <w:szCs w:val="21"/>
                <w:lang w:val="en-US" w:eastAsia="zh-CN" w:bidi="ar-SA"/>
              </w:rPr>
              <w:t>）</w:t>
            </w:r>
            <w:r>
              <w:rPr>
                <w:rFonts w:hint="eastAsia"/>
                <w:bCs/>
                <w:sz w:val="21"/>
                <w:szCs w:val="21"/>
                <w:highlight w:val="none"/>
                <w:lang w:eastAsia="zh-CN"/>
              </w:rPr>
              <w:t>。危险废物主要有喷涂工序产生的废</w:t>
            </w:r>
            <w:r>
              <w:rPr>
                <w:rFonts w:hint="eastAsia" w:ascii="Times New Roman" w:hAnsi="Times New Roman" w:cs="Times New Roman"/>
                <w:b w:val="0"/>
                <w:bCs w:val="0"/>
                <w:kern w:val="2"/>
                <w:sz w:val="21"/>
                <w:szCs w:val="21"/>
                <w:lang w:val="en-US" w:eastAsia="zh-CN" w:bidi="ar-SA"/>
              </w:rPr>
              <w:t>油漆桶、稀释剂桶（S2.1）、废漆渣（S2.2）</w:t>
            </w:r>
            <w:r>
              <w:rPr>
                <w:rFonts w:hint="eastAsia" w:cs="Times New Roman"/>
                <w:b w:val="0"/>
                <w:bCs w:val="0"/>
                <w:kern w:val="2"/>
                <w:sz w:val="21"/>
                <w:szCs w:val="21"/>
                <w:lang w:val="en-US" w:eastAsia="zh-CN" w:bidi="ar-SA"/>
              </w:rPr>
              <w:t>、废包装物（S2.3）</w:t>
            </w:r>
            <w:r>
              <w:rPr>
                <w:rFonts w:hint="eastAsia" w:ascii="Times New Roman" w:hAnsi="Times New Roman" w:cs="Times New Roman"/>
                <w:b w:val="0"/>
                <w:bCs w:val="0"/>
                <w:kern w:val="2"/>
                <w:sz w:val="21"/>
                <w:szCs w:val="21"/>
                <w:lang w:val="en-US" w:eastAsia="zh-CN" w:bidi="ar-SA"/>
              </w:rPr>
              <w:t>；</w:t>
            </w:r>
            <w:r>
              <w:rPr>
                <w:rFonts w:hint="eastAsia" w:cs="Times New Roman"/>
                <w:b w:val="0"/>
                <w:bCs w:val="0"/>
                <w:kern w:val="2"/>
                <w:sz w:val="21"/>
                <w:szCs w:val="21"/>
                <w:lang w:val="en-US" w:eastAsia="zh-CN" w:bidi="ar-SA"/>
              </w:rPr>
              <w:t>设备维护保养产生的废机油（S8）、废液压油（S11）；废气处理过程产生的废过滤箱、过滤棉（S9）、废活性炭（S10）</w:t>
            </w:r>
            <w:r>
              <w:rPr>
                <w:rFonts w:hint="eastAsia"/>
                <w:bCs/>
                <w:sz w:val="21"/>
                <w:szCs w:val="21"/>
                <w:highlight w:val="none"/>
                <w:lang w:eastAsia="zh-CN"/>
              </w:rPr>
              <w:t>。</w:t>
            </w:r>
          </w:p>
          <w:p w14:paraId="7023DBC9">
            <w:pPr>
              <w:autoSpaceDE w:val="0"/>
              <w:autoSpaceDN w:val="0"/>
              <w:spacing w:line="360" w:lineRule="auto"/>
              <w:ind w:firstLine="420" w:firstLineChars="200"/>
              <w:rPr>
                <w:rFonts w:hint="eastAsia"/>
                <w:bCs/>
                <w:sz w:val="21"/>
                <w:szCs w:val="21"/>
                <w:lang w:eastAsia="zh-CN"/>
              </w:rPr>
            </w:pPr>
          </w:p>
          <w:p w14:paraId="0EA25785">
            <w:pPr>
              <w:autoSpaceDE w:val="0"/>
              <w:autoSpaceDN w:val="0"/>
              <w:spacing w:line="360" w:lineRule="auto"/>
              <w:ind w:firstLine="420" w:firstLineChars="200"/>
              <w:rPr>
                <w:rFonts w:hint="eastAsia"/>
                <w:bCs/>
                <w:sz w:val="21"/>
                <w:szCs w:val="21"/>
                <w:lang w:eastAsia="zh-CN"/>
              </w:rPr>
            </w:pPr>
          </w:p>
          <w:p w14:paraId="5F24DF4A">
            <w:pPr>
              <w:autoSpaceDE w:val="0"/>
              <w:autoSpaceDN w:val="0"/>
              <w:spacing w:line="360" w:lineRule="auto"/>
              <w:ind w:firstLine="420" w:firstLineChars="200"/>
              <w:rPr>
                <w:rFonts w:hint="eastAsia"/>
                <w:bCs/>
                <w:sz w:val="21"/>
                <w:szCs w:val="21"/>
                <w:lang w:eastAsia="zh-CN"/>
              </w:rPr>
            </w:pPr>
          </w:p>
          <w:p w14:paraId="72ADB8E4">
            <w:pPr>
              <w:autoSpaceDE w:val="0"/>
              <w:autoSpaceDN w:val="0"/>
              <w:spacing w:line="360" w:lineRule="auto"/>
              <w:ind w:firstLine="420" w:firstLineChars="200"/>
              <w:rPr>
                <w:rFonts w:hint="eastAsia"/>
                <w:bCs/>
                <w:sz w:val="21"/>
                <w:szCs w:val="21"/>
                <w:lang w:eastAsia="zh-CN"/>
              </w:rPr>
            </w:pPr>
          </w:p>
          <w:p w14:paraId="22CCD92D">
            <w:pPr>
              <w:adjustRightInd w:val="0"/>
              <w:snapToGrid w:val="0"/>
              <w:spacing w:line="360" w:lineRule="auto"/>
              <w:rPr>
                <w:spacing w:val="10"/>
              </w:rPr>
            </w:pPr>
          </w:p>
        </w:tc>
      </w:tr>
      <w:tr w14:paraId="0052E6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70" w:hRule="atLeast"/>
          <w:jc w:val="center"/>
        </w:trPr>
        <w:tc>
          <w:tcPr>
            <w:tcW w:w="420" w:type="dxa"/>
            <w:vAlign w:val="center"/>
          </w:tcPr>
          <w:p w14:paraId="791ED13C">
            <w:pPr>
              <w:pStyle w:val="76"/>
              <w:adjustRightInd w:val="0"/>
              <w:snapToGrid w:val="0"/>
              <w:spacing w:before="0" w:beforeAutospacing="0" w:after="0" w:afterAutospacing="0" w:line="420" w:lineRule="exact"/>
              <w:jc w:val="center"/>
              <w:rPr>
                <w:rFonts w:ascii="Times New Roman" w:hAnsi="Times New Roman"/>
                <w:color w:val="FF0000"/>
                <w:sz w:val="21"/>
                <w:szCs w:val="21"/>
              </w:rPr>
            </w:pPr>
            <w:r>
              <w:rPr>
                <w:rFonts w:ascii="Times New Roman" w:hAnsi="Times New Roman"/>
                <w:bCs/>
                <w:kern w:val="2"/>
                <w:sz w:val="21"/>
                <w:szCs w:val="21"/>
              </w:rPr>
              <w:t>与项目有关的原有环境污染问题</w:t>
            </w:r>
          </w:p>
        </w:tc>
        <w:tc>
          <w:tcPr>
            <w:tcW w:w="8640" w:type="dxa"/>
            <w:vAlign w:val="center"/>
          </w:tcPr>
          <w:p w14:paraId="110831B9">
            <w:pPr>
              <w:spacing w:line="360" w:lineRule="auto"/>
              <w:ind w:firstLine="420" w:firstLineChars="200"/>
            </w:pPr>
            <w:r>
              <w:t>一、现有工程履行环境影响评价及竣工环境保护验收</w:t>
            </w:r>
          </w:p>
          <w:p w14:paraId="4EDD99BA">
            <w:pPr>
              <w:snapToGrid w:val="0"/>
              <w:spacing w:line="360" w:lineRule="auto"/>
              <w:ind w:firstLine="420" w:firstLineChars="200"/>
            </w:pPr>
            <w:r>
              <w:rPr>
                <w:rFonts w:hint="eastAsia"/>
                <w:lang w:eastAsia="zh-CN"/>
              </w:rPr>
              <w:t>淄博华鲁供水设备有限公司现有</w:t>
            </w:r>
            <w:r>
              <w:rPr>
                <w:rFonts w:hint="eastAsia"/>
                <w:sz w:val="21"/>
                <w:szCs w:val="21"/>
                <w:lang w:eastAsia="zh-CN"/>
              </w:rPr>
              <w:t>一个厂区，位于淄博市淄川经济开发区华鲁路</w:t>
            </w:r>
            <w:r>
              <w:rPr>
                <w:rFonts w:hint="eastAsia"/>
                <w:sz w:val="21"/>
                <w:szCs w:val="21"/>
                <w:lang w:val="en-US" w:eastAsia="zh-CN"/>
              </w:rPr>
              <w:t>1号，</w:t>
            </w:r>
            <w:r>
              <w:rPr>
                <w:rFonts w:hint="eastAsia"/>
              </w:rPr>
              <w:t>现有</w:t>
            </w:r>
            <w:r>
              <w:t>项目环评及“三同时”执行情况见</w:t>
            </w:r>
            <w:r>
              <w:rPr>
                <w:rFonts w:hint="eastAsia"/>
              </w:rPr>
              <w:t>下表：</w:t>
            </w:r>
          </w:p>
          <w:p w14:paraId="16515F78">
            <w:pPr>
              <w:snapToGrid w:val="0"/>
              <w:spacing w:line="420" w:lineRule="exact"/>
              <w:jc w:val="center"/>
            </w:pPr>
            <w:r>
              <w:rPr>
                <w:b/>
                <w:bCs/>
                <w:kern w:val="44"/>
              </w:rPr>
              <w:t>表</w:t>
            </w:r>
            <w:r>
              <w:rPr>
                <w:rFonts w:hint="eastAsia"/>
                <w:b/>
                <w:bCs/>
                <w:kern w:val="44"/>
              </w:rPr>
              <w:t>2-</w:t>
            </w:r>
            <w:r>
              <w:rPr>
                <w:rFonts w:hint="eastAsia"/>
                <w:b/>
                <w:bCs/>
                <w:kern w:val="44"/>
                <w:lang w:val="en-US" w:eastAsia="zh-CN"/>
              </w:rPr>
              <w:t xml:space="preserve">20 </w:t>
            </w:r>
            <w:r>
              <w:rPr>
                <w:b/>
                <w:bCs/>
                <w:kern w:val="44"/>
              </w:rPr>
              <w:t>现有项目环评及“三同时”执行情况一览表</w:t>
            </w:r>
          </w:p>
          <w:tbl>
            <w:tblPr>
              <w:tblStyle w:val="1389"/>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327"/>
              <w:gridCol w:w="812"/>
              <w:gridCol w:w="1050"/>
              <w:gridCol w:w="1010"/>
              <w:gridCol w:w="1005"/>
              <w:gridCol w:w="1013"/>
              <w:gridCol w:w="1096"/>
              <w:gridCol w:w="1096"/>
            </w:tblGrid>
            <w:tr w14:paraId="0481CA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53" w:hRule="atLeast"/>
                <w:jc w:val="center"/>
              </w:trPr>
              <w:tc>
                <w:tcPr>
                  <w:tcW w:w="789" w:type="pct"/>
                  <w:vAlign w:val="center"/>
                </w:tcPr>
                <w:p w14:paraId="4C5588FB">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项目名称</w:t>
                  </w:r>
                </w:p>
              </w:tc>
              <w:tc>
                <w:tcPr>
                  <w:tcW w:w="483" w:type="pct"/>
                  <w:vAlign w:val="center"/>
                </w:tcPr>
                <w:p w14:paraId="067A98CC">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审批单位</w:t>
                  </w:r>
                </w:p>
              </w:tc>
              <w:tc>
                <w:tcPr>
                  <w:tcW w:w="624" w:type="pct"/>
                  <w:vAlign w:val="center"/>
                </w:tcPr>
                <w:p w14:paraId="1A4AF1DD">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审批时间</w:t>
                  </w:r>
                </w:p>
              </w:tc>
              <w:tc>
                <w:tcPr>
                  <w:tcW w:w="600" w:type="pct"/>
                  <w:vAlign w:val="center"/>
                </w:tcPr>
                <w:p w14:paraId="203747F0">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批复文号</w:t>
                  </w:r>
                </w:p>
              </w:tc>
              <w:tc>
                <w:tcPr>
                  <w:tcW w:w="597" w:type="pct"/>
                  <w:vAlign w:val="center"/>
                </w:tcPr>
                <w:p w14:paraId="1FBEA5DF">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验收时间</w:t>
                  </w:r>
                </w:p>
              </w:tc>
              <w:tc>
                <w:tcPr>
                  <w:tcW w:w="602" w:type="pct"/>
                  <w:vAlign w:val="center"/>
                </w:tcPr>
                <w:p w14:paraId="065A33E2">
                  <w:pPr>
                    <w:adjustRightInd w:val="0"/>
                    <w:snapToGrid w:val="0"/>
                    <w:jc w:val="center"/>
                    <w:rPr>
                      <w:rFonts w:hint="default" w:ascii="Times New Roman" w:hAnsi="Times New Roman" w:eastAsia="宋体" w:cs="Times New Roman"/>
                      <w:b/>
                      <w:bCs/>
                      <w:sz w:val="18"/>
                      <w:szCs w:val="18"/>
                      <w:highlight w:val="none"/>
                      <w:lang w:eastAsia="zh-CN"/>
                    </w:rPr>
                  </w:pPr>
                  <w:r>
                    <w:rPr>
                      <w:rFonts w:hint="default" w:ascii="Times New Roman" w:hAnsi="Times New Roman" w:eastAsia="宋体" w:cs="Times New Roman"/>
                      <w:b/>
                      <w:bCs/>
                      <w:sz w:val="18"/>
                      <w:szCs w:val="18"/>
                      <w:highlight w:val="none"/>
                      <w:lang w:eastAsia="zh-CN"/>
                    </w:rPr>
                    <w:t>验收文号</w:t>
                  </w:r>
                </w:p>
              </w:tc>
              <w:tc>
                <w:tcPr>
                  <w:tcW w:w="651" w:type="pct"/>
                  <w:vAlign w:val="center"/>
                </w:tcPr>
                <w:p w14:paraId="16C4D99F">
                  <w:pPr>
                    <w:adjustRightInd w:val="0"/>
                    <w:snapToGrid w:val="0"/>
                    <w:jc w:val="center"/>
                    <w:rPr>
                      <w:rFonts w:hint="default" w:ascii="Times New Roman" w:hAnsi="Times New Roman" w:eastAsia="宋体" w:cs="Times New Roman"/>
                      <w:b/>
                      <w:bCs/>
                      <w:sz w:val="18"/>
                      <w:szCs w:val="18"/>
                      <w:highlight w:val="none"/>
                    </w:rPr>
                  </w:pPr>
                  <w:r>
                    <w:rPr>
                      <w:rFonts w:hint="default" w:ascii="Times New Roman" w:hAnsi="Times New Roman" w:eastAsia="宋体" w:cs="Times New Roman"/>
                      <w:b/>
                      <w:bCs/>
                      <w:sz w:val="18"/>
                      <w:szCs w:val="18"/>
                      <w:highlight w:val="none"/>
                    </w:rPr>
                    <w:t>运行情况</w:t>
                  </w:r>
                </w:p>
              </w:tc>
              <w:tc>
                <w:tcPr>
                  <w:tcW w:w="651" w:type="pct"/>
                  <w:vAlign w:val="center"/>
                </w:tcPr>
                <w:p w14:paraId="3941B653">
                  <w:pPr>
                    <w:adjustRightInd w:val="0"/>
                    <w:snapToGrid w:val="0"/>
                    <w:jc w:val="center"/>
                    <w:rPr>
                      <w:rFonts w:hint="default" w:ascii="Times New Roman" w:hAnsi="Times New Roman" w:eastAsia="宋体" w:cs="Times New Roman"/>
                      <w:b/>
                      <w:bCs/>
                      <w:sz w:val="18"/>
                      <w:szCs w:val="18"/>
                      <w:highlight w:val="none"/>
                      <w:lang w:eastAsia="zh-CN"/>
                    </w:rPr>
                  </w:pPr>
                  <w:r>
                    <w:rPr>
                      <w:rFonts w:hint="default" w:ascii="Times New Roman" w:hAnsi="Times New Roman" w:eastAsia="宋体" w:cs="Times New Roman"/>
                      <w:b/>
                      <w:bCs/>
                      <w:sz w:val="18"/>
                      <w:szCs w:val="18"/>
                      <w:highlight w:val="none"/>
                      <w:lang w:eastAsia="zh-CN"/>
                    </w:rPr>
                    <w:t>位置情况</w:t>
                  </w:r>
                </w:p>
              </w:tc>
            </w:tr>
            <w:tr w14:paraId="1A486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789" w:type="pct"/>
                  <w:vAlign w:val="center"/>
                </w:tcPr>
                <w:p w14:paraId="4050C412">
                  <w:pPr>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年产100套供水设备、10台热水锅炉、10台换热器项目</w:t>
                  </w:r>
                </w:p>
              </w:tc>
              <w:tc>
                <w:tcPr>
                  <w:tcW w:w="483" w:type="pct"/>
                  <w:vAlign w:val="center"/>
                </w:tcPr>
                <w:p w14:paraId="63107D94">
                  <w:pPr>
                    <w:adjustRightInd w:val="0"/>
                    <w:snapToGrid w:val="0"/>
                    <w:jc w:val="center"/>
                    <w:rPr>
                      <w:rFonts w:hint="default" w:ascii="Times New Roman" w:hAnsi="Times New Roman" w:eastAsia="宋体" w:cs="Times New Roman"/>
                      <w:sz w:val="18"/>
                      <w:szCs w:val="18"/>
                      <w:highlight w:val="none"/>
                      <w:lang w:eastAsia="zh-CN"/>
                    </w:rPr>
                  </w:pPr>
                  <w:r>
                    <w:rPr>
                      <w:rFonts w:hint="default" w:ascii="Times New Roman" w:hAnsi="Times New Roman" w:eastAsia="宋体" w:cs="Times New Roman"/>
                      <w:sz w:val="18"/>
                      <w:szCs w:val="18"/>
                      <w:lang w:val="en-US" w:eastAsia="zh-CN"/>
                    </w:rPr>
                    <w:t>原淄博市环境保护局淄川分局</w:t>
                  </w:r>
                </w:p>
              </w:tc>
              <w:tc>
                <w:tcPr>
                  <w:tcW w:w="624" w:type="pct"/>
                  <w:vAlign w:val="center"/>
                </w:tcPr>
                <w:p w14:paraId="539C77C2">
                  <w:pPr>
                    <w:adjustRightInd w:val="0"/>
                    <w:snapToGrid w:val="0"/>
                    <w:jc w:val="center"/>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sz w:val="18"/>
                      <w:szCs w:val="18"/>
                      <w:lang w:val="en-US" w:eastAsia="zh-CN"/>
                    </w:rPr>
                    <w:t>2</w:t>
                  </w:r>
                  <w:r>
                    <w:rPr>
                      <w:rFonts w:hint="default" w:ascii="Times New Roman" w:hAnsi="Times New Roman" w:cs="Times New Roman"/>
                      <w:sz w:val="18"/>
                      <w:szCs w:val="18"/>
                      <w:lang w:val="en-US" w:eastAsia="zh-CN"/>
                    </w:rPr>
                    <w:t>009</w:t>
                  </w:r>
                  <w:r>
                    <w:rPr>
                      <w:rFonts w:hint="default" w:ascii="Times New Roman" w:hAnsi="Times New Roman" w:eastAsia="宋体" w:cs="Times New Roman"/>
                      <w:sz w:val="18"/>
                      <w:szCs w:val="18"/>
                      <w:lang w:val="en-US" w:eastAsia="zh-CN"/>
                    </w:rPr>
                    <w:t>年</w:t>
                  </w:r>
                  <w:r>
                    <w:rPr>
                      <w:rFonts w:hint="default" w:ascii="Times New Roman" w:hAnsi="Times New Roman" w:cs="Times New Roman"/>
                      <w:sz w:val="18"/>
                      <w:szCs w:val="18"/>
                      <w:lang w:val="en-US" w:eastAsia="zh-CN"/>
                    </w:rPr>
                    <w:t>7</w:t>
                  </w:r>
                  <w:r>
                    <w:rPr>
                      <w:rFonts w:hint="default" w:ascii="Times New Roman" w:hAnsi="Times New Roman" w:eastAsia="宋体" w:cs="Times New Roman"/>
                      <w:sz w:val="18"/>
                      <w:szCs w:val="18"/>
                      <w:lang w:val="en-US" w:eastAsia="zh-CN"/>
                    </w:rPr>
                    <w:t xml:space="preserve">月 </w:t>
                  </w:r>
                  <w:r>
                    <w:rPr>
                      <w:rFonts w:hint="default" w:ascii="Times New Roman" w:hAnsi="Times New Roman" w:cs="Times New Roman"/>
                      <w:sz w:val="18"/>
                      <w:szCs w:val="18"/>
                      <w:lang w:val="en-US" w:eastAsia="zh-CN"/>
                    </w:rPr>
                    <w:t>16</w:t>
                  </w:r>
                  <w:r>
                    <w:rPr>
                      <w:rFonts w:hint="default" w:ascii="Times New Roman" w:hAnsi="Times New Roman" w:eastAsia="宋体" w:cs="Times New Roman"/>
                      <w:sz w:val="18"/>
                      <w:szCs w:val="18"/>
                      <w:lang w:val="en-US" w:eastAsia="zh-CN"/>
                    </w:rPr>
                    <w:t>日</w:t>
                  </w:r>
                </w:p>
              </w:tc>
              <w:tc>
                <w:tcPr>
                  <w:tcW w:w="600" w:type="pct"/>
                  <w:vAlign w:val="center"/>
                </w:tcPr>
                <w:p w14:paraId="03100D4C">
                  <w:pPr>
                    <w:jc w:val="center"/>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bCs/>
                      <w:color w:val="000000"/>
                      <w:kern w:val="0"/>
                      <w:sz w:val="18"/>
                      <w:szCs w:val="18"/>
                    </w:rPr>
                    <w:t>川环</w:t>
                  </w:r>
                  <w:r>
                    <w:rPr>
                      <w:rFonts w:hint="default" w:ascii="Times New Roman" w:hAnsi="Times New Roman" w:eastAsia="宋体" w:cs="Times New Roman"/>
                      <w:bCs/>
                      <w:color w:val="000000"/>
                      <w:kern w:val="0"/>
                      <w:sz w:val="18"/>
                      <w:szCs w:val="18"/>
                      <w:lang w:eastAsia="zh-CN"/>
                    </w:rPr>
                    <w:t>报告表</w:t>
                  </w:r>
                  <w:r>
                    <w:rPr>
                      <w:rFonts w:hint="default" w:ascii="Times New Roman" w:hAnsi="Times New Roman" w:eastAsia="宋体" w:cs="Times New Roman"/>
                      <w:bCs/>
                      <w:color w:val="000000"/>
                      <w:kern w:val="0"/>
                      <w:sz w:val="18"/>
                      <w:szCs w:val="18"/>
                    </w:rPr>
                    <w:t>[20</w:t>
                  </w:r>
                  <w:r>
                    <w:rPr>
                      <w:rFonts w:hint="default" w:ascii="Times New Roman" w:hAnsi="Times New Roman" w:cs="Times New Roman"/>
                      <w:bCs/>
                      <w:color w:val="000000"/>
                      <w:kern w:val="0"/>
                      <w:sz w:val="18"/>
                      <w:szCs w:val="18"/>
                      <w:lang w:val="en-US" w:eastAsia="zh-CN"/>
                    </w:rPr>
                    <w:t>09</w:t>
                  </w:r>
                  <w:r>
                    <w:rPr>
                      <w:rFonts w:hint="default" w:ascii="Times New Roman" w:hAnsi="Times New Roman" w:eastAsia="宋体" w:cs="Times New Roman"/>
                      <w:bCs/>
                      <w:color w:val="000000"/>
                      <w:kern w:val="0"/>
                      <w:sz w:val="18"/>
                      <w:szCs w:val="18"/>
                    </w:rPr>
                    <w:t>]</w:t>
                  </w:r>
                  <w:r>
                    <w:rPr>
                      <w:rFonts w:hint="default" w:ascii="Times New Roman" w:hAnsi="Times New Roman" w:cs="Times New Roman"/>
                      <w:bCs/>
                      <w:color w:val="000000"/>
                      <w:kern w:val="0"/>
                      <w:sz w:val="18"/>
                      <w:szCs w:val="18"/>
                      <w:lang w:val="en-US" w:eastAsia="zh-CN"/>
                    </w:rPr>
                    <w:t>19</w:t>
                  </w:r>
                  <w:r>
                    <w:rPr>
                      <w:rFonts w:hint="default" w:ascii="Times New Roman" w:hAnsi="Times New Roman" w:eastAsia="宋体" w:cs="Times New Roman"/>
                      <w:bCs/>
                      <w:color w:val="000000"/>
                      <w:kern w:val="0"/>
                      <w:sz w:val="18"/>
                      <w:szCs w:val="18"/>
                    </w:rPr>
                    <w:t>号</w:t>
                  </w:r>
                </w:p>
              </w:tc>
              <w:tc>
                <w:tcPr>
                  <w:tcW w:w="597" w:type="pct"/>
                  <w:vAlign w:val="center"/>
                </w:tcPr>
                <w:p w14:paraId="247FE32E">
                  <w:pPr>
                    <w:adjustRightInd w:val="0"/>
                    <w:snapToGrid w:val="0"/>
                    <w:jc w:val="center"/>
                    <w:rPr>
                      <w:rFonts w:hint="default" w:ascii="Times New Roman" w:hAnsi="Times New Roman" w:eastAsia="宋体" w:cs="Times New Roman"/>
                      <w:sz w:val="18"/>
                      <w:szCs w:val="18"/>
                      <w:highlight w:val="none"/>
                      <w:lang w:val="en-US" w:eastAsia="zh-CN"/>
                    </w:rPr>
                  </w:pPr>
                  <w:r>
                    <w:rPr>
                      <w:rFonts w:hint="default" w:ascii="Times New Roman" w:hAnsi="Times New Roman" w:eastAsia="宋体" w:cs="Times New Roman"/>
                      <w:sz w:val="18"/>
                      <w:szCs w:val="18"/>
                      <w:lang w:val="en-US" w:eastAsia="zh-CN"/>
                    </w:rPr>
                    <w:t>20</w:t>
                  </w:r>
                  <w:r>
                    <w:rPr>
                      <w:rFonts w:hint="default" w:ascii="Times New Roman" w:hAnsi="Times New Roman" w:cs="Times New Roman"/>
                      <w:sz w:val="18"/>
                      <w:szCs w:val="18"/>
                      <w:lang w:val="en-US" w:eastAsia="zh-CN"/>
                    </w:rPr>
                    <w:t>09</w:t>
                  </w:r>
                  <w:r>
                    <w:rPr>
                      <w:rFonts w:hint="default" w:ascii="Times New Roman" w:hAnsi="Times New Roman" w:eastAsia="宋体" w:cs="Times New Roman"/>
                      <w:sz w:val="18"/>
                      <w:szCs w:val="18"/>
                      <w:lang w:val="en-US" w:eastAsia="zh-CN"/>
                    </w:rPr>
                    <w:t>年</w:t>
                  </w:r>
                  <w:r>
                    <w:rPr>
                      <w:rFonts w:hint="default" w:ascii="Times New Roman" w:hAnsi="Times New Roman" w:cs="Times New Roman"/>
                      <w:sz w:val="18"/>
                      <w:szCs w:val="18"/>
                      <w:lang w:val="en-US" w:eastAsia="zh-CN"/>
                    </w:rPr>
                    <w:t>9</w:t>
                  </w:r>
                  <w:r>
                    <w:rPr>
                      <w:rFonts w:hint="default" w:ascii="Times New Roman" w:hAnsi="Times New Roman" w:eastAsia="宋体" w:cs="Times New Roman"/>
                      <w:sz w:val="18"/>
                      <w:szCs w:val="18"/>
                      <w:lang w:val="en-US" w:eastAsia="zh-CN"/>
                    </w:rPr>
                    <w:t xml:space="preserve">月 </w:t>
                  </w:r>
                  <w:r>
                    <w:rPr>
                      <w:rFonts w:hint="default" w:ascii="Times New Roman" w:hAnsi="Times New Roman" w:cs="Times New Roman"/>
                      <w:sz w:val="18"/>
                      <w:szCs w:val="18"/>
                      <w:lang w:val="en-US" w:eastAsia="zh-CN"/>
                    </w:rPr>
                    <w:t>1</w:t>
                  </w:r>
                  <w:r>
                    <w:rPr>
                      <w:rFonts w:hint="default" w:ascii="Times New Roman" w:hAnsi="Times New Roman" w:eastAsia="宋体" w:cs="Times New Roman"/>
                      <w:sz w:val="18"/>
                      <w:szCs w:val="18"/>
                      <w:lang w:val="en-US" w:eastAsia="zh-CN"/>
                    </w:rPr>
                    <w:t>8日</w:t>
                  </w:r>
                </w:p>
              </w:tc>
              <w:tc>
                <w:tcPr>
                  <w:tcW w:w="602" w:type="pct"/>
                  <w:vAlign w:val="center"/>
                </w:tcPr>
                <w:p w14:paraId="5E737386">
                  <w:pPr>
                    <w:adjustRightInd w:val="0"/>
                    <w:snapToGrid w:val="0"/>
                    <w:jc w:val="center"/>
                    <w:rPr>
                      <w:rFonts w:hint="default" w:ascii="Times New Roman" w:hAnsi="Times New Roman" w:eastAsia="宋体" w:cs="Times New Roman"/>
                      <w:spacing w:val="5"/>
                      <w:sz w:val="18"/>
                      <w:szCs w:val="18"/>
                      <w:highlight w:val="none"/>
                      <w:lang w:eastAsia="zh-CN"/>
                    </w:rPr>
                  </w:pPr>
                  <w:r>
                    <w:rPr>
                      <w:rFonts w:hint="default" w:ascii="Times New Roman" w:hAnsi="Times New Roman" w:eastAsia="宋体" w:cs="Times New Roman"/>
                      <w:spacing w:val="5"/>
                      <w:sz w:val="18"/>
                      <w:szCs w:val="18"/>
                      <w:highlight w:val="none"/>
                      <w:lang w:eastAsia="zh-CN"/>
                    </w:rPr>
                    <w:t>川环验</w:t>
                  </w:r>
                  <w:r>
                    <w:rPr>
                      <w:rFonts w:hint="default" w:ascii="Times New Roman" w:hAnsi="Times New Roman" w:eastAsia="宋体" w:cs="Times New Roman"/>
                      <w:bCs/>
                      <w:color w:val="000000"/>
                      <w:kern w:val="0"/>
                      <w:sz w:val="18"/>
                      <w:szCs w:val="18"/>
                    </w:rPr>
                    <w:t>[20</w:t>
                  </w:r>
                  <w:r>
                    <w:rPr>
                      <w:rFonts w:hint="default" w:ascii="Times New Roman" w:hAnsi="Times New Roman" w:cs="Times New Roman"/>
                      <w:bCs/>
                      <w:color w:val="000000"/>
                      <w:kern w:val="0"/>
                      <w:sz w:val="18"/>
                      <w:szCs w:val="18"/>
                      <w:lang w:val="en-US" w:eastAsia="zh-CN"/>
                    </w:rPr>
                    <w:t>09</w:t>
                  </w:r>
                  <w:r>
                    <w:rPr>
                      <w:rFonts w:hint="default" w:ascii="Times New Roman" w:hAnsi="Times New Roman" w:eastAsia="宋体" w:cs="Times New Roman"/>
                      <w:bCs/>
                      <w:color w:val="000000"/>
                      <w:kern w:val="0"/>
                      <w:sz w:val="18"/>
                      <w:szCs w:val="18"/>
                    </w:rPr>
                    <w:t>]</w:t>
                  </w:r>
                  <w:r>
                    <w:rPr>
                      <w:rFonts w:hint="default" w:ascii="Times New Roman" w:hAnsi="Times New Roman" w:cs="Times New Roman"/>
                      <w:bCs/>
                      <w:color w:val="000000"/>
                      <w:kern w:val="0"/>
                      <w:sz w:val="18"/>
                      <w:szCs w:val="18"/>
                      <w:lang w:val="en-US" w:eastAsia="zh-CN"/>
                    </w:rPr>
                    <w:t>62</w:t>
                  </w:r>
                  <w:r>
                    <w:rPr>
                      <w:rFonts w:hint="default" w:ascii="Times New Roman" w:hAnsi="Times New Roman" w:eastAsia="宋体" w:cs="Times New Roman"/>
                      <w:bCs/>
                      <w:color w:val="000000"/>
                      <w:kern w:val="0"/>
                      <w:sz w:val="18"/>
                      <w:szCs w:val="18"/>
                    </w:rPr>
                    <w:t>号</w:t>
                  </w:r>
                </w:p>
              </w:tc>
              <w:tc>
                <w:tcPr>
                  <w:tcW w:w="651" w:type="pct"/>
                  <w:vAlign w:val="center"/>
                </w:tcPr>
                <w:p w14:paraId="4987E7F4">
                  <w:pPr>
                    <w:adjustRightInd w:val="0"/>
                    <w:snapToGrid w:val="0"/>
                    <w:jc w:val="center"/>
                    <w:rPr>
                      <w:rFonts w:hint="default" w:ascii="Times New Roman" w:hAnsi="Times New Roman" w:eastAsia="宋体" w:cs="Times New Roman"/>
                      <w:sz w:val="18"/>
                      <w:szCs w:val="18"/>
                      <w:highlight w:val="none"/>
                      <w:lang w:eastAsia="zh-CN"/>
                    </w:rPr>
                  </w:pPr>
                  <w:r>
                    <w:rPr>
                      <w:rFonts w:hint="default" w:ascii="Times New Roman" w:hAnsi="Times New Roman" w:eastAsia="宋体" w:cs="Times New Roman"/>
                      <w:spacing w:val="5"/>
                      <w:sz w:val="18"/>
                      <w:szCs w:val="18"/>
                      <w:highlight w:val="none"/>
                      <w:lang w:eastAsia="zh-CN"/>
                    </w:rPr>
                    <w:t>正常生产</w:t>
                  </w:r>
                </w:p>
              </w:tc>
              <w:tc>
                <w:tcPr>
                  <w:tcW w:w="651" w:type="pct"/>
                  <w:vAlign w:val="center"/>
                </w:tcPr>
                <w:p w14:paraId="15AB9753">
                  <w:pPr>
                    <w:adjustRightInd w:val="0"/>
                    <w:snapToGrid w:val="0"/>
                    <w:jc w:val="center"/>
                    <w:rPr>
                      <w:rFonts w:hint="default" w:ascii="Times New Roman" w:hAnsi="Times New Roman" w:eastAsia="宋体" w:cs="Times New Roman"/>
                      <w:spacing w:val="5"/>
                      <w:sz w:val="18"/>
                      <w:szCs w:val="18"/>
                      <w:highlight w:val="none"/>
                      <w:lang w:eastAsia="zh-CN"/>
                    </w:rPr>
                  </w:pPr>
                  <w:r>
                    <w:rPr>
                      <w:rFonts w:hint="default" w:ascii="Times New Roman" w:hAnsi="Times New Roman" w:cs="Times New Roman"/>
                      <w:spacing w:val="5"/>
                      <w:sz w:val="18"/>
                      <w:szCs w:val="18"/>
                      <w:highlight w:val="none"/>
                      <w:lang w:eastAsia="zh-CN"/>
                    </w:rPr>
                    <w:t>老</w:t>
                  </w:r>
                  <w:r>
                    <w:rPr>
                      <w:rFonts w:hint="default" w:ascii="Times New Roman" w:hAnsi="Times New Roman" w:eastAsia="宋体" w:cs="Times New Roman"/>
                      <w:spacing w:val="5"/>
                      <w:sz w:val="18"/>
                      <w:szCs w:val="18"/>
                      <w:highlight w:val="none"/>
                      <w:lang w:eastAsia="zh-CN"/>
                    </w:rPr>
                    <w:t>厂区</w:t>
                  </w:r>
                </w:p>
              </w:tc>
            </w:tr>
            <w:tr w14:paraId="54A6B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28" w:hRule="atLeast"/>
                <w:jc w:val="center"/>
              </w:trPr>
              <w:tc>
                <w:tcPr>
                  <w:tcW w:w="789" w:type="pct"/>
                  <w:vAlign w:val="center"/>
                </w:tcPr>
                <w:p w14:paraId="7077F8FC">
                  <w:pPr>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年产100套供水设备、10台热水锅炉、10台换热器项目后评价</w:t>
                  </w:r>
                </w:p>
              </w:tc>
              <w:tc>
                <w:tcPr>
                  <w:tcW w:w="483" w:type="pct"/>
                  <w:vAlign w:val="center"/>
                </w:tcPr>
                <w:p w14:paraId="30F31428">
                  <w:pPr>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原淄博市环境保护局淄川分局</w:t>
                  </w:r>
                </w:p>
              </w:tc>
              <w:tc>
                <w:tcPr>
                  <w:tcW w:w="1050" w:type="dxa"/>
                  <w:vAlign w:val="center"/>
                </w:tcPr>
                <w:p w14:paraId="6DE95FEC">
                  <w:pPr>
                    <w:adjustRightInd w:val="0"/>
                    <w:snapToGrid w:val="0"/>
                    <w:jc w:val="center"/>
                    <w:rPr>
                      <w:rFonts w:hint="default" w:ascii="Times New Roman" w:hAnsi="Times New Roman" w:eastAsia="宋体" w:cs="Times New Roman"/>
                      <w:sz w:val="18"/>
                      <w:szCs w:val="18"/>
                      <w:highlight w:val="yellow"/>
                      <w:lang w:val="en-US" w:eastAsia="zh-CN"/>
                    </w:rPr>
                  </w:pPr>
                  <w:r>
                    <w:rPr>
                      <w:rFonts w:hint="default" w:ascii="Times New Roman" w:hAnsi="Times New Roman" w:eastAsia="宋体" w:cs="Times New Roman"/>
                      <w:sz w:val="18"/>
                      <w:szCs w:val="18"/>
                      <w:highlight w:val="none"/>
                      <w:lang w:val="en-US" w:eastAsia="zh-CN"/>
                    </w:rPr>
                    <w:t>201</w:t>
                  </w:r>
                  <w:r>
                    <w:rPr>
                      <w:rFonts w:hint="default" w:ascii="Times New Roman" w:hAnsi="Times New Roman" w:cs="Times New Roman"/>
                      <w:sz w:val="18"/>
                      <w:szCs w:val="18"/>
                      <w:highlight w:val="none"/>
                      <w:lang w:val="en-US" w:eastAsia="zh-CN"/>
                    </w:rPr>
                    <w:t>8</w:t>
                  </w:r>
                  <w:r>
                    <w:rPr>
                      <w:rFonts w:hint="default" w:ascii="Times New Roman" w:hAnsi="Times New Roman" w:eastAsia="宋体" w:cs="Times New Roman"/>
                      <w:sz w:val="18"/>
                      <w:szCs w:val="18"/>
                      <w:highlight w:val="none"/>
                      <w:lang w:val="en-US" w:eastAsia="zh-CN"/>
                    </w:rPr>
                    <w:t>年</w:t>
                  </w:r>
                  <w:r>
                    <w:rPr>
                      <w:rFonts w:hint="default" w:ascii="Times New Roman" w:hAnsi="Times New Roman" w:cs="Times New Roman"/>
                      <w:sz w:val="18"/>
                      <w:szCs w:val="18"/>
                      <w:highlight w:val="none"/>
                      <w:lang w:val="en-US" w:eastAsia="zh-CN"/>
                    </w:rPr>
                    <w:t>9</w:t>
                  </w:r>
                  <w:r>
                    <w:rPr>
                      <w:rFonts w:hint="default" w:ascii="Times New Roman" w:hAnsi="Times New Roman" w:eastAsia="宋体" w:cs="Times New Roman"/>
                      <w:sz w:val="18"/>
                      <w:szCs w:val="18"/>
                      <w:highlight w:val="none"/>
                      <w:lang w:val="en-US" w:eastAsia="zh-CN"/>
                    </w:rPr>
                    <w:t>月1</w:t>
                  </w:r>
                  <w:r>
                    <w:rPr>
                      <w:rFonts w:hint="default" w:ascii="Times New Roman" w:hAnsi="Times New Roman" w:cs="Times New Roman"/>
                      <w:sz w:val="18"/>
                      <w:szCs w:val="18"/>
                      <w:highlight w:val="none"/>
                      <w:lang w:val="en-US" w:eastAsia="zh-CN"/>
                    </w:rPr>
                    <w:t>0</w:t>
                  </w:r>
                  <w:r>
                    <w:rPr>
                      <w:rFonts w:hint="default" w:ascii="Times New Roman" w:hAnsi="Times New Roman" w:eastAsia="宋体" w:cs="Times New Roman"/>
                      <w:sz w:val="18"/>
                      <w:szCs w:val="18"/>
                      <w:highlight w:val="none"/>
                      <w:lang w:val="en-US" w:eastAsia="zh-CN"/>
                    </w:rPr>
                    <w:t>日</w:t>
                  </w:r>
                </w:p>
              </w:tc>
              <w:tc>
                <w:tcPr>
                  <w:tcW w:w="1010" w:type="dxa"/>
                  <w:vAlign w:val="center"/>
                </w:tcPr>
                <w:p w14:paraId="3046B338">
                  <w:pPr>
                    <w:jc w:val="center"/>
                    <w:rPr>
                      <w:rFonts w:hint="default" w:ascii="Times New Roman" w:hAnsi="Times New Roman" w:eastAsia="宋体" w:cs="Times New Roman"/>
                      <w:sz w:val="18"/>
                      <w:szCs w:val="18"/>
                      <w:highlight w:val="yellow"/>
                      <w:lang w:val="en-US" w:eastAsia="zh-CN"/>
                    </w:rPr>
                  </w:pPr>
                  <w:r>
                    <w:rPr>
                      <w:rFonts w:hint="default" w:ascii="Times New Roman" w:hAnsi="Times New Roman" w:eastAsia="宋体" w:cs="Times New Roman"/>
                      <w:color w:val="000000"/>
                      <w:kern w:val="0"/>
                      <w:sz w:val="18"/>
                      <w:szCs w:val="18"/>
                      <w:highlight w:val="none"/>
                    </w:rPr>
                    <w:t>川环</w:t>
                  </w:r>
                  <w:r>
                    <w:rPr>
                      <w:rFonts w:hint="default" w:ascii="Times New Roman" w:hAnsi="Times New Roman" w:cs="Times New Roman"/>
                      <w:color w:val="000000"/>
                      <w:kern w:val="0"/>
                      <w:sz w:val="18"/>
                      <w:szCs w:val="18"/>
                      <w:highlight w:val="none"/>
                      <w:lang w:eastAsia="zh-CN"/>
                    </w:rPr>
                    <w:t>备案</w:t>
                  </w:r>
                  <w:r>
                    <w:rPr>
                      <w:rFonts w:hint="default" w:ascii="Times New Roman" w:hAnsi="Times New Roman" w:eastAsia="宋体" w:cs="Times New Roman"/>
                      <w:color w:val="000000"/>
                      <w:kern w:val="0"/>
                      <w:sz w:val="18"/>
                      <w:szCs w:val="18"/>
                      <w:highlight w:val="none"/>
                    </w:rPr>
                    <w:t>［201</w:t>
                  </w:r>
                  <w:r>
                    <w:rPr>
                      <w:rFonts w:hint="default" w:ascii="Times New Roman" w:hAnsi="Times New Roman" w:cs="Times New Roman"/>
                      <w:color w:val="000000"/>
                      <w:kern w:val="0"/>
                      <w:sz w:val="18"/>
                      <w:szCs w:val="18"/>
                      <w:highlight w:val="none"/>
                      <w:lang w:val="en-US" w:eastAsia="zh-CN"/>
                    </w:rPr>
                    <w:t>8</w:t>
                  </w:r>
                  <w:r>
                    <w:rPr>
                      <w:rFonts w:hint="default" w:ascii="Times New Roman" w:hAnsi="Times New Roman" w:eastAsia="宋体" w:cs="Times New Roman"/>
                      <w:color w:val="000000"/>
                      <w:kern w:val="0"/>
                      <w:sz w:val="18"/>
                      <w:szCs w:val="18"/>
                      <w:highlight w:val="none"/>
                    </w:rPr>
                    <w:t>］</w:t>
                  </w:r>
                  <w:r>
                    <w:rPr>
                      <w:rFonts w:hint="default" w:ascii="Times New Roman" w:hAnsi="Times New Roman" w:cs="Times New Roman"/>
                      <w:color w:val="000000"/>
                      <w:kern w:val="0"/>
                      <w:sz w:val="18"/>
                      <w:szCs w:val="18"/>
                      <w:highlight w:val="none"/>
                      <w:lang w:val="en-US" w:eastAsia="zh-CN"/>
                    </w:rPr>
                    <w:t>46</w:t>
                  </w:r>
                  <w:r>
                    <w:rPr>
                      <w:rFonts w:hint="default" w:ascii="Times New Roman" w:hAnsi="Times New Roman" w:eastAsia="宋体" w:cs="Times New Roman"/>
                      <w:color w:val="000000"/>
                      <w:kern w:val="0"/>
                      <w:sz w:val="18"/>
                      <w:szCs w:val="18"/>
                      <w:highlight w:val="none"/>
                    </w:rPr>
                    <w:t>号</w:t>
                  </w:r>
                </w:p>
              </w:tc>
              <w:tc>
                <w:tcPr>
                  <w:tcW w:w="1005" w:type="dxa"/>
                  <w:vAlign w:val="center"/>
                </w:tcPr>
                <w:p w14:paraId="04B718EE">
                  <w:pPr>
                    <w:adjustRightInd w:val="0"/>
                    <w:snapToGrid w:val="0"/>
                    <w:jc w:val="center"/>
                    <w:rPr>
                      <w:rFonts w:hint="default" w:ascii="Times New Roman" w:hAnsi="Times New Roman" w:eastAsia="宋体" w:cs="Times New Roman"/>
                      <w:sz w:val="18"/>
                      <w:szCs w:val="18"/>
                      <w:highlight w:val="yellow"/>
                      <w:lang w:val="en-US" w:eastAsia="zh-CN"/>
                    </w:rPr>
                  </w:pPr>
                  <w:r>
                    <w:rPr>
                      <w:rFonts w:hint="default" w:ascii="Times New Roman" w:hAnsi="Times New Roman" w:cs="Times New Roman"/>
                      <w:sz w:val="18"/>
                      <w:szCs w:val="18"/>
                      <w:highlight w:val="none"/>
                      <w:lang w:val="en-US" w:eastAsia="zh-CN"/>
                    </w:rPr>
                    <w:t>/</w:t>
                  </w:r>
                </w:p>
              </w:tc>
              <w:tc>
                <w:tcPr>
                  <w:tcW w:w="1013" w:type="dxa"/>
                  <w:vAlign w:val="center"/>
                </w:tcPr>
                <w:p w14:paraId="0E1775CF">
                  <w:pPr>
                    <w:adjustRightInd w:val="0"/>
                    <w:snapToGrid w:val="0"/>
                    <w:jc w:val="center"/>
                    <w:rPr>
                      <w:rFonts w:hint="default" w:ascii="Times New Roman" w:hAnsi="Times New Roman" w:eastAsia="宋体" w:cs="Times New Roman"/>
                      <w:spacing w:val="5"/>
                      <w:sz w:val="18"/>
                      <w:szCs w:val="18"/>
                      <w:highlight w:val="yellow"/>
                      <w:lang w:val="en-US" w:eastAsia="zh-CN"/>
                    </w:rPr>
                  </w:pPr>
                  <w:r>
                    <w:rPr>
                      <w:rFonts w:hint="default" w:ascii="Times New Roman" w:hAnsi="Times New Roman" w:cs="Times New Roman"/>
                      <w:spacing w:val="5"/>
                      <w:sz w:val="18"/>
                      <w:szCs w:val="18"/>
                      <w:highlight w:val="none"/>
                      <w:lang w:val="en-US" w:eastAsia="zh-CN"/>
                    </w:rPr>
                    <w:t>/</w:t>
                  </w:r>
                </w:p>
              </w:tc>
              <w:tc>
                <w:tcPr>
                  <w:tcW w:w="1096" w:type="dxa"/>
                  <w:vAlign w:val="center"/>
                </w:tcPr>
                <w:p w14:paraId="5590C119">
                  <w:pPr>
                    <w:adjustRightInd w:val="0"/>
                    <w:snapToGrid w:val="0"/>
                    <w:jc w:val="center"/>
                    <w:rPr>
                      <w:rFonts w:hint="default" w:ascii="Times New Roman" w:hAnsi="Times New Roman" w:eastAsia="宋体" w:cs="Times New Roman"/>
                      <w:spacing w:val="5"/>
                      <w:sz w:val="18"/>
                      <w:szCs w:val="18"/>
                      <w:highlight w:val="yellow"/>
                      <w:lang w:eastAsia="zh-CN"/>
                    </w:rPr>
                  </w:pPr>
                  <w:r>
                    <w:rPr>
                      <w:rFonts w:hint="default" w:ascii="Times New Roman" w:hAnsi="Times New Roman" w:eastAsia="宋体" w:cs="Times New Roman"/>
                      <w:spacing w:val="5"/>
                      <w:sz w:val="18"/>
                      <w:szCs w:val="18"/>
                      <w:highlight w:val="none"/>
                      <w:lang w:eastAsia="zh-CN"/>
                    </w:rPr>
                    <w:t>正常生产</w:t>
                  </w:r>
                </w:p>
              </w:tc>
              <w:tc>
                <w:tcPr>
                  <w:tcW w:w="1096" w:type="dxa"/>
                  <w:vAlign w:val="center"/>
                </w:tcPr>
                <w:p w14:paraId="51232EC5">
                  <w:pPr>
                    <w:adjustRightInd w:val="0"/>
                    <w:snapToGrid w:val="0"/>
                    <w:jc w:val="center"/>
                    <w:rPr>
                      <w:rFonts w:hint="default" w:ascii="Times New Roman" w:hAnsi="Times New Roman" w:eastAsia="宋体" w:cs="Times New Roman"/>
                      <w:spacing w:val="5"/>
                      <w:sz w:val="18"/>
                      <w:szCs w:val="18"/>
                      <w:highlight w:val="yellow"/>
                      <w:lang w:eastAsia="zh-CN"/>
                    </w:rPr>
                  </w:pPr>
                  <w:r>
                    <w:rPr>
                      <w:rFonts w:hint="default" w:ascii="Times New Roman" w:hAnsi="Times New Roman" w:cs="Times New Roman"/>
                      <w:spacing w:val="5"/>
                      <w:sz w:val="18"/>
                      <w:szCs w:val="18"/>
                      <w:highlight w:val="none"/>
                      <w:lang w:eastAsia="zh-CN"/>
                    </w:rPr>
                    <w:t>老</w:t>
                  </w:r>
                  <w:r>
                    <w:rPr>
                      <w:rFonts w:hint="default" w:ascii="Times New Roman" w:hAnsi="Times New Roman" w:eastAsia="宋体" w:cs="Times New Roman"/>
                      <w:spacing w:val="5"/>
                      <w:sz w:val="18"/>
                      <w:szCs w:val="18"/>
                      <w:highlight w:val="none"/>
                      <w:lang w:eastAsia="zh-CN"/>
                    </w:rPr>
                    <w:t>厂区</w:t>
                  </w:r>
                </w:p>
              </w:tc>
            </w:tr>
          </w:tbl>
          <w:p w14:paraId="63A7A38A">
            <w:pPr>
              <w:spacing w:line="360" w:lineRule="auto"/>
              <w:ind w:firstLine="420" w:firstLineChars="200"/>
            </w:pPr>
            <w:r>
              <w:rPr>
                <w:rFonts w:hint="eastAsia"/>
              </w:rPr>
              <w:t xml:space="preserve">  </w:t>
            </w:r>
            <w:r>
              <w:rPr>
                <w:rFonts w:hint="eastAsia"/>
                <w:lang w:eastAsia="zh-CN"/>
              </w:rPr>
              <w:t>本项目购买</w:t>
            </w:r>
            <w:r>
              <w:rPr>
                <w:rFonts w:hint="eastAsia"/>
                <w:sz w:val="21"/>
                <w:szCs w:val="21"/>
                <w:lang w:val="en-US" w:eastAsia="zh-CN"/>
              </w:rPr>
              <w:t>淄川经济开发区中一产业园厂房3栋共计16200平方米作为新厂区，项目建成时从现有厂区中将现有闲置的3台空压机搬迁至新厂区使用。</w:t>
            </w:r>
          </w:p>
          <w:p w14:paraId="7233CB54">
            <w:pPr>
              <w:spacing w:line="360" w:lineRule="auto"/>
              <w:ind w:firstLine="420" w:firstLineChars="200"/>
            </w:pPr>
            <w:r>
              <w:t>二、排污许可手续办理情况</w:t>
            </w:r>
          </w:p>
          <w:p w14:paraId="1EE939F3">
            <w:pPr>
              <w:keepNext w:val="0"/>
              <w:keepLines w:val="0"/>
              <w:widowControl/>
              <w:suppressLineNumbers w:val="0"/>
              <w:spacing w:line="360" w:lineRule="auto"/>
              <w:ind w:firstLine="420" w:firstLineChars="200"/>
              <w:jc w:val="left"/>
              <w:rPr>
                <w:rFonts w:hint="default" w:ascii="Times New Roman" w:hAnsi="Times New Roman" w:eastAsia="宋体" w:cs="Times New Roman"/>
                <w:bCs/>
                <w:sz w:val="21"/>
                <w:szCs w:val="21"/>
                <w:highlight w:val="none"/>
              </w:rPr>
            </w:pPr>
            <w:r>
              <w:rPr>
                <w:rFonts w:hint="eastAsia"/>
                <w:highlight w:val="none"/>
                <w:lang w:eastAsia="zh-CN"/>
              </w:rPr>
              <w:t>老厂区</w:t>
            </w:r>
            <w:r>
              <w:rPr>
                <w:rFonts w:hint="default"/>
                <w:highlight w:val="none"/>
              </w:rPr>
              <w:t>现有项目</w:t>
            </w:r>
            <w:r>
              <w:rPr>
                <w:rFonts w:hint="eastAsia"/>
                <w:highlight w:val="none"/>
                <w:lang w:val="en-US" w:eastAsia="zh-CN"/>
              </w:rPr>
              <w:t>2020年02月29日首次</w:t>
            </w:r>
            <w:r>
              <w:rPr>
                <w:rFonts w:hint="default"/>
                <w:highlight w:val="none"/>
              </w:rPr>
              <w:t>取得</w:t>
            </w:r>
            <w:r>
              <w:rPr>
                <w:rFonts w:hint="eastAsia"/>
                <w:highlight w:val="none"/>
                <w:lang w:eastAsia="zh-CN"/>
              </w:rPr>
              <w:t>排污许可登记回执，</w:t>
            </w:r>
            <w:r>
              <w:rPr>
                <w:rFonts w:hint="eastAsia"/>
                <w:highlight w:val="none"/>
                <w:lang w:val="en-US" w:eastAsia="zh-CN"/>
              </w:rPr>
              <w:t>2025年2月17日完成延续（</w:t>
            </w:r>
            <w:r>
              <w:rPr>
                <w:rFonts w:hint="eastAsia"/>
                <w:highlight w:val="none"/>
                <w:lang w:eastAsia="zh-CN"/>
              </w:rPr>
              <w:t>排污许可登记回执</w:t>
            </w:r>
            <w:r>
              <w:rPr>
                <w:rFonts w:hint="default"/>
                <w:highlight w:val="none"/>
              </w:rPr>
              <w:t>编</w:t>
            </w:r>
            <w:r>
              <w:rPr>
                <w:rFonts w:hint="default" w:ascii="Times New Roman" w:hAnsi="Times New Roman" w:eastAsia="宋体" w:cs="Times New Roman"/>
                <w:highlight w:val="none"/>
                <w:lang w:val="en-US" w:eastAsia="zh-CN"/>
              </w:rPr>
              <w:t>号：</w:t>
            </w:r>
            <w:r>
              <w:rPr>
                <w:rFonts w:hint="eastAsia"/>
                <w:highlight w:val="none"/>
                <w:lang w:val="en-US" w:eastAsia="zh-CN"/>
              </w:rPr>
              <w:t>91370302164198666E001Z，有效期限自2025年02月28日至2030年2月27日止</w:t>
            </w:r>
            <w:r>
              <w:rPr>
                <w:rFonts w:hint="default"/>
                <w:highlight w:val="none"/>
                <w:lang w:val="en-US" w:eastAsia="zh-CN"/>
              </w:rPr>
              <w:t>）。</w:t>
            </w:r>
          </w:p>
          <w:p w14:paraId="4A179FD6">
            <w:pPr>
              <w:spacing w:line="360" w:lineRule="auto"/>
              <w:ind w:firstLine="420" w:firstLineChars="200"/>
              <w:rPr>
                <w:rFonts w:hint="eastAsia" w:eastAsia="宋体"/>
                <w:lang w:eastAsia="zh-CN"/>
              </w:rPr>
            </w:pPr>
            <w:r>
              <w:t>三、核算现有工程污染物</w:t>
            </w:r>
            <w:r>
              <w:rPr>
                <w:rFonts w:hint="eastAsia"/>
                <w:lang w:eastAsia="zh-CN"/>
              </w:rPr>
              <w:t>排放情况</w:t>
            </w:r>
          </w:p>
          <w:p w14:paraId="56FF468F">
            <w:pPr>
              <w:pStyle w:val="11"/>
              <w:spacing w:line="360" w:lineRule="auto"/>
              <w:rPr>
                <w:rFonts w:hint="eastAsia" w:eastAsia="宋体"/>
                <w:lang w:eastAsia="zh-CN"/>
              </w:rPr>
            </w:pPr>
            <w:r>
              <w:rPr>
                <w:rFonts w:hint="eastAsia"/>
                <w:lang w:eastAsia="zh-CN"/>
              </w:rPr>
              <w:t>本次环评根据老厂区现有项目例行检测数据分析现有项目污染物排放及达标情况。</w:t>
            </w:r>
          </w:p>
          <w:p w14:paraId="74ABC718">
            <w:pPr>
              <w:pStyle w:val="11"/>
              <w:spacing w:line="360" w:lineRule="auto"/>
            </w:pPr>
            <w:r>
              <w:t>1、废气</w:t>
            </w:r>
          </w:p>
          <w:p w14:paraId="763B0C5E">
            <w:pPr>
              <w:pStyle w:val="11"/>
              <w:spacing w:line="360" w:lineRule="auto"/>
            </w:pPr>
            <w:r>
              <w:t>（1）污染物排放及达标情况分析</w:t>
            </w:r>
          </w:p>
          <w:p w14:paraId="7025E17D">
            <w:pPr>
              <w:spacing w:line="360" w:lineRule="auto"/>
              <w:ind w:firstLine="420" w:firstLineChars="200"/>
              <w:jc w:val="both"/>
              <w:rPr>
                <w:rFonts w:hint="eastAsia" w:ascii="Times New Roman" w:hAnsi="Times New Roman" w:cs="Times New Roman"/>
                <w:bCs/>
                <w:color w:val="000000"/>
                <w:sz w:val="21"/>
                <w:szCs w:val="21"/>
                <w:lang w:val="en-US" w:eastAsia="zh-CN"/>
              </w:rPr>
            </w:pPr>
            <w:r>
              <w:rPr>
                <w:rFonts w:hint="eastAsia"/>
                <w:color w:val="auto"/>
                <w:sz w:val="21"/>
                <w:szCs w:val="21"/>
                <w:lang w:eastAsia="zh-CN"/>
              </w:rPr>
              <w:t>现有项目有组织</w:t>
            </w:r>
            <w:r>
              <w:rPr>
                <w:rFonts w:hint="default"/>
                <w:color w:val="auto"/>
                <w:sz w:val="21"/>
                <w:szCs w:val="21"/>
              </w:rPr>
              <w:t>废气包括</w:t>
            </w:r>
            <w:r>
              <w:rPr>
                <w:rFonts w:hint="eastAsia"/>
                <w:color w:val="auto"/>
                <w:sz w:val="21"/>
                <w:szCs w:val="21"/>
                <w:lang w:eastAsia="zh-CN"/>
              </w:rPr>
              <w:t>：</w:t>
            </w:r>
            <w:r>
              <w:rPr>
                <w:rFonts w:hint="eastAsia"/>
                <w:color w:val="auto"/>
                <w:sz w:val="21"/>
                <w:szCs w:val="21"/>
                <w:lang w:val="en-US" w:eastAsia="zh-CN"/>
              </w:rPr>
              <w:t>1#</w:t>
            </w:r>
            <w:r>
              <w:rPr>
                <w:rFonts w:hint="eastAsia"/>
                <w:color w:val="auto"/>
                <w:sz w:val="21"/>
                <w:szCs w:val="21"/>
                <w:lang w:eastAsia="zh-CN"/>
              </w:rPr>
              <w:t>刷漆房刷漆工序产生的</w:t>
            </w:r>
            <w:r>
              <w:rPr>
                <w:rFonts w:hint="eastAsia"/>
                <w:color w:val="auto"/>
                <w:sz w:val="21"/>
                <w:szCs w:val="21"/>
                <w:lang w:val="en-US" w:eastAsia="zh-CN"/>
              </w:rPr>
              <w:t>VOCs（含苯、甲苯、二甲苯）负压收集经1#两级活性炭吸附装置吸附装置处理后经15mDA001排气筒有组织排放；2#</w:t>
            </w:r>
            <w:r>
              <w:rPr>
                <w:rFonts w:hint="eastAsia"/>
                <w:color w:val="auto"/>
                <w:sz w:val="21"/>
                <w:szCs w:val="21"/>
                <w:lang w:eastAsia="zh-CN"/>
              </w:rPr>
              <w:t>刷漆房刷漆工序产生的</w:t>
            </w:r>
            <w:r>
              <w:rPr>
                <w:rFonts w:hint="eastAsia"/>
                <w:color w:val="auto"/>
                <w:sz w:val="21"/>
                <w:szCs w:val="21"/>
                <w:lang w:val="en-US" w:eastAsia="zh-CN"/>
              </w:rPr>
              <w:t>VOCs（含苯、甲苯、二甲苯）负压收集后经2#两级活性炭吸附装置吸附装置处理后经15mDA002排气筒有组织排放</w:t>
            </w:r>
            <w:r>
              <w:rPr>
                <w:rFonts w:hint="eastAsia"/>
                <w:sz w:val="21"/>
                <w:szCs w:val="21"/>
              </w:rPr>
              <w:t>；</w:t>
            </w:r>
            <w:r>
              <w:rPr>
                <w:rFonts w:hint="eastAsia"/>
                <w:sz w:val="21"/>
                <w:szCs w:val="21"/>
                <w:lang w:eastAsia="zh-CN"/>
              </w:rPr>
              <w:t>无组织废气主要为焊接工序产生的颗粒物经移动式焊烟净化器处理后无组织排放；下料、开孔工序产生的颗粒物无组织排放，刷漆工序未收集的有机废气无组织排放</w:t>
            </w:r>
            <w:r>
              <w:rPr>
                <w:rFonts w:hint="eastAsia"/>
                <w:sz w:val="21"/>
                <w:szCs w:val="21"/>
              </w:rPr>
              <w:t>。</w:t>
            </w:r>
          </w:p>
          <w:p w14:paraId="44676246">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rFonts w:hint="eastAsia"/>
                <w:color w:val="auto"/>
                <w:sz w:val="21"/>
                <w:szCs w:val="21"/>
                <w:lang w:val="en-US" w:eastAsia="zh-CN"/>
              </w:rPr>
            </w:pPr>
            <w:r>
              <w:rPr>
                <w:rFonts w:hint="eastAsia"/>
                <w:sz w:val="21"/>
                <w:szCs w:val="21"/>
                <w:lang w:val="en-US" w:eastAsia="zh-CN"/>
              </w:rPr>
              <w:t>1#</w:t>
            </w:r>
            <w:r>
              <w:rPr>
                <w:rFonts w:hint="eastAsia"/>
                <w:sz w:val="21"/>
                <w:szCs w:val="21"/>
                <w:lang w:eastAsia="zh-CN"/>
              </w:rPr>
              <w:t>刷漆房刷漆工序年</w:t>
            </w:r>
            <w:r>
              <w:rPr>
                <w:rFonts w:hint="eastAsia"/>
                <w:sz w:val="21"/>
                <w:szCs w:val="21"/>
              </w:rPr>
              <w:t>工作时间为6</w:t>
            </w:r>
            <w:r>
              <w:rPr>
                <w:sz w:val="21"/>
                <w:szCs w:val="21"/>
              </w:rPr>
              <w:t>00</w:t>
            </w:r>
            <w:r>
              <w:rPr>
                <w:rFonts w:hint="eastAsia"/>
                <w:sz w:val="21"/>
                <w:szCs w:val="21"/>
              </w:rPr>
              <w:t>h</w:t>
            </w:r>
            <w:r>
              <w:rPr>
                <w:sz w:val="21"/>
                <w:szCs w:val="21"/>
              </w:rPr>
              <w:t>/</w:t>
            </w:r>
            <w:r>
              <w:rPr>
                <w:rFonts w:hint="eastAsia"/>
                <w:sz w:val="21"/>
                <w:szCs w:val="21"/>
              </w:rPr>
              <w:t>a</w:t>
            </w:r>
            <w:r>
              <w:rPr>
                <w:rFonts w:hint="eastAsia"/>
                <w:color w:val="auto"/>
                <w:sz w:val="21"/>
                <w:szCs w:val="21"/>
                <w:lang w:val="en-US" w:eastAsia="zh-CN"/>
              </w:rPr>
              <w:t>，2</w:t>
            </w:r>
            <w:r>
              <w:rPr>
                <w:rFonts w:hint="eastAsia"/>
                <w:sz w:val="21"/>
                <w:szCs w:val="21"/>
                <w:lang w:val="en-US" w:eastAsia="zh-CN"/>
              </w:rPr>
              <w:t>#</w:t>
            </w:r>
            <w:r>
              <w:rPr>
                <w:rFonts w:hint="eastAsia"/>
                <w:sz w:val="21"/>
                <w:szCs w:val="21"/>
                <w:lang w:eastAsia="zh-CN"/>
              </w:rPr>
              <w:t>刷漆房刷漆工序年</w:t>
            </w:r>
            <w:r>
              <w:rPr>
                <w:rFonts w:hint="eastAsia"/>
                <w:sz w:val="21"/>
                <w:szCs w:val="21"/>
              </w:rPr>
              <w:t>工作时间为6</w:t>
            </w:r>
            <w:r>
              <w:rPr>
                <w:sz w:val="21"/>
                <w:szCs w:val="21"/>
              </w:rPr>
              <w:t>00</w:t>
            </w:r>
            <w:r>
              <w:rPr>
                <w:rFonts w:hint="eastAsia"/>
                <w:sz w:val="21"/>
                <w:szCs w:val="21"/>
              </w:rPr>
              <w:t>h</w:t>
            </w:r>
            <w:r>
              <w:rPr>
                <w:sz w:val="21"/>
                <w:szCs w:val="21"/>
              </w:rPr>
              <w:t>/</w:t>
            </w:r>
            <w:r>
              <w:rPr>
                <w:rFonts w:hint="eastAsia"/>
                <w:sz w:val="21"/>
                <w:szCs w:val="21"/>
              </w:rPr>
              <w:t>a</w:t>
            </w:r>
            <w:r>
              <w:rPr>
                <w:rFonts w:hint="eastAsia"/>
                <w:color w:val="auto"/>
                <w:sz w:val="21"/>
                <w:szCs w:val="21"/>
                <w:lang w:val="en-US" w:eastAsia="zh-CN"/>
              </w:rPr>
              <w:t>。</w:t>
            </w:r>
          </w:p>
          <w:p w14:paraId="0FEAA765">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rFonts w:hint="default" w:ascii="Times New Roman" w:hAnsi="Times New Roman" w:eastAsia="宋体" w:cs="Times New Roman"/>
                <w:color w:val="auto"/>
                <w:sz w:val="21"/>
                <w:szCs w:val="21"/>
                <w:lang w:eastAsia="zh-CN"/>
              </w:rPr>
            </w:pPr>
            <w:r>
              <w:rPr>
                <w:rFonts w:hint="eastAsia"/>
                <w:color w:val="auto"/>
                <w:sz w:val="21"/>
                <w:szCs w:val="21"/>
                <w:lang w:val="en-US" w:eastAsia="zh-CN"/>
              </w:rPr>
              <w:t>根据山东泰熙安环咨询服务有限公司2025年6月15日出具</w:t>
            </w:r>
            <w:r>
              <w:rPr>
                <w:rFonts w:hint="eastAsia" w:ascii="Times New Roman" w:hAnsi="Times New Roman" w:eastAsia="宋体" w:cs="Times New Roman"/>
                <w:color w:val="auto"/>
                <w:sz w:val="21"/>
                <w:szCs w:val="21"/>
                <w:lang w:val="en-US" w:eastAsia="zh-CN"/>
              </w:rPr>
              <w:t>的</w:t>
            </w:r>
            <w:r>
              <w:rPr>
                <w:rFonts w:hint="eastAsia" w:cs="Times New Roman"/>
                <w:color w:val="auto"/>
                <w:sz w:val="21"/>
                <w:szCs w:val="21"/>
                <w:lang w:val="en-US" w:eastAsia="zh-CN"/>
              </w:rPr>
              <w:t>淄博华鲁供水设备有限公司</w:t>
            </w:r>
            <w:r>
              <w:rPr>
                <w:rFonts w:hint="eastAsia"/>
                <w:color w:val="auto"/>
                <w:sz w:val="21"/>
                <w:szCs w:val="21"/>
                <w:lang w:val="en-US" w:eastAsia="zh-CN"/>
              </w:rPr>
              <w:t>例行检测报告（</w:t>
            </w:r>
            <w:r>
              <w:rPr>
                <w:rFonts w:hint="eastAsia" w:ascii="Times New Roman" w:hAnsi="Times New Roman" w:eastAsia="宋体" w:cs="Times New Roman"/>
                <w:color w:val="auto"/>
                <w:sz w:val="21"/>
                <w:szCs w:val="21"/>
                <w:lang w:val="en-US" w:eastAsia="zh-CN"/>
              </w:rPr>
              <w:t>编号：</w:t>
            </w:r>
            <w:r>
              <w:rPr>
                <w:rFonts w:hint="eastAsia" w:cs="Times New Roman"/>
                <w:color w:val="auto"/>
                <w:sz w:val="21"/>
                <w:szCs w:val="21"/>
                <w:lang w:val="en-US" w:eastAsia="zh-CN"/>
              </w:rPr>
              <w:t>泰熙安环（检）字：2025053006</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数据</w:t>
            </w:r>
            <w:r>
              <w:rPr>
                <w:rFonts w:hint="eastAsia"/>
                <w:color w:val="auto"/>
                <w:sz w:val="21"/>
                <w:szCs w:val="21"/>
                <w:lang w:val="en-US" w:eastAsia="zh-CN"/>
              </w:rPr>
              <w:t>，</w:t>
            </w:r>
            <w:r>
              <w:rPr>
                <w:rFonts w:hint="default"/>
                <w:color w:val="auto"/>
                <w:sz w:val="21"/>
                <w:szCs w:val="21"/>
              </w:rPr>
              <w:t>监测结果如下</w:t>
            </w:r>
            <w:r>
              <w:rPr>
                <w:rFonts w:hint="default" w:ascii="Times New Roman" w:hAnsi="Times New Roman" w:eastAsia="宋体" w:cs="Times New Roman"/>
                <w:color w:val="auto"/>
                <w:sz w:val="21"/>
                <w:szCs w:val="21"/>
                <w:lang w:eastAsia="zh-CN"/>
              </w:rPr>
              <w:t>：</w:t>
            </w:r>
          </w:p>
          <w:p w14:paraId="0BE9A674">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outlineLvl w:val="9"/>
              <w:rPr>
                <w:rFonts w:hint="eastAsia" w:ascii="宋体" w:hAnsi="宋体" w:eastAsia="宋体" w:cs="宋体"/>
                <w:b/>
                <w:bCs/>
                <w:color w:val="auto"/>
                <w:sz w:val="21"/>
                <w:szCs w:val="21"/>
                <w:lang w:eastAsia="zh-CN"/>
              </w:rPr>
            </w:pPr>
          </w:p>
          <w:p w14:paraId="1E105AB5">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outlineLvl w:val="9"/>
              <w:rPr>
                <w:rFonts w:hint="eastAsia" w:ascii="宋体" w:hAnsi="宋体" w:eastAsia="宋体" w:cs="宋体"/>
                <w:b/>
                <w:bCs/>
                <w:color w:val="auto"/>
                <w:sz w:val="21"/>
                <w:szCs w:val="21"/>
                <w:lang w:eastAsia="zh-CN"/>
              </w:rPr>
            </w:pPr>
          </w:p>
          <w:p w14:paraId="5685C730">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outlineLvl w:val="9"/>
              <w:rPr>
                <w:rFonts w:hint="eastAsia" w:ascii="宋体" w:hAnsi="宋体" w:eastAsia="宋体" w:cs="宋体"/>
                <w:b/>
                <w:bCs/>
                <w:color w:val="auto"/>
                <w:sz w:val="21"/>
                <w:szCs w:val="21"/>
                <w:lang w:eastAsia="zh-CN"/>
              </w:rPr>
            </w:pPr>
          </w:p>
          <w:p w14:paraId="68FBB0D9">
            <w:pPr>
              <w:keepNext w:val="0"/>
              <w:keepLines w:val="0"/>
              <w:pageBreakBefore w:val="0"/>
              <w:widowControl w:val="0"/>
              <w:kinsoku/>
              <w:wordWrap/>
              <w:overflowPunct/>
              <w:topLinePunct w:val="0"/>
              <w:autoSpaceDE/>
              <w:autoSpaceDN/>
              <w:bidi w:val="0"/>
              <w:adjustRightInd w:val="0"/>
              <w:snapToGrid w:val="0"/>
              <w:spacing w:line="360" w:lineRule="auto"/>
              <w:ind w:firstLine="422" w:firstLineChars="200"/>
              <w:jc w:val="center"/>
              <w:textAlignment w:val="auto"/>
              <w:outlineLvl w:val="9"/>
              <w:rPr>
                <w:rFonts w:hint="eastAsia" w:ascii="宋体" w:hAnsi="宋体" w:eastAsia="宋体" w:cs="宋体"/>
                <w:b/>
                <w:bCs/>
                <w:color w:val="auto"/>
                <w:sz w:val="21"/>
                <w:szCs w:val="21"/>
                <w:lang w:val="en-US" w:eastAsia="zh-CN"/>
              </w:rPr>
            </w:pPr>
            <w:r>
              <w:rPr>
                <w:rFonts w:hint="eastAsia" w:ascii="宋体" w:hAnsi="宋体" w:eastAsia="宋体" w:cs="宋体"/>
                <w:b/>
                <w:bCs/>
                <w:color w:val="auto"/>
                <w:sz w:val="21"/>
                <w:szCs w:val="21"/>
                <w:lang w:eastAsia="zh-CN"/>
              </w:rPr>
              <w:t>表</w:t>
            </w:r>
            <w:r>
              <w:rPr>
                <w:rFonts w:hint="eastAsia" w:ascii="宋体" w:hAnsi="宋体" w:eastAsia="宋体" w:cs="宋体"/>
                <w:b/>
                <w:bCs/>
                <w:color w:val="auto"/>
                <w:sz w:val="21"/>
                <w:szCs w:val="21"/>
                <w:lang w:val="en-US" w:eastAsia="zh-CN"/>
              </w:rPr>
              <w:t>2-21 现有项目有组织排气筒现状监测结果表</w:t>
            </w:r>
          </w:p>
          <w:tbl>
            <w:tblPr>
              <w:tblStyle w:val="8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17"/>
              <w:gridCol w:w="2981"/>
              <w:gridCol w:w="1426"/>
              <w:gridCol w:w="1457"/>
              <w:gridCol w:w="1239"/>
            </w:tblGrid>
            <w:tr w14:paraId="1E839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3" w:hRule="atLeast"/>
                <w:jc w:val="center"/>
              </w:trPr>
              <w:tc>
                <w:tcPr>
                  <w:tcW w:w="4098" w:type="dxa"/>
                  <w:gridSpan w:val="2"/>
                  <w:vMerge w:val="restart"/>
                  <w:noWrap w:val="0"/>
                  <w:vAlign w:val="center"/>
                </w:tcPr>
                <w:p w14:paraId="13FB5BFE">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r>
                    <w:rPr>
                      <w:color w:val="auto"/>
                      <w:sz w:val="18"/>
                      <w:szCs w:val="18"/>
                    </w:rPr>
                    <mc:AlternateContent>
                      <mc:Choice Requires="wps">
                        <w:drawing>
                          <wp:anchor distT="0" distB="0" distL="114300" distR="114300" simplePos="0" relativeHeight="251666432" behindDoc="0" locked="0" layoutInCell="1" allowOverlap="1">
                            <wp:simplePos x="0" y="0"/>
                            <wp:positionH relativeFrom="column">
                              <wp:posOffset>514985</wp:posOffset>
                            </wp:positionH>
                            <wp:positionV relativeFrom="paragraph">
                              <wp:posOffset>560705</wp:posOffset>
                            </wp:positionV>
                            <wp:extent cx="779780" cy="2667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779780" cy="266700"/>
                                    </a:xfrm>
                                    <a:prstGeom prst="rect">
                                      <a:avLst/>
                                    </a:prstGeom>
                                    <a:noFill/>
                                    <a:ln>
                                      <a:noFill/>
                                    </a:ln>
                                    <a:effectLst/>
                                  </wps:spPr>
                                  <wps:txbx>
                                    <w:txbxContent>
                                      <w:p w14:paraId="450C3239">
                                        <w:r>
                                          <w:rPr>
                                            <w:rFonts w:hint="eastAsia"/>
                                          </w:rPr>
                                          <w:t>检测项目</w:t>
                                        </w:r>
                                      </w:p>
                                    </w:txbxContent>
                                  </wps:txbx>
                                  <wps:bodyPr upright="1"/>
                                </wps:wsp>
                              </a:graphicData>
                            </a:graphic>
                          </wp:anchor>
                        </w:drawing>
                      </mc:Choice>
                      <mc:Fallback>
                        <w:pict>
                          <v:shape id="_x0000_s1026" o:spid="_x0000_s1026" o:spt="202" type="#_x0000_t202" style="position:absolute;left:0pt;margin-left:40.55pt;margin-top:44.15pt;height:21pt;width:61.4pt;z-index:251666432;mso-width-relative:page;mso-height-relative:page;" filled="f" stroked="f" coordsize="21600,21600" o:gfxdata="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6kVdPW&#10;AAAACQEAAA8AAAAAAAAAAQAgAAAAIgAAAGRycy9kb3ducmV2LnhtbFBLAQIUABQAAAAIAIdO4kDR&#10;OJvksAEAAF0DAAAOAAAAAAAAAAEAIAAAACUBAABkcnMvZTJvRG9jLnhtbFBLBQYAAAAABgAGAFkB&#10;AABHBQAAAAA=&#10;">
                            <v:fill on="f" focussize="0,0"/>
                            <v:stroke on="f"/>
                            <v:imagedata o:title=""/>
                            <o:lock v:ext="edit" aspectratio="f"/>
                            <v:textbox>
                              <w:txbxContent>
                                <w:p w14:paraId="450C3239">
                                  <w:r>
                                    <w:rPr>
                                      <w:rFonts w:hint="eastAsia"/>
                                    </w:rPr>
                                    <w:t>检测项目</w:t>
                                  </w:r>
                                </w:p>
                              </w:txbxContent>
                            </v:textbox>
                          </v:shape>
                        </w:pict>
                      </mc:Fallback>
                    </mc:AlternateContent>
                  </w:r>
                  <w:r>
                    <w:rPr>
                      <w:color w:val="auto"/>
                      <w:sz w:val="18"/>
                      <w:szCs w:val="18"/>
                    </w:rPr>
                    <mc:AlternateContent>
                      <mc:Choice Requires="wps">
                        <w:drawing>
                          <wp:anchor distT="0" distB="0" distL="114300" distR="114300" simplePos="0" relativeHeight="251665408" behindDoc="0" locked="0" layoutInCell="1" allowOverlap="1">
                            <wp:simplePos x="0" y="0"/>
                            <wp:positionH relativeFrom="column">
                              <wp:posOffset>614680</wp:posOffset>
                            </wp:positionH>
                            <wp:positionV relativeFrom="paragraph">
                              <wp:posOffset>42545</wp:posOffset>
                            </wp:positionV>
                            <wp:extent cx="1189990" cy="46609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189990" cy="466090"/>
                                    </a:xfrm>
                                    <a:prstGeom prst="rect">
                                      <a:avLst/>
                                    </a:prstGeom>
                                    <a:noFill/>
                                    <a:ln>
                                      <a:noFill/>
                                    </a:ln>
                                    <a:effectLst/>
                                  </wps:spPr>
                                  <wps:txbx>
                                    <w:txbxContent>
                                      <w:p w14:paraId="294BF498">
                                        <w:r>
                                          <w:rPr>
                                            <w:rFonts w:hint="eastAsia"/>
                                          </w:rPr>
                                          <w:t>采样日期及频次</w:t>
                                        </w:r>
                                      </w:p>
                                    </w:txbxContent>
                                  </wps:txbx>
                                  <wps:bodyPr upright="1"/>
                                </wps:wsp>
                              </a:graphicData>
                            </a:graphic>
                          </wp:anchor>
                        </w:drawing>
                      </mc:Choice>
                      <mc:Fallback>
                        <w:pict>
                          <v:shape id="_x0000_s1026" o:spid="_x0000_s1026" o:spt="202" type="#_x0000_t202" style="position:absolute;left:0pt;margin-left:48.4pt;margin-top:3.35pt;height:36.7pt;width:93.7pt;z-index:251665408;mso-width-relative:page;mso-height-relative:page;" filled="f" stroked="f" coordsize="21600,21600" o:gfxdata="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4GLUq9UA&#10;AAAHAQAADwAAAAAAAAABACAAAAAiAAAAZHJzL2Rvd25yZXYueG1sUEsBAhQAFAAAAAgAh07iQJ9N&#10;9WywAQAAXgMAAA4AAAAAAAAAAQAgAAAAJAEAAGRycy9lMm9Eb2MueG1sUEsFBgAAAAAGAAYAWQEA&#10;AEYFAAAAAA==&#10;">
                            <v:fill on="f" focussize="0,0"/>
                            <v:stroke on="f"/>
                            <v:imagedata o:title=""/>
                            <o:lock v:ext="edit" aspectratio="f"/>
                            <v:textbox>
                              <w:txbxContent>
                                <w:p w14:paraId="294BF498">
                                  <w:r>
                                    <w:rPr>
                                      <w:rFonts w:hint="eastAsia"/>
                                    </w:rPr>
                                    <w:t>采样日期及频次</w:t>
                                  </w:r>
                                </w:p>
                              </w:txbxContent>
                            </v:textbox>
                          </v:shape>
                        </w:pict>
                      </mc:Fallback>
                    </mc:AlternateContent>
                  </w:r>
                  <w:r>
                    <w:rPr>
                      <w:color w:val="auto"/>
                      <w:sz w:val="18"/>
                      <w:szCs w:val="18"/>
                    </w:rPr>
                    <mc:AlternateContent>
                      <mc:Choice Requires="wps">
                        <w:drawing>
                          <wp:anchor distT="0" distB="0" distL="114300" distR="114300" simplePos="0" relativeHeight="251667456" behindDoc="0" locked="0" layoutInCell="1" allowOverlap="1">
                            <wp:simplePos x="0" y="0"/>
                            <wp:positionH relativeFrom="column">
                              <wp:posOffset>-119380</wp:posOffset>
                            </wp:positionH>
                            <wp:positionV relativeFrom="paragraph">
                              <wp:posOffset>372745</wp:posOffset>
                            </wp:positionV>
                            <wp:extent cx="533400" cy="474345"/>
                            <wp:effectExtent l="0" t="0" r="0" b="0"/>
                            <wp:wrapNone/>
                            <wp:docPr id="13" name="文本框 13"/>
                            <wp:cNvGraphicFramePr/>
                            <a:graphic xmlns:a="http://schemas.openxmlformats.org/drawingml/2006/main">
                              <a:graphicData uri="http://schemas.microsoft.com/office/word/2010/wordprocessingShape">
                                <wps:wsp>
                                  <wps:cNvSpPr txBox="1"/>
                                  <wps:spPr>
                                    <a:xfrm>
                                      <a:off x="0" y="0"/>
                                      <a:ext cx="533400" cy="474345"/>
                                    </a:xfrm>
                                    <a:prstGeom prst="rect">
                                      <a:avLst/>
                                    </a:prstGeom>
                                    <a:noFill/>
                                    <a:ln>
                                      <a:noFill/>
                                    </a:ln>
                                    <a:effectLst/>
                                  </wps:spPr>
                                  <wps:txbx>
                                    <w:txbxContent>
                                      <w:p w14:paraId="2D063E52">
                                        <w:pPr>
                                          <w:jc w:val="left"/>
                                        </w:pPr>
                                        <w:r>
                                          <w:rPr>
                                            <w:rFonts w:hint="eastAsia"/>
                                          </w:rPr>
                                          <w:t>采样点位</w:t>
                                        </w:r>
                                      </w:p>
                                    </w:txbxContent>
                                  </wps:txbx>
                                  <wps:bodyPr upright="1"/>
                                </wps:wsp>
                              </a:graphicData>
                            </a:graphic>
                          </wp:anchor>
                        </w:drawing>
                      </mc:Choice>
                      <mc:Fallback>
                        <w:pict>
                          <v:shape id="_x0000_s1026" o:spid="_x0000_s1026" o:spt="202" type="#_x0000_t202" style="position:absolute;left:0pt;margin-left:-9.4pt;margin-top:29.35pt;height:37.35pt;width:42pt;z-index:251667456;mso-width-relative:page;mso-height-relative:page;" filled="f" stroked="f" coordsize="21600,21600" o:gfxdata="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ABU&#10;YLfYAAAACQEAAA8AAAAAAAAAAQAgAAAAIgAAAGRycy9kb3ducmV2LnhtbFBLAQIUABQAAAAIAIdO&#10;4kCCRJYLsQEAAF0DAAAOAAAAAAAAAAEAIAAAACcBAABkcnMvZTJvRG9jLnhtbFBLBQYAAAAABgAG&#10;AFkBAABKBQAAAAA=&#10;">
                            <v:fill on="f" focussize="0,0"/>
                            <v:stroke on="f"/>
                            <v:imagedata o:title=""/>
                            <o:lock v:ext="edit" aspectratio="f"/>
                            <v:textbox>
                              <w:txbxContent>
                                <w:p w14:paraId="2D063E52">
                                  <w:pPr>
                                    <w:jc w:val="left"/>
                                  </w:pPr>
                                  <w:r>
                                    <w:rPr>
                                      <w:rFonts w:hint="eastAsia"/>
                                    </w:rPr>
                                    <w:t>采样点位</w:t>
                                  </w:r>
                                </w:p>
                              </w:txbxContent>
                            </v:textbox>
                          </v:shape>
                        </w:pict>
                      </mc:Fallback>
                    </mc:AlternateContent>
                  </w:r>
                  <w:r>
                    <w:rPr>
                      <w:color w:val="auto"/>
                      <w:sz w:val="18"/>
                      <w:szCs w:val="18"/>
                    </w:rPr>
                    <mc:AlternateContent>
                      <mc:Choice Requires="wps">
                        <w:drawing>
                          <wp:anchor distT="0" distB="0" distL="114300" distR="114300" simplePos="0" relativeHeight="251664384" behindDoc="0" locked="0" layoutInCell="1" allowOverlap="1">
                            <wp:simplePos x="0" y="0"/>
                            <wp:positionH relativeFrom="column">
                              <wp:posOffset>-43180</wp:posOffset>
                            </wp:positionH>
                            <wp:positionV relativeFrom="paragraph">
                              <wp:posOffset>38100</wp:posOffset>
                            </wp:positionV>
                            <wp:extent cx="694690" cy="800100"/>
                            <wp:effectExtent l="3810" t="3175" r="6350" b="15875"/>
                            <wp:wrapNone/>
                            <wp:docPr id="14" name="直接箭头连接符 14"/>
                            <wp:cNvGraphicFramePr/>
                            <a:graphic xmlns:a="http://schemas.openxmlformats.org/drawingml/2006/main">
                              <a:graphicData uri="http://schemas.microsoft.com/office/word/2010/wordprocessingShape">
                                <wps:wsp>
                                  <wps:cNvCnPr/>
                                  <wps:spPr>
                                    <a:xfrm>
                                      <a:off x="0" y="0"/>
                                      <a:ext cx="694690" cy="800100"/>
                                    </a:xfrm>
                                    <a:prstGeom prst="straightConnector1">
                                      <a:avLst/>
                                    </a:prstGeom>
                                    <a:ln w="9525" cap="flat" cmpd="sng">
                                      <a:solidFill>
                                        <a:srgbClr val="000000"/>
                                      </a:solidFill>
                                      <a:prstDash val="solid"/>
                                      <a:round/>
                                      <a:headEnd type="none" w="med" len="med"/>
                                      <a:tailEnd type="none" w="med" len="med"/>
                                    </a:ln>
                                  </wps:spPr>
                                  <wps:bodyPr/>
                                </wps:wsp>
                              </a:graphicData>
                            </a:graphic>
                          </wp:anchor>
                        </w:drawing>
                      </mc:Choice>
                      <mc:Fallback>
                        <w:pict>
                          <v:shape id="_x0000_s1026" o:spid="_x0000_s1026" o:spt="32" type="#_x0000_t32" style="position:absolute;left:0pt;margin-left:-3.4pt;margin-top:3pt;height:63pt;width:54.7pt;z-index:251664384;mso-width-relative:page;mso-height-relative:page;" filled="f" stroked="t" coordsize="21600,21600" o:gfxdata="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DcmpCQ1gAAAAgBAAAPAAAAAAAAAAEAIAAAACIAAABk&#10;cnMvZG93bnJldi54bWxQSwECFAAUAAAACACHTuJA7juadwgCAAD8AwAADgAAAAAAAAABACAAAAAl&#10;AQAAZHJzL2Uyb0RvYy54bWxQSwUGAAAAAAYABgBZAQAAnwUAAAAA&#10;">
                            <v:fill on="f" focussize="0,0"/>
                            <v:stroke color="#000000" joinstyle="round"/>
                            <v:imagedata o:title=""/>
                            <o:lock v:ext="edit" aspectratio="f"/>
                          </v:shape>
                        </w:pict>
                      </mc:Fallback>
                    </mc:AlternateContent>
                  </w:r>
                  <w:r>
                    <w:rPr>
                      <w:color w:val="auto"/>
                      <w:sz w:val="18"/>
                      <w:szCs w:val="18"/>
                    </w:rPr>
                    <mc:AlternateContent>
                      <mc:Choice Requires="wps">
                        <w:drawing>
                          <wp:anchor distT="0" distB="0" distL="114300" distR="114300" simplePos="0" relativeHeight="251663360" behindDoc="0" locked="0" layoutInCell="1" allowOverlap="1">
                            <wp:simplePos x="0" y="0"/>
                            <wp:positionH relativeFrom="column">
                              <wp:posOffset>-62230</wp:posOffset>
                            </wp:positionH>
                            <wp:positionV relativeFrom="paragraph">
                              <wp:posOffset>19050</wp:posOffset>
                            </wp:positionV>
                            <wp:extent cx="2529205" cy="815340"/>
                            <wp:effectExtent l="1270" t="4445" r="3175" b="18415"/>
                            <wp:wrapNone/>
                            <wp:docPr id="15" name="直接箭头连接符 15"/>
                            <wp:cNvGraphicFramePr/>
                            <a:graphic xmlns:a="http://schemas.openxmlformats.org/drawingml/2006/main">
                              <a:graphicData uri="http://schemas.microsoft.com/office/word/2010/wordprocessingShape">
                                <wps:wsp>
                                  <wps:cNvCnPr/>
                                  <wps:spPr>
                                    <a:xfrm>
                                      <a:off x="0" y="0"/>
                                      <a:ext cx="2529205" cy="815340"/>
                                    </a:xfrm>
                                    <a:prstGeom prst="straightConnector1">
                                      <a:avLst/>
                                    </a:prstGeom>
                                    <a:ln w="9525" cap="flat" cmpd="sng">
                                      <a:solidFill>
                                        <a:srgbClr val="000000"/>
                                      </a:solidFill>
                                      <a:prstDash val="solid"/>
                                      <a:round/>
                                      <a:headEnd type="none" w="med" len="med"/>
                                      <a:tailEnd type="none" w="med" len="med"/>
                                    </a:ln>
                                  </wps:spPr>
                                  <wps:bodyPr/>
                                </wps:wsp>
                              </a:graphicData>
                            </a:graphic>
                          </wp:anchor>
                        </w:drawing>
                      </mc:Choice>
                      <mc:Fallback>
                        <w:pict>
                          <v:shape id="_x0000_s1026" o:spid="_x0000_s1026" o:spt="32" type="#_x0000_t32" style="position:absolute;left:0pt;margin-left:-4.9pt;margin-top:1.5pt;height:64.2pt;width:199.15pt;z-index:251663360;mso-width-relative:page;mso-height-relative:page;" filled="f" stroked="t" coordsize="21600,21600" o:gfxdata="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PLhO4/XAAAACAEAAA8AAAAAAAAAAQAgAAAAIgAA&#10;AGRycy9kb3ducmV2LnhtbFBLAQIUABQAAAAIAIdO4kCK+pD5CQIAAP0DAAAOAAAAAAAAAAEAIAAA&#10;ACYBAABkcnMvZTJvRG9jLnhtbFBLBQYAAAAABgAGAFkBAAChBQAAAAA=&#10;">
                            <v:fill on="f" focussize="0,0"/>
                            <v:stroke color="#000000" joinstyle="round"/>
                            <v:imagedata o:title=""/>
                            <o:lock v:ext="edit" aspectratio="f"/>
                          </v:shape>
                        </w:pict>
                      </mc:Fallback>
                    </mc:AlternateContent>
                  </w:r>
                  <w:r>
                    <w:rPr>
                      <w:rFonts w:hint="eastAsia"/>
                      <w:color w:val="auto"/>
                      <w:sz w:val="18"/>
                      <w:szCs w:val="18"/>
                    </w:rPr>
                    <w:t xml:space="preserve">    </w:t>
                  </w:r>
                </w:p>
              </w:tc>
              <w:tc>
                <w:tcPr>
                  <w:tcW w:w="4122" w:type="dxa"/>
                  <w:gridSpan w:val="3"/>
                  <w:noWrap w:val="0"/>
                  <w:vAlign w:val="center"/>
                </w:tcPr>
                <w:p w14:paraId="11D4F0AF">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color w:val="auto"/>
                      <w:sz w:val="18"/>
                      <w:szCs w:val="18"/>
                      <w:lang w:val="en-US"/>
                    </w:rPr>
                  </w:pPr>
                  <w:r>
                    <w:rPr>
                      <w:rFonts w:hint="eastAsia" w:ascii="Times New Roman" w:hAnsi="Times New Roman"/>
                      <w:color w:val="auto"/>
                      <w:sz w:val="18"/>
                      <w:szCs w:val="18"/>
                    </w:rPr>
                    <w:t>202</w:t>
                  </w:r>
                  <w:r>
                    <w:rPr>
                      <w:rFonts w:hint="eastAsia"/>
                      <w:color w:val="auto"/>
                      <w:sz w:val="18"/>
                      <w:szCs w:val="18"/>
                      <w:lang w:val="en-US" w:eastAsia="zh-CN"/>
                    </w:rPr>
                    <w:t>5.6.6</w:t>
                  </w:r>
                </w:p>
              </w:tc>
            </w:tr>
            <w:tr w14:paraId="6A3D52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4098" w:type="dxa"/>
                  <w:gridSpan w:val="2"/>
                  <w:vMerge w:val="continue"/>
                  <w:noWrap w:val="0"/>
                  <w:vAlign w:val="center"/>
                </w:tcPr>
                <w:p w14:paraId="365A348C">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1426" w:type="dxa"/>
                  <w:noWrap w:val="0"/>
                  <w:vAlign w:val="center"/>
                </w:tcPr>
                <w:p w14:paraId="54CE5BE8">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宋体" w:hAnsi="宋体" w:cs="宋体"/>
                      <w:color w:val="auto"/>
                      <w:sz w:val="18"/>
                      <w:szCs w:val="18"/>
                    </w:rPr>
                  </w:pPr>
                  <w:r>
                    <w:rPr>
                      <w:rFonts w:hint="eastAsia" w:ascii="宋体" w:hAnsi="宋体" w:cs="宋体"/>
                      <w:color w:val="auto"/>
                      <w:sz w:val="18"/>
                      <w:szCs w:val="18"/>
                    </w:rPr>
                    <w:t>第一次</w:t>
                  </w:r>
                </w:p>
              </w:tc>
              <w:tc>
                <w:tcPr>
                  <w:tcW w:w="1457" w:type="dxa"/>
                  <w:noWrap w:val="0"/>
                  <w:vAlign w:val="center"/>
                </w:tcPr>
                <w:p w14:paraId="148312AD">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宋体" w:hAnsi="宋体" w:cs="宋体"/>
                      <w:color w:val="auto"/>
                      <w:sz w:val="18"/>
                      <w:szCs w:val="18"/>
                    </w:rPr>
                  </w:pPr>
                  <w:r>
                    <w:rPr>
                      <w:rFonts w:hint="eastAsia" w:ascii="宋体" w:hAnsi="宋体" w:cs="宋体"/>
                      <w:color w:val="auto"/>
                      <w:sz w:val="18"/>
                      <w:szCs w:val="18"/>
                    </w:rPr>
                    <w:t>第二次</w:t>
                  </w:r>
                </w:p>
              </w:tc>
              <w:tc>
                <w:tcPr>
                  <w:tcW w:w="1239" w:type="dxa"/>
                  <w:noWrap w:val="0"/>
                  <w:vAlign w:val="center"/>
                </w:tcPr>
                <w:p w14:paraId="3728B664">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ascii="宋体" w:hAnsi="宋体" w:cs="宋体"/>
                      <w:color w:val="auto"/>
                      <w:sz w:val="18"/>
                      <w:szCs w:val="18"/>
                    </w:rPr>
                  </w:pPr>
                  <w:r>
                    <w:rPr>
                      <w:rFonts w:hint="eastAsia" w:ascii="宋体" w:hAnsi="宋体" w:cs="宋体"/>
                      <w:color w:val="auto"/>
                      <w:sz w:val="18"/>
                      <w:szCs w:val="18"/>
                    </w:rPr>
                    <w:t>第三次</w:t>
                  </w:r>
                </w:p>
              </w:tc>
            </w:tr>
            <w:tr w14:paraId="4CAACD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117" w:type="dxa"/>
                  <w:vMerge w:val="restart"/>
                  <w:noWrap w:val="0"/>
                  <w:vAlign w:val="center"/>
                </w:tcPr>
                <w:p w14:paraId="5E3FBC40">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eastAsia="宋体"/>
                      <w:color w:val="auto"/>
                      <w:sz w:val="18"/>
                      <w:szCs w:val="18"/>
                      <w:lang w:val="en-US" w:eastAsia="zh-CN"/>
                    </w:rPr>
                  </w:pPr>
                  <w:r>
                    <w:rPr>
                      <w:rFonts w:hint="eastAsia"/>
                      <w:color w:val="auto"/>
                      <w:sz w:val="18"/>
                      <w:szCs w:val="18"/>
                      <w:lang w:val="en-US" w:eastAsia="zh-CN"/>
                    </w:rPr>
                    <w:t>DA001排气筒出口（1#活性炭吸附箱检测孔出口）</w:t>
                  </w:r>
                </w:p>
              </w:tc>
              <w:tc>
                <w:tcPr>
                  <w:tcW w:w="2981" w:type="dxa"/>
                  <w:noWrap w:val="0"/>
                  <w:vAlign w:val="center"/>
                </w:tcPr>
                <w:p w14:paraId="52A7921A">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color w:val="auto"/>
                      <w:sz w:val="18"/>
                      <w:szCs w:val="18"/>
                    </w:rPr>
                  </w:pPr>
                  <w:r>
                    <w:rPr>
                      <w:color w:val="auto"/>
                      <w:sz w:val="18"/>
                      <w:szCs w:val="18"/>
                    </w:rPr>
                    <w:t>高度</w:t>
                  </w:r>
                  <w:r>
                    <w:rPr>
                      <w:color w:val="auto"/>
                      <w:sz w:val="18"/>
                      <w:szCs w:val="18"/>
                      <w:highlight w:val="none"/>
                    </w:rPr>
                    <w:t>(</w:t>
                  </w:r>
                  <w:r>
                    <w:rPr>
                      <w:rFonts w:ascii="Times New Roman" w:hAnsi="Times New Roman"/>
                      <w:color w:val="auto"/>
                      <w:sz w:val="18"/>
                      <w:szCs w:val="18"/>
                    </w:rPr>
                    <w:t>m</w:t>
                  </w:r>
                  <w:r>
                    <w:rPr>
                      <w:color w:val="auto"/>
                      <w:sz w:val="18"/>
                      <w:szCs w:val="18"/>
                    </w:rPr>
                    <w:t>)</w:t>
                  </w:r>
                </w:p>
              </w:tc>
              <w:tc>
                <w:tcPr>
                  <w:tcW w:w="4122" w:type="dxa"/>
                  <w:gridSpan w:val="3"/>
                  <w:noWrap w:val="0"/>
                  <w:vAlign w:val="center"/>
                </w:tcPr>
                <w:p w14:paraId="6DCF60B7">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eastAsia="宋体"/>
                      <w:color w:val="auto"/>
                      <w:sz w:val="18"/>
                      <w:szCs w:val="18"/>
                      <w:lang w:val="en-US" w:eastAsia="zh-CN"/>
                    </w:rPr>
                  </w:pPr>
                  <w:r>
                    <w:rPr>
                      <w:rFonts w:hint="eastAsia" w:ascii="Times New Roman" w:hAnsi="Times New Roman"/>
                      <w:color w:val="auto"/>
                      <w:sz w:val="18"/>
                      <w:szCs w:val="18"/>
                      <w:lang w:val="en-US" w:eastAsia="zh-CN"/>
                    </w:rPr>
                    <w:t>15</w:t>
                  </w:r>
                </w:p>
              </w:tc>
            </w:tr>
            <w:tr w14:paraId="7F6C3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117" w:type="dxa"/>
                  <w:vMerge w:val="continue"/>
                  <w:noWrap w:val="0"/>
                  <w:vAlign w:val="center"/>
                </w:tcPr>
                <w:p w14:paraId="5FD0A0A2">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3F3F8878">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color w:val="auto"/>
                      <w:sz w:val="18"/>
                      <w:szCs w:val="18"/>
                    </w:rPr>
                  </w:pPr>
                  <w:r>
                    <w:rPr>
                      <w:rFonts w:hint="default" w:ascii="Times New Roman" w:hAnsi="Times New Roman" w:eastAsia="宋体" w:cs="Times New Roman"/>
                      <w:color w:val="000000"/>
                      <w:sz w:val="18"/>
                      <w:szCs w:val="18"/>
                    </w:rPr>
                    <w:t>内径（m）</w:t>
                  </w:r>
                </w:p>
              </w:tc>
              <w:tc>
                <w:tcPr>
                  <w:tcW w:w="4122" w:type="dxa"/>
                  <w:gridSpan w:val="3"/>
                  <w:noWrap w:val="0"/>
                  <w:vAlign w:val="center"/>
                </w:tcPr>
                <w:p w14:paraId="5891BD88">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eastAsia="宋体"/>
                      <w:color w:val="auto"/>
                      <w:sz w:val="18"/>
                      <w:szCs w:val="18"/>
                      <w:lang w:val="en-US" w:eastAsia="zh-CN"/>
                    </w:rPr>
                  </w:pPr>
                  <w:r>
                    <w:rPr>
                      <w:rFonts w:hint="eastAsia" w:ascii="Times New Roman" w:hAnsi="Times New Roman"/>
                      <w:color w:val="auto"/>
                      <w:sz w:val="18"/>
                      <w:szCs w:val="18"/>
                      <w:lang w:val="en-US" w:eastAsia="zh-CN"/>
                    </w:rPr>
                    <w:t>0</w:t>
                  </w:r>
                  <w:r>
                    <w:rPr>
                      <w:rFonts w:hint="eastAsia"/>
                      <w:color w:val="auto"/>
                      <w:sz w:val="18"/>
                      <w:szCs w:val="18"/>
                      <w:lang w:val="en-US" w:eastAsia="zh-CN"/>
                    </w:rPr>
                    <w:t>.3</w:t>
                  </w:r>
                </w:p>
              </w:tc>
            </w:tr>
            <w:tr w14:paraId="2AB9D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7" w:type="dxa"/>
                  <w:vMerge w:val="continue"/>
                  <w:noWrap w:val="0"/>
                  <w:vAlign w:val="center"/>
                </w:tcPr>
                <w:p w14:paraId="6E380F6B">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378E8677">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color w:val="auto"/>
                      <w:sz w:val="18"/>
                      <w:szCs w:val="18"/>
                    </w:rPr>
                  </w:pPr>
                  <w:r>
                    <w:rPr>
                      <w:rFonts w:hint="eastAsia"/>
                      <w:color w:val="auto"/>
                      <w:sz w:val="18"/>
                      <w:szCs w:val="18"/>
                    </w:rPr>
                    <w:t>烟气</w:t>
                  </w:r>
                  <w:r>
                    <w:rPr>
                      <w:color w:val="auto"/>
                      <w:sz w:val="18"/>
                      <w:szCs w:val="18"/>
                    </w:rPr>
                    <w:t>温度</w:t>
                  </w:r>
                  <w:r>
                    <w:rPr>
                      <w:color w:val="auto"/>
                      <w:sz w:val="18"/>
                      <w:szCs w:val="18"/>
                      <w:highlight w:val="none"/>
                    </w:rPr>
                    <w:t>(</w:t>
                  </w:r>
                  <w:r>
                    <w:rPr>
                      <w:rFonts w:hint="eastAsia" w:ascii="宋体" w:hAnsi="宋体" w:cs="宋体"/>
                      <w:color w:val="auto"/>
                      <w:sz w:val="18"/>
                      <w:szCs w:val="18"/>
                    </w:rPr>
                    <w:t>℃</w:t>
                  </w:r>
                  <w:r>
                    <w:rPr>
                      <w:color w:val="auto"/>
                      <w:sz w:val="18"/>
                      <w:szCs w:val="18"/>
                    </w:rPr>
                    <w:t>)</w:t>
                  </w:r>
                </w:p>
              </w:tc>
              <w:tc>
                <w:tcPr>
                  <w:tcW w:w="1426" w:type="dxa"/>
                  <w:noWrap w:val="0"/>
                  <w:vAlign w:val="center"/>
                </w:tcPr>
                <w:p w14:paraId="0AA9A447">
                  <w:pPr>
                    <w:jc w:val="center"/>
                    <w:textAlignment w:val="center"/>
                    <w:rPr>
                      <w:rFonts w:hint="default" w:eastAsia="宋体"/>
                      <w:color w:val="auto"/>
                      <w:sz w:val="18"/>
                      <w:szCs w:val="18"/>
                      <w:lang w:val="en-US" w:eastAsia="zh-CN"/>
                    </w:rPr>
                  </w:pPr>
                  <w:r>
                    <w:rPr>
                      <w:rFonts w:hint="eastAsia"/>
                      <w:color w:val="auto"/>
                      <w:sz w:val="18"/>
                      <w:szCs w:val="18"/>
                      <w:lang w:val="en-US" w:eastAsia="zh-CN"/>
                    </w:rPr>
                    <w:t>32.2</w:t>
                  </w:r>
                </w:p>
              </w:tc>
              <w:tc>
                <w:tcPr>
                  <w:tcW w:w="1457" w:type="dxa"/>
                  <w:noWrap w:val="0"/>
                  <w:vAlign w:val="center"/>
                </w:tcPr>
                <w:p w14:paraId="4BF01DD4">
                  <w:pPr>
                    <w:jc w:val="center"/>
                    <w:textAlignment w:val="center"/>
                    <w:rPr>
                      <w:rFonts w:hint="default" w:eastAsia="宋体"/>
                      <w:color w:val="auto"/>
                      <w:sz w:val="18"/>
                      <w:szCs w:val="18"/>
                      <w:lang w:val="en-US" w:eastAsia="zh-CN"/>
                    </w:rPr>
                  </w:pPr>
                  <w:r>
                    <w:rPr>
                      <w:rFonts w:hint="eastAsia"/>
                      <w:color w:val="auto"/>
                      <w:sz w:val="18"/>
                      <w:szCs w:val="18"/>
                      <w:lang w:val="en-US" w:eastAsia="zh-CN"/>
                    </w:rPr>
                    <w:t>32.4</w:t>
                  </w:r>
                </w:p>
              </w:tc>
              <w:tc>
                <w:tcPr>
                  <w:tcW w:w="1239" w:type="dxa"/>
                  <w:noWrap w:val="0"/>
                  <w:vAlign w:val="center"/>
                </w:tcPr>
                <w:p w14:paraId="1559E8DA">
                  <w:pPr>
                    <w:jc w:val="center"/>
                    <w:textAlignment w:val="center"/>
                    <w:rPr>
                      <w:rFonts w:hint="default" w:eastAsia="宋体"/>
                      <w:color w:val="auto"/>
                      <w:sz w:val="18"/>
                      <w:szCs w:val="18"/>
                      <w:lang w:val="en-US" w:eastAsia="zh-CN"/>
                    </w:rPr>
                  </w:pPr>
                  <w:r>
                    <w:rPr>
                      <w:rFonts w:hint="eastAsia"/>
                      <w:color w:val="auto"/>
                      <w:sz w:val="18"/>
                      <w:szCs w:val="18"/>
                      <w:lang w:val="en-US" w:eastAsia="zh-CN"/>
                    </w:rPr>
                    <w:t>32.5</w:t>
                  </w:r>
                </w:p>
              </w:tc>
            </w:tr>
            <w:tr w14:paraId="3616C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7" w:type="dxa"/>
                  <w:vMerge w:val="continue"/>
                  <w:noWrap w:val="0"/>
                  <w:vAlign w:val="center"/>
                </w:tcPr>
                <w:p w14:paraId="12D85424">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3302AF1F">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color w:val="auto"/>
                      <w:sz w:val="18"/>
                      <w:szCs w:val="18"/>
                      <w:vertAlign w:val="superscript"/>
                    </w:rPr>
                  </w:pPr>
                  <w:r>
                    <w:rPr>
                      <w:rFonts w:hint="eastAsia"/>
                      <w:color w:val="auto"/>
                      <w:sz w:val="18"/>
                      <w:szCs w:val="18"/>
                    </w:rPr>
                    <w:t>标干流</w:t>
                  </w:r>
                  <w:r>
                    <w:rPr>
                      <w:color w:val="auto"/>
                      <w:sz w:val="18"/>
                      <w:szCs w:val="18"/>
                    </w:rPr>
                    <w:t>量（</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r>
                    <w:rPr>
                      <w:rFonts w:ascii="Times New Roman" w:hAnsi="Times New Roman"/>
                      <w:color w:val="auto"/>
                      <w:sz w:val="18"/>
                      <w:szCs w:val="18"/>
                    </w:rPr>
                    <w:t>h</w:t>
                  </w:r>
                  <w:r>
                    <w:rPr>
                      <w:color w:val="auto"/>
                      <w:sz w:val="18"/>
                      <w:szCs w:val="18"/>
                    </w:rPr>
                    <w:t>）</w:t>
                  </w:r>
                </w:p>
              </w:tc>
              <w:tc>
                <w:tcPr>
                  <w:tcW w:w="1426" w:type="dxa"/>
                  <w:noWrap w:val="0"/>
                  <w:vAlign w:val="center"/>
                </w:tcPr>
                <w:p w14:paraId="3E986905">
                  <w:pPr>
                    <w:jc w:val="center"/>
                    <w:textAlignment w:val="center"/>
                    <w:rPr>
                      <w:rFonts w:hint="default" w:eastAsia="宋体"/>
                      <w:color w:val="auto"/>
                      <w:sz w:val="18"/>
                      <w:szCs w:val="18"/>
                      <w:lang w:val="en-US" w:eastAsia="zh-CN"/>
                    </w:rPr>
                  </w:pPr>
                  <w:r>
                    <w:rPr>
                      <w:rFonts w:hint="eastAsia"/>
                      <w:color w:val="auto"/>
                      <w:sz w:val="18"/>
                      <w:szCs w:val="18"/>
                      <w:lang w:val="en-US" w:eastAsia="zh-CN"/>
                    </w:rPr>
                    <w:t>3086</w:t>
                  </w:r>
                </w:p>
              </w:tc>
              <w:tc>
                <w:tcPr>
                  <w:tcW w:w="1457" w:type="dxa"/>
                  <w:noWrap w:val="0"/>
                  <w:vAlign w:val="center"/>
                </w:tcPr>
                <w:p w14:paraId="5BF7715E">
                  <w:pPr>
                    <w:jc w:val="center"/>
                    <w:textAlignment w:val="center"/>
                    <w:rPr>
                      <w:rFonts w:hint="default" w:eastAsia="宋体"/>
                      <w:color w:val="auto"/>
                      <w:sz w:val="18"/>
                      <w:szCs w:val="18"/>
                      <w:lang w:val="en-US" w:eastAsia="zh-CN"/>
                    </w:rPr>
                  </w:pPr>
                  <w:r>
                    <w:rPr>
                      <w:rFonts w:hint="eastAsia"/>
                      <w:color w:val="auto"/>
                      <w:sz w:val="18"/>
                      <w:szCs w:val="18"/>
                      <w:lang w:val="en-US" w:eastAsia="zh-CN"/>
                    </w:rPr>
                    <w:t>2988</w:t>
                  </w:r>
                </w:p>
              </w:tc>
              <w:tc>
                <w:tcPr>
                  <w:tcW w:w="1239" w:type="dxa"/>
                  <w:noWrap w:val="0"/>
                  <w:vAlign w:val="center"/>
                </w:tcPr>
                <w:p w14:paraId="25AC7090">
                  <w:pPr>
                    <w:jc w:val="center"/>
                    <w:textAlignment w:val="center"/>
                    <w:rPr>
                      <w:rFonts w:hint="default" w:eastAsia="宋体"/>
                      <w:color w:val="auto"/>
                      <w:sz w:val="18"/>
                      <w:szCs w:val="18"/>
                      <w:lang w:val="en-US" w:eastAsia="zh-CN"/>
                    </w:rPr>
                  </w:pPr>
                  <w:r>
                    <w:rPr>
                      <w:rFonts w:hint="eastAsia"/>
                      <w:color w:val="auto"/>
                      <w:sz w:val="18"/>
                      <w:szCs w:val="18"/>
                      <w:lang w:val="en-US" w:eastAsia="zh-CN"/>
                    </w:rPr>
                    <w:t>3069</w:t>
                  </w:r>
                </w:p>
              </w:tc>
            </w:tr>
            <w:tr w14:paraId="4534A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7" w:type="dxa"/>
                  <w:vMerge w:val="continue"/>
                  <w:noWrap w:val="0"/>
                  <w:vAlign w:val="center"/>
                </w:tcPr>
                <w:p w14:paraId="6EBDEA03">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70CE5006">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color w:val="auto"/>
                      <w:sz w:val="18"/>
                      <w:szCs w:val="18"/>
                    </w:rPr>
                  </w:pPr>
                  <w:r>
                    <w:rPr>
                      <w:rFonts w:hint="eastAsia"/>
                      <w:color w:val="auto"/>
                      <w:sz w:val="18"/>
                      <w:szCs w:val="18"/>
                      <w:lang w:val="en-US" w:eastAsia="zh-CN"/>
                    </w:rPr>
                    <w:t>VOCs</w:t>
                  </w:r>
                  <w:r>
                    <w:rPr>
                      <w:rFonts w:hint="eastAsia"/>
                      <w:color w:val="auto"/>
                      <w:sz w:val="18"/>
                      <w:szCs w:val="18"/>
                      <w:lang w:eastAsia="zh-CN"/>
                    </w:rPr>
                    <w:t>排放</w:t>
                  </w:r>
                  <w:r>
                    <w:rPr>
                      <w:rFonts w:hint="eastAsia"/>
                      <w:color w:val="auto"/>
                      <w:sz w:val="18"/>
                      <w:szCs w:val="18"/>
                    </w:rPr>
                    <w:t>浓</w:t>
                  </w:r>
                  <w:r>
                    <w:rPr>
                      <w:rFonts w:hint="eastAsia"/>
                      <w:color w:val="auto"/>
                      <w:sz w:val="18"/>
                      <w:szCs w:val="18"/>
                      <w:lang w:eastAsia="zh-CN"/>
                    </w:rPr>
                    <w:t>度</w:t>
                  </w:r>
                  <w:r>
                    <w:rPr>
                      <w:color w:val="auto"/>
                      <w:sz w:val="18"/>
                      <w:szCs w:val="18"/>
                    </w:rPr>
                    <w:t>（</w:t>
                  </w:r>
                  <w:r>
                    <w:rPr>
                      <w:rFonts w:ascii="Times New Roman" w:hAnsi="Times New Roman"/>
                      <w:color w:val="auto"/>
                      <w:sz w:val="18"/>
                      <w:szCs w:val="18"/>
                    </w:rPr>
                    <w:t>mg</w:t>
                  </w:r>
                  <w:r>
                    <w:rPr>
                      <w:color w:val="auto"/>
                      <w:sz w:val="18"/>
                      <w:szCs w:val="18"/>
                    </w:rPr>
                    <w:t>/</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p>
              </w:tc>
              <w:tc>
                <w:tcPr>
                  <w:tcW w:w="1426" w:type="dxa"/>
                  <w:noWrap w:val="0"/>
                  <w:vAlign w:val="center"/>
                </w:tcPr>
                <w:p w14:paraId="539C71CA">
                  <w:pPr>
                    <w:jc w:val="center"/>
                    <w:textAlignment w:val="center"/>
                    <w:rPr>
                      <w:rFonts w:hint="default" w:eastAsia="宋体"/>
                      <w:color w:val="auto"/>
                      <w:sz w:val="18"/>
                      <w:szCs w:val="18"/>
                      <w:lang w:val="en-US" w:eastAsia="zh-CN"/>
                    </w:rPr>
                  </w:pPr>
                  <w:r>
                    <w:rPr>
                      <w:rFonts w:hint="eastAsia"/>
                      <w:color w:val="auto"/>
                      <w:sz w:val="18"/>
                      <w:szCs w:val="18"/>
                      <w:lang w:val="en-US" w:eastAsia="zh-CN"/>
                    </w:rPr>
                    <w:t>4.58</w:t>
                  </w:r>
                </w:p>
              </w:tc>
              <w:tc>
                <w:tcPr>
                  <w:tcW w:w="1457" w:type="dxa"/>
                  <w:noWrap w:val="0"/>
                  <w:vAlign w:val="center"/>
                </w:tcPr>
                <w:p w14:paraId="00C744DF">
                  <w:pPr>
                    <w:jc w:val="center"/>
                    <w:textAlignment w:val="center"/>
                    <w:rPr>
                      <w:rFonts w:hint="default" w:eastAsia="宋体"/>
                      <w:color w:val="auto"/>
                      <w:sz w:val="18"/>
                      <w:szCs w:val="18"/>
                      <w:lang w:val="en-US" w:eastAsia="zh-CN"/>
                    </w:rPr>
                  </w:pPr>
                  <w:r>
                    <w:rPr>
                      <w:rFonts w:hint="eastAsia"/>
                      <w:color w:val="auto"/>
                      <w:sz w:val="18"/>
                      <w:szCs w:val="18"/>
                      <w:lang w:val="en-US" w:eastAsia="zh-CN"/>
                    </w:rPr>
                    <w:t>3.58</w:t>
                  </w:r>
                </w:p>
              </w:tc>
              <w:tc>
                <w:tcPr>
                  <w:tcW w:w="1239" w:type="dxa"/>
                  <w:noWrap w:val="0"/>
                  <w:vAlign w:val="center"/>
                </w:tcPr>
                <w:p w14:paraId="5601F177">
                  <w:pPr>
                    <w:jc w:val="center"/>
                    <w:textAlignment w:val="center"/>
                    <w:rPr>
                      <w:rFonts w:hint="default" w:eastAsia="宋体"/>
                      <w:color w:val="auto"/>
                      <w:sz w:val="18"/>
                      <w:szCs w:val="18"/>
                      <w:lang w:val="en-US" w:eastAsia="zh-CN"/>
                    </w:rPr>
                  </w:pPr>
                  <w:r>
                    <w:rPr>
                      <w:rFonts w:hint="eastAsia"/>
                      <w:color w:val="auto"/>
                      <w:sz w:val="18"/>
                      <w:szCs w:val="18"/>
                      <w:lang w:val="en-US" w:eastAsia="zh-CN"/>
                    </w:rPr>
                    <w:t>3.00</w:t>
                  </w:r>
                </w:p>
              </w:tc>
            </w:tr>
            <w:tr w14:paraId="351EA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17" w:type="dxa"/>
                  <w:vMerge w:val="continue"/>
                  <w:noWrap w:val="0"/>
                  <w:vAlign w:val="center"/>
                </w:tcPr>
                <w:p w14:paraId="40C45120">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7A026849">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eastAsia="宋体"/>
                      <w:color w:val="auto"/>
                      <w:sz w:val="18"/>
                      <w:szCs w:val="18"/>
                      <w:lang w:val="en-US" w:eastAsia="zh-CN"/>
                    </w:rPr>
                  </w:pPr>
                  <w:r>
                    <w:rPr>
                      <w:rFonts w:hint="eastAsia"/>
                      <w:color w:val="auto"/>
                      <w:sz w:val="18"/>
                      <w:szCs w:val="18"/>
                      <w:lang w:val="en-US" w:eastAsia="zh-CN"/>
                    </w:rPr>
                    <w:t>VOCs</w:t>
                  </w:r>
                  <w:r>
                    <w:rPr>
                      <w:rFonts w:hint="eastAsia"/>
                      <w:color w:val="auto"/>
                      <w:sz w:val="18"/>
                      <w:szCs w:val="18"/>
                    </w:rPr>
                    <w:t>排放速率</w:t>
                  </w:r>
                  <w:r>
                    <w:rPr>
                      <w:color w:val="auto"/>
                      <w:sz w:val="18"/>
                      <w:szCs w:val="18"/>
                    </w:rPr>
                    <w:t>（</w:t>
                  </w:r>
                  <w:r>
                    <w:rPr>
                      <w:rFonts w:ascii="Times New Roman" w:hAnsi="Times New Roman"/>
                      <w:color w:val="auto"/>
                      <w:sz w:val="18"/>
                      <w:szCs w:val="18"/>
                    </w:rPr>
                    <w:t>kg</w:t>
                  </w:r>
                  <w:r>
                    <w:rPr>
                      <w:color w:val="auto"/>
                      <w:sz w:val="18"/>
                      <w:szCs w:val="18"/>
                    </w:rPr>
                    <w:t>/</w:t>
                  </w:r>
                  <w:r>
                    <w:rPr>
                      <w:rFonts w:ascii="Times New Roman" w:hAnsi="Times New Roman"/>
                      <w:color w:val="auto"/>
                      <w:sz w:val="18"/>
                      <w:szCs w:val="18"/>
                    </w:rPr>
                    <w:t>h</w:t>
                  </w:r>
                  <w:r>
                    <w:rPr>
                      <w:color w:val="auto"/>
                      <w:sz w:val="18"/>
                      <w:szCs w:val="18"/>
                    </w:rPr>
                    <w:t>）</w:t>
                  </w:r>
                  <w:r>
                    <w:rPr>
                      <w:rFonts w:hint="eastAsia"/>
                      <w:color w:val="auto"/>
                      <w:sz w:val="18"/>
                      <w:szCs w:val="18"/>
                      <w:lang w:eastAsia="zh-CN"/>
                    </w:rPr>
                    <w:t>计算</w:t>
                  </w:r>
                </w:p>
              </w:tc>
              <w:tc>
                <w:tcPr>
                  <w:tcW w:w="1426" w:type="dxa"/>
                  <w:noWrap w:val="0"/>
                  <w:vAlign w:val="center"/>
                </w:tcPr>
                <w:p w14:paraId="7F785739">
                  <w:pPr>
                    <w:jc w:val="center"/>
                    <w:textAlignment w:val="center"/>
                    <w:rPr>
                      <w:rFonts w:hint="default"/>
                      <w:color w:val="auto"/>
                      <w:sz w:val="18"/>
                      <w:szCs w:val="18"/>
                      <w:lang w:val="en-US" w:eastAsia="zh-CN"/>
                    </w:rPr>
                  </w:pPr>
                  <w:r>
                    <w:rPr>
                      <w:rFonts w:hint="eastAsia"/>
                      <w:color w:val="auto"/>
                      <w:sz w:val="18"/>
                      <w:szCs w:val="18"/>
                      <w:lang w:val="en-US" w:eastAsia="zh-CN"/>
                    </w:rPr>
                    <w:t>0.0141</w:t>
                  </w:r>
                </w:p>
              </w:tc>
              <w:tc>
                <w:tcPr>
                  <w:tcW w:w="1457" w:type="dxa"/>
                  <w:noWrap w:val="0"/>
                  <w:vAlign w:val="center"/>
                </w:tcPr>
                <w:p w14:paraId="0CA5127A">
                  <w:pPr>
                    <w:jc w:val="center"/>
                    <w:textAlignment w:val="center"/>
                    <w:rPr>
                      <w:rFonts w:hint="default"/>
                      <w:color w:val="auto"/>
                      <w:sz w:val="18"/>
                      <w:szCs w:val="18"/>
                      <w:lang w:val="en-US" w:eastAsia="zh-CN"/>
                    </w:rPr>
                  </w:pPr>
                  <w:r>
                    <w:rPr>
                      <w:rFonts w:hint="eastAsia"/>
                      <w:color w:val="auto"/>
                      <w:sz w:val="18"/>
                      <w:szCs w:val="18"/>
                      <w:lang w:val="en-US" w:eastAsia="zh-CN"/>
                    </w:rPr>
                    <w:t>0.0107</w:t>
                  </w:r>
                </w:p>
              </w:tc>
              <w:tc>
                <w:tcPr>
                  <w:tcW w:w="1239" w:type="dxa"/>
                  <w:noWrap w:val="0"/>
                  <w:vAlign w:val="center"/>
                </w:tcPr>
                <w:p w14:paraId="7FBB8AC9">
                  <w:pPr>
                    <w:jc w:val="center"/>
                    <w:textAlignment w:val="center"/>
                    <w:rPr>
                      <w:rFonts w:hint="default"/>
                      <w:color w:val="auto"/>
                      <w:sz w:val="18"/>
                      <w:szCs w:val="18"/>
                      <w:lang w:val="en-US" w:eastAsia="zh-CN"/>
                    </w:rPr>
                  </w:pPr>
                  <w:r>
                    <w:rPr>
                      <w:rFonts w:hint="eastAsia"/>
                      <w:color w:val="auto"/>
                      <w:sz w:val="18"/>
                      <w:szCs w:val="18"/>
                      <w:lang w:val="en-US" w:eastAsia="zh-CN"/>
                    </w:rPr>
                    <w:t>0.00921</w:t>
                  </w:r>
                </w:p>
              </w:tc>
            </w:tr>
            <w:tr w14:paraId="40816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3A4C1D0B">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31C1BB96">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eastAsia="宋体"/>
                      <w:color w:val="auto"/>
                      <w:sz w:val="18"/>
                      <w:szCs w:val="18"/>
                      <w:lang w:eastAsia="zh-CN"/>
                    </w:rPr>
                  </w:pPr>
                  <w:r>
                    <w:rPr>
                      <w:rFonts w:hint="eastAsia"/>
                      <w:color w:val="auto"/>
                      <w:sz w:val="18"/>
                      <w:szCs w:val="18"/>
                      <w:lang w:val="en-US" w:eastAsia="zh-CN"/>
                    </w:rPr>
                    <w:t>VOCs</w:t>
                  </w:r>
                  <w:r>
                    <w:rPr>
                      <w:rFonts w:hint="eastAsia"/>
                      <w:color w:val="auto"/>
                      <w:sz w:val="18"/>
                      <w:szCs w:val="18"/>
                    </w:rPr>
                    <w:t>排放速率</w:t>
                  </w:r>
                  <w:r>
                    <w:rPr>
                      <w:color w:val="auto"/>
                      <w:sz w:val="18"/>
                      <w:szCs w:val="18"/>
                    </w:rPr>
                    <w:t>（</w:t>
                  </w:r>
                  <w:r>
                    <w:rPr>
                      <w:rFonts w:ascii="Times New Roman" w:hAnsi="Times New Roman"/>
                      <w:color w:val="auto"/>
                      <w:sz w:val="18"/>
                      <w:szCs w:val="18"/>
                    </w:rPr>
                    <w:t>kg</w:t>
                  </w:r>
                  <w:r>
                    <w:rPr>
                      <w:color w:val="auto"/>
                      <w:sz w:val="18"/>
                      <w:szCs w:val="18"/>
                    </w:rPr>
                    <w:t>/</w:t>
                  </w:r>
                  <w:r>
                    <w:rPr>
                      <w:rFonts w:ascii="Times New Roman" w:hAnsi="Times New Roman"/>
                      <w:color w:val="auto"/>
                      <w:sz w:val="18"/>
                      <w:szCs w:val="18"/>
                    </w:rPr>
                    <w:t>h</w:t>
                  </w:r>
                  <w:r>
                    <w:rPr>
                      <w:color w:val="auto"/>
                      <w:sz w:val="18"/>
                      <w:szCs w:val="18"/>
                    </w:rPr>
                    <w:t>）</w:t>
                  </w:r>
                  <w:r>
                    <w:rPr>
                      <w:rFonts w:hint="eastAsia"/>
                      <w:color w:val="auto"/>
                      <w:sz w:val="18"/>
                      <w:szCs w:val="18"/>
                      <w:lang w:eastAsia="zh-CN"/>
                    </w:rPr>
                    <w:t>平均</w:t>
                  </w:r>
                </w:p>
              </w:tc>
              <w:tc>
                <w:tcPr>
                  <w:tcW w:w="4122" w:type="dxa"/>
                  <w:gridSpan w:val="3"/>
                  <w:noWrap w:val="0"/>
                  <w:vAlign w:val="center"/>
                </w:tcPr>
                <w:p w14:paraId="4310296D">
                  <w:pPr>
                    <w:keepNext w:val="0"/>
                    <w:keepLines w:val="0"/>
                    <w:widowControl/>
                    <w:suppressLineNumbers w:val="0"/>
                    <w:jc w:val="center"/>
                    <w:textAlignment w:val="center"/>
                    <w:rPr>
                      <w:rFonts w:hint="default" w:eastAsia="宋体"/>
                      <w:color w:val="auto"/>
                      <w:sz w:val="18"/>
                      <w:szCs w:val="18"/>
                      <w:lang w:val="en-US" w:eastAsia="zh-CN"/>
                    </w:rPr>
                  </w:pPr>
                  <w:r>
                    <w:rPr>
                      <w:rFonts w:hint="eastAsia"/>
                      <w:color w:val="auto"/>
                      <w:sz w:val="18"/>
                      <w:szCs w:val="18"/>
                      <w:lang w:val="en-US" w:eastAsia="zh-CN"/>
                    </w:rPr>
                    <w:t>0.0113</w:t>
                  </w:r>
                </w:p>
              </w:tc>
            </w:tr>
            <w:tr w14:paraId="76F72D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49F6468A">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4A0371BB">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color w:val="auto"/>
                      <w:sz w:val="18"/>
                      <w:szCs w:val="18"/>
                      <w:lang w:eastAsia="zh-CN"/>
                    </w:rPr>
                  </w:pPr>
                  <w:r>
                    <w:rPr>
                      <w:rFonts w:hint="eastAsia"/>
                      <w:color w:val="auto"/>
                      <w:sz w:val="18"/>
                      <w:szCs w:val="18"/>
                      <w:lang w:eastAsia="zh-CN"/>
                    </w:rPr>
                    <w:t>苯排放</w:t>
                  </w:r>
                  <w:r>
                    <w:rPr>
                      <w:rFonts w:hint="eastAsia"/>
                      <w:color w:val="auto"/>
                      <w:sz w:val="18"/>
                      <w:szCs w:val="18"/>
                    </w:rPr>
                    <w:t>浓</w:t>
                  </w:r>
                  <w:r>
                    <w:rPr>
                      <w:rFonts w:hint="eastAsia"/>
                      <w:color w:val="auto"/>
                      <w:sz w:val="18"/>
                      <w:szCs w:val="18"/>
                      <w:lang w:eastAsia="zh-CN"/>
                    </w:rPr>
                    <w:t>度</w:t>
                  </w:r>
                  <w:r>
                    <w:rPr>
                      <w:color w:val="auto"/>
                      <w:sz w:val="18"/>
                      <w:szCs w:val="18"/>
                    </w:rPr>
                    <w:t>（</w:t>
                  </w:r>
                  <w:r>
                    <w:rPr>
                      <w:rFonts w:ascii="Times New Roman" w:hAnsi="Times New Roman"/>
                      <w:color w:val="auto"/>
                      <w:sz w:val="18"/>
                      <w:szCs w:val="18"/>
                    </w:rPr>
                    <w:t>mg</w:t>
                  </w:r>
                  <w:r>
                    <w:rPr>
                      <w:color w:val="auto"/>
                      <w:sz w:val="18"/>
                      <w:szCs w:val="18"/>
                    </w:rPr>
                    <w:t>/</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p>
              </w:tc>
              <w:tc>
                <w:tcPr>
                  <w:tcW w:w="1426" w:type="dxa"/>
                  <w:noWrap w:val="0"/>
                  <w:vAlign w:val="center"/>
                </w:tcPr>
                <w:p w14:paraId="4BF9C9E9">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c>
                <w:tcPr>
                  <w:tcW w:w="1457" w:type="dxa"/>
                  <w:noWrap w:val="0"/>
                  <w:vAlign w:val="center"/>
                </w:tcPr>
                <w:p w14:paraId="3A08E887">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c>
                <w:tcPr>
                  <w:tcW w:w="1239" w:type="dxa"/>
                  <w:noWrap w:val="0"/>
                  <w:vAlign w:val="center"/>
                </w:tcPr>
                <w:p w14:paraId="56AAF446">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r>
            <w:tr w14:paraId="519D0F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7B6551D0">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7D7C4A99">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color w:val="auto"/>
                      <w:sz w:val="18"/>
                      <w:szCs w:val="18"/>
                      <w:lang w:eastAsia="zh-CN"/>
                    </w:rPr>
                  </w:pPr>
                  <w:r>
                    <w:rPr>
                      <w:rFonts w:hint="eastAsia"/>
                      <w:color w:val="auto"/>
                      <w:sz w:val="18"/>
                      <w:szCs w:val="18"/>
                      <w:lang w:eastAsia="zh-CN"/>
                    </w:rPr>
                    <w:t>甲苯排放</w:t>
                  </w:r>
                  <w:r>
                    <w:rPr>
                      <w:rFonts w:hint="eastAsia"/>
                      <w:color w:val="auto"/>
                      <w:sz w:val="18"/>
                      <w:szCs w:val="18"/>
                    </w:rPr>
                    <w:t>浓</w:t>
                  </w:r>
                  <w:r>
                    <w:rPr>
                      <w:rFonts w:hint="eastAsia"/>
                      <w:color w:val="auto"/>
                      <w:sz w:val="18"/>
                      <w:szCs w:val="18"/>
                      <w:lang w:eastAsia="zh-CN"/>
                    </w:rPr>
                    <w:t>度</w:t>
                  </w:r>
                  <w:r>
                    <w:rPr>
                      <w:color w:val="auto"/>
                      <w:sz w:val="18"/>
                      <w:szCs w:val="18"/>
                    </w:rPr>
                    <w:t>（</w:t>
                  </w:r>
                  <w:r>
                    <w:rPr>
                      <w:rFonts w:ascii="Times New Roman" w:hAnsi="Times New Roman"/>
                      <w:color w:val="auto"/>
                      <w:sz w:val="18"/>
                      <w:szCs w:val="18"/>
                    </w:rPr>
                    <w:t>mg</w:t>
                  </w:r>
                  <w:r>
                    <w:rPr>
                      <w:color w:val="auto"/>
                      <w:sz w:val="18"/>
                      <w:szCs w:val="18"/>
                    </w:rPr>
                    <w:t>/</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p>
              </w:tc>
              <w:tc>
                <w:tcPr>
                  <w:tcW w:w="1426" w:type="dxa"/>
                  <w:noWrap w:val="0"/>
                  <w:vAlign w:val="center"/>
                </w:tcPr>
                <w:p w14:paraId="1AA723CE">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c>
                <w:tcPr>
                  <w:tcW w:w="1457" w:type="dxa"/>
                  <w:noWrap w:val="0"/>
                  <w:vAlign w:val="center"/>
                </w:tcPr>
                <w:p w14:paraId="7E444CFF">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c>
                <w:tcPr>
                  <w:tcW w:w="1239" w:type="dxa"/>
                  <w:noWrap w:val="0"/>
                  <w:vAlign w:val="center"/>
                </w:tcPr>
                <w:p w14:paraId="4EDFA323">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r>
            <w:tr w14:paraId="6AD72E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53CD7C7B">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19879FE2">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color w:val="auto"/>
                      <w:sz w:val="18"/>
                      <w:szCs w:val="18"/>
                      <w:lang w:eastAsia="zh-CN"/>
                    </w:rPr>
                  </w:pPr>
                  <w:r>
                    <w:rPr>
                      <w:rFonts w:hint="eastAsia"/>
                      <w:color w:val="auto"/>
                      <w:sz w:val="18"/>
                      <w:szCs w:val="18"/>
                      <w:lang w:eastAsia="zh-CN"/>
                    </w:rPr>
                    <w:t>二甲苯排放</w:t>
                  </w:r>
                  <w:r>
                    <w:rPr>
                      <w:rFonts w:hint="eastAsia"/>
                      <w:color w:val="auto"/>
                      <w:sz w:val="18"/>
                      <w:szCs w:val="18"/>
                    </w:rPr>
                    <w:t>浓</w:t>
                  </w:r>
                  <w:r>
                    <w:rPr>
                      <w:rFonts w:hint="eastAsia"/>
                      <w:color w:val="auto"/>
                      <w:sz w:val="18"/>
                      <w:szCs w:val="18"/>
                      <w:lang w:eastAsia="zh-CN"/>
                    </w:rPr>
                    <w:t>度</w:t>
                  </w:r>
                  <w:r>
                    <w:rPr>
                      <w:color w:val="auto"/>
                      <w:sz w:val="18"/>
                      <w:szCs w:val="18"/>
                    </w:rPr>
                    <w:t>（</w:t>
                  </w:r>
                  <w:r>
                    <w:rPr>
                      <w:rFonts w:ascii="Times New Roman" w:hAnsi="Times New Roman"/>
                      <w:color w:val="auto"/>
                      <w:sz w:val="18"/>
                      <w:szCs w:val="18"/>
                    </w:rPr>
                    <w:t>mg</w:t>
                  </w:r>
                  <w:r>
                    <w:rPr>
                      <w:color w:val="auto"/>
                      <w:sz w:val="18"/>
                      <w:szCs w:val="18"/>
                    </w:rPr>
                    <w:t>/</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p>
              </w:tc>
              <w:tc>
                <w:tcPr>
                  <w:tcW w:w="1426" w:type="dxa"/>
                  <w:noWrap w:val="0"/>
                  <w:vAlign w:val="center"/>
                </w:tcPr>
                <w:p w14:paraId="71523A7D">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c>
                <w:tcPr>
                  <w:tcW w:w="1457" w:type="dxa"/>
                  <w:noWrap w:val="0"/>
                  <w:vAlign w:val="center"/>
                </w:tcPr>
                <w:p w14:paraId="27A0C8EA">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c>
                <w:tcPr>
                  <w:tcW w:w="1239" w:type="dxa"/>
                  <w:noWrap w:val="0"/>
                  <w:vAlign w:val="center"/>
                </w:tcPr>
                <w:p w14:paraId="0025E7B0">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ND</w:t>
                  </w:r>
                </w:p>
              </w:tc>
            </w:tr>
            <w:tr w14:paraId="2EF2D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restart"/>
                  <w:noWrap w:val="0"/>
                  <w:vAlign w:val="center"/>
                </w:tcPr>
                <w:p w14:paraId="5BA026F7">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eastAsia="宋体"/>
                      <w:color w:val="auto"/>
                      <w:sz w:val="18"/>
                      <w:szCs w:val="18"/>
                      <w:lang w:val="en-US" w:eastAsia="zh-CN"/>
                    </w:rPr>
                  </w:pPr>
                  <w:r>
                    <w:rPr>
                      <w:rFonts w:hint="eastAsia"/>
                      <w:color w:val="auto"/>
                      <w:sz w:val="18"/>
                      <w:szCs w:val="18"/>
                      <w:lang w:val="en-US" w:eastAsia="zh-CN"/>
                    </w:rPr>
                    <w:t>DA002排气筒出口（2#刷漆工序）</w:t>
                  </w:r>
                </w:p>
              </w:tc>
              <w:tc>
                <w:tcPr>
                  <w:tcW w:w="2981" w:type="dxa"/>
                  <w:noWrap w:val="0"/>
                  <w:vAlign w:val="center"/>
                </w:tcPr>
                <w:p w14:paraId="00040E99">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color w:val="auto"/>
                      <w:sz w:val="18"/>
                      <w:szCs w:val="18"/>
                    </w:rPr>
                  </w:pPr>
                  <w:r>
                    <w:rPr>
                      <w:color w:val="auto"/>
                      <w:sz w:val="18"/>
                      <w:szCs w:val="18"/>
                    </w:rPr>
                    <w:t>高度</w:t>
                  </w:r>
                  <w:r>
                    <w:rPr>
                      <w:color w:val="auto"/>
                      <w:sz w:val="18"/>
                      <w:szCs w:val="18"/>
                      <w:highlight w:val="none"/>
                    </w:rPr>
                    <w:t>(</w:t>
                  </w:r>
                  <w:r>
                    <w:rPr>
                      <w:rFonts w:ascii="Times New Roman" w:hAnsi="Times New Roman"/>
                      <w:color w:val="auto"/>
                      <w:sz w:val="18"/>
                      <w:szCs w:val="18"/>
                    </w:rPr>
                    <w:t>m</w:t>
                  </w:r>
                  <w:r>
                    <w:rPr>
                      <w:color w:val="auto"/>
                      <w:sz w:val="18"/>
                      <w:szCs w:val="18"/>
                    </w:rPr>
                    <w:t>)</w:t>
                  </w:r>
                </w:p>
              </w:tc>
              <w:tc>
                <w:tcPr>
                  <w:tcW w:w="4122" w:type="dxa"/>
                  <w:gridSpan w:val="3"/>
                  <w:noWrap w:val="0"/>
                  <w:vAlign w:val="center"/>
                </w:tcPr>
                <w:p w14:paraId="7EE1EED5">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ascii="Times New Roman" w:hAnsi="Times New Roman"/>
                      <w:color w:val="auto"/>
                      <w:sz w:val="18"/>
                      <w:szCs w:val="18"/>
                      <w:lang w:val="en-US" w:eastAsia="zh-CN"/>
                    </w:rPr>
                  </w:pPr>
                  <w:r>
                    <w:rPr>
                      <w:rFonts w:hint="eastAsia" w:ascii="Times New Roman" w:hAnsi="Times New Roman"/>
                      <w:color w:val="auto"/>
                      <w:sz w:val="18"/>
                      <w:szCs w:val="18"/>
                      <w:lang w:val="en-US" w:eastAsia="zh-CN"/>
                    </w:rPr>
                    <w:t>15</w:t>
                  </w:r>
                </w:p>
              </w:tc>
            </w:tr>
            <w:tr w14:paraId="6756D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1681B125">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36271085">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color w:val="auto"/>
                      <w:sz w:val="18"/>
                      <w:szCs w:val="18"/>
                    </w:rPr>
                  </w:pPr>
                  <w:r>
                    <w:rPr>
                      <w:rFonts w:hint="default" w:ascii="Times New Roman" w:hAnsi="Times New Roman" w:eastAsia="宋体" w:cs="Times New Roman"/>
                      <w:color w:val="000000"/>
                      <w:sz w:val="18"/>
                      <w:szCs w:val="18"/>
                    </w:rPr>
                    <w:t>内径（m）</w:t>
                  </w:r>
                </w:p>
              </w:tc>
              <w:tc>
                <w:tcPr>
                  <w:tcW w:w="4122" w:type="dxa"/>
                  <w:gridSpan w:val="3"/>
                  <w:noWrap w:val="0"/>
                  <w:vAlign w:val="center"/>
                </w:tcPr>
                <w:p w14:paraId="20F9850E">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default" w:ascii="Times New Roman" w:hAnsi="Times New Roman"/>
                      <w:color w:val="auto"/>
                      <w:sz w:val="18"/>
                      <w:szCs w:val="18"/>
                      <w:lang w:val="en-US" w:eastAsia="zh-CN"/>
                    </w:rPr>
                  </w:pPr>
                  <w:r>
                    <w:rPr>
                      <w:rFonts w:hint="eastAsia" w:ascii="Times New Roman" w:hAnsi="Times New Roman"/>
                      <w:color w:val="auto"/>
                      <w:sz w:val="18"/>
                      <w:szCs w:val="18"/>
                      <w:lang w:val="en-US" w:eastAsia="zh-CN"/>
                    </w:rPr>
                    <w:t>0</w:t>
                  </w:r>
                  <w:r>
                    <w:rPr>
                      <w:rFonts w:hint="eastAsia"/>
                      <w:color w:val="auto"/>
                      <w:sz w:val="18"/>
                      <w:szCs w:val="18"/>
                      <w:lang w:val="en-US" w:eastAsia="zh-CN"/>
                    </w:rPr>
                    <w:t>.2</w:t>
                  </w:r>
                </w:p>
              </w:tc>
            </w:tr>
            <w:tr w14:paraId="457CD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19EF5A8E">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6248706A">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color w:val="auto"/>
                      <w:sz w:val="18"/>
                      <w:szCs w:val="18"/>
                    </w:rPr>
                  </w:pPr>
                  <w:r>
                    <w:rPr>
                      <w:rFonts w:hint="eastAsia"/>
                      <w:color w:val="auto"/>
                      <w:sz w:val="18"/>
                      <w:szCs w:val="18"/>
                    </w:rPr>
                    <w:t>烟气</w:t>
                  </w:r>
                  <w:r>
                    <w:rPr>
                      <w:color w:val="auto"/>
                      <w:sz w:val="18"/>
                      <w:szCs w:val="18"/>
                    </w:rPr>
                    <w:t>温度</w:t>
                  </w:r>
                  <w:r>
                    <w:rPr>
                      <w:color w:val="auto"/>
                      <w:sz w:val="18"/>
                      <w:szCs w:val="18"/>
                      <w:highlight w:val="none"/>
                    </w:rPr>
                    <w:t>(</w:t>
                  </w:r>
                  <w:r>
                    <w:rPr>
                      <w:rFonts w:hint="eastAsia" w:ascii="宋体" w:hAnsi="宋体" w:cs="宋体"/>
                      <w:color w:val="auto"/>
                      <w:sz w:val="18"/>
                      <w:szCs w:val="18"/>
                    </w:rPr>
                    <w:t>℃</w:t>
                  </w:r>
                  <w:r>
                    <w:rPr>
                      <w:color w:val="auto"/>
                      <w:sz w:val="18"/>
                      <w:szCs w:val="18"/>
                    </w:rPr>
                    <w:t>)</w:t>
                  </w:r>
                </w:p>
              </w:tc>
              <w:tc>
                <w:tcPr>
                  <w:tcW w:w="1426" w:type="dxa"/>
                  <w:noWrap w:val="0"/>
                  <w:vAlign w:val="center"/>
                </w:tcPr>
                <w:p w14:paraId="5533BF24">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33.1</w:t>
                  </w:r>
                </w:p>
              </w:tc>
              <w:tc>
                <w:tcPr>
                  <w:tcW w:w="1457" w:type="dxa"/>
                  <w:noWrap w:val="0"/>
                  <w:vAlign w:val="center"/>
                </w:tcPr>
                <w:p w14:paraId="668E355D">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32.7</w:t>
                  </w:r>
                </w:p>
              </w:tc>
              <w:tc>
                <w:tcPr>
                  <w:tcW w:w="1239" w:type="dxa"/>
                  <w:noWrap w:val="0"/>
                  <w:vAlign w:val="center"/>
                </w:tcPr>
                <w:p w14:paraId="47C7AFC8">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32.8</w:t>
                  </w:r>
                </w:p>
              </w:tc>
            </w:tr>
            <w:tr w14:paraId="0D85D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16F7886B">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742A1218">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color w:val="auto"/>
                      <w:sz w:val="18"/>
                      <w:szCs w:val="18"/>
                    </w:rPr>
                  </w:pPr>
                  <w:r>
                    <w:rPr>
                      <w:rFonts w:hint="eastAsia"/>
                      <w:color w:val="auto"/>
                      <w:sz w:val="18"/>
                      <w:szCs w:val="18"/>
                    </w:rPr>
                    <w:t>标干流</w:t>
                  </w:r>
                  <w:r>
                    <w:rPr>
                      <w:color w:val="auto"/>
                      <w:sz w:val="18"/>
                      <w:szCs w:val="18"/>
                    </w:rPr>
                    <w:t>量（</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r>
                    <w:rPr>
                      <w:rFonts w:ascii="Times New Roman" w:hAnsi="Times New Roman"/>
                      <w:color w:val="auto"/>
                      <w:sz w:val="18"/>
                      <w:szCs w:val="18"/>
                    </w:rPr>
                    <w:t>h</w:t>
                  </w:r>
                  <w:r>
                    <w:rPr>
                      <w:color w:val="auto"/>
                      <w:sz w:val="18"/>
                      <w:szCs w:val="18"/>
                    </w:rPr>
                    <w:t>）</w:t>
                  </w:r>
                </w:p>
              </w:tc>
              <w:tc>
                <w:tcPr>
                  <w:tcW w:w="1426" w:type="dxa"/>
                  <w:noWrap w:val="0"/>
                  <w:vAlign w:val="center"/>
                </w:tcPr>
                <w:p w14:paraId="7DB8665E">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1821</w:t>
                  </w:r>
                </w:p>
              </w:tc>
              <w:tc>
                <w:tcPr>
                  <w:tcW w:w="1457" w:type="dxa"/>
                  <w:noWrap w:val="0"/>
                  <w:vAlign w:val="center"/>
                </w:tcPr>
                <w:p w14:paraId="1CE24853">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1764</w:t>
                  </w:r>
                </w:p>
              </w:tc>
              <w:tc>
                <w:tcPr>
                  <w:tcW w:w="1239" w:type="dxa"/>
                  <w:noWrap w:val="0"/>
                  <w:vAlign w:val="center"/>
                </w:tcPr>
                <w:p w14:paraId="10AB6718">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1764</w:t>
                  </w:r>
                </w:p>
              </w:tc>
            </w:tr>
            <w:tr w14:paraId="0C168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530A541C">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1D21EF4A">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color w:val="auto"/>
                      <w:sz w:val="18"/>
                      <w:szCs w:val="18"/>
                    </w:rPr>
                  </w:pPr>
                  <w:r>
                    <w:rPr>
                      <w:rFonts w:hint="eastAsia"/>
                      <w:color w:val="auto"/>
                      <w:sz w:val="18"/>
                      <w:szCs w:val="18"/>
                      <w:lang w:val="en-US" w:eastAsia="zh-CN"/>
                    </w:rPr>
                    <w:t>VOCs</w:t>
                  </w:r>
                  <w:r>
                    <w:rPr>
                      <w:rFonts w:hint="eastAsia"/>
                      <w:color w:val="auto"/>
                      <w:sz w:val="18"/>
                      <w:szCs w:val="18"/>
                      <w:lang w:eastAsia="zh-CN"/>
                    </w:rPr>
                    <w:t>排放</w:t>
                  </w:r>
                  <w:r>
                    <w:rPr>
                      <w:rFonts w:hint="eastAsia"/>
                      <w:color w:val="auto"/>
                      <w:sz w:val="18"/>
                      <w:szCs w:val="18"/>
                    </w:rPr>
                    <w:t>浓</w:t>
                  </w:r>
                  <w:r>
                    <w:rPr>
                      <w:rFonts w:hint="eastAsia"/>
                      <w:color w:val="auto"/>
                      <w:sz w:val="18"/>
                      <w:szCs w:val="18"/>
                      <w:lang w:eastAsia="zh-CN"/>
                    </w:rPr>
                    <w:t>度</w:t>
                  </w:r>
                  <w:r>
                    <w:rPr>
                      <w:color w:val="auto"/>
                      <w:sz w:val="18"/>
                      <w:szCs w:val="18"/>
                    </w:rPr>
                    <w:t>（</w:t>
                  </w:r>
                  <w:r>
                    <w:rPr>
                      <w:rFonts w:ascii="Times New Roman" w:hAnsi="Times New Roman"/>
                      <w:color w:val="auto"/>
                      <w:sz w:val="18"/>
                      <w:szCs w:val="18"/>
                    </w:rPr>
                    <w:t>mg</w:t>
                  </w:r>
                  <w:r>
                    <w:rPr>
                      <w:color w:val="auto"/>
                      <w:sz w:val="18"/>
                      <w:szCs w:val="18"/>
                    </w:rPr>
                    <w:t>/</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p>
              </w:tc>
              <w:tc>
                <w:tcPr>
                  <w:tcW w:w="1426" w:type="dxa"/>
                  <w:noWrap w:val="0"/>
                  <w:vAlign w:val="center"/>
                </w:tcPr>
                <w:p w14:paraId="7052680E">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3.65</w:t>
                  </w:r>
                </w:p>
              </w:tc>
              <w:tc>
                <w:tcPr>
                  <w:tcW w:w="1457" w:type="dxa"/>
                  <w:noWrap w:val="0"/>
                  <w:vAlign w:val="center"/>
                </w:tcPr>
                <w:p w14:paraId="6B70D3F0">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2.52</w:t>
                  </w:r>
                </w:p>
              </w:tc>
              <w:tc>
                <w:tcPr>
                  <w:tcW w:w="1239" w:type="dxa"/>
                  <w:noWrap w:val="0"/>
                  <w:vAlign w:val="center"/>
                </w:tcPr>
                <w:p w14:paraId="4E56FD69">
                  <w:pPr>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3.02</w:t>
                  </w:r>
                </w:p>
              </w:tc>
            </w:tr>
            <w:tr w14:paraId="23395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0AA67DA3">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036D7F21">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eastAsia="宋体"/>
                      <w:color w:val="auto"/>
                      <w:sz w:val="18"/>
                      <w:szCs w:val="18"/>
                      <w:lang w:val="en-US" w:eastAsia="zh-CN"/>
                    </w:rPr>
                  </w:pPr>
                  <w:r>
                    <w:rPr>
                      <w:rFonts w:hint="eastAsia"/>
                      <w:color w:val="auto"/>
                      <w:sz w:val="18"/>
                      <w:szCs w:val="18"/>
                      <w:lang w:val="en-US" w:eastAsia="zh-CN"/>
                    </w:rPr>
                    <w:t>VOCs</w:t>
                  </w:r>
                  <w:r>
                    <w:rPr>
                      <w:rFonts w:hint="eastAsia"/>
                      <w:color w:val="auto"/>
                      <w:sz w:val="18"/>
                      <w:szCs w:val="18"/>
                    </w:rPr>
                    <w:t>排放速率</w:t>
                  </w:r>
                  <w:r>
                    <w:rPr>
                      <w:color w:val="auto"/>
                      <w:sz w:val="18"/>
                      <w:szCs w:val="18"/>
                    </w:rPr>
                    <w:t>（</w:t>
                  </w:r>
                  <w:r>
                    <w:rPr>
                      <w:rFonts w:ascii="Times New Roman" w:hAnsi="Times New Roman"/>
                      <w:color w:val="auto"/>
                      <w:sz w:val="18"/>
                      <w:szCs w:val="18"/>
                    </w:rPr>
                    <w:t>kg</w:t>
                  </w:r>
                  <w:r>
                    <w:rPr>
                      <w:color w:val="auto"/>
                      <w:sz w:val="18"/>
                      <w:szCs w:val="18"/>
                    </w:rPr>
                    <w:t>/</w:t>
                  </w:r>
                  <w:r>
                    <w:rPr>
                      <w:rFonts w:ascii="Times New Roman" w:hAnsi="Times New Roman"/>
                      <w:color w:val="auto"/>
                      <w:sz w:val="18"/>
                      <w:szCs w:val="18"/>
                    </w:rPr>
                    <w:t>h</w:t>
                  </w:r>
                  <w:r>
                    <w:rPr>
                      <w:color w:val="auto"/>
                      <w:sz w:val="18"/>
                      <w:szCs w:val="18"/>
                    </w:rPr>
                    <w:t>）</w:t>
                  </w:r>
                  <w:r>
                    <w:rPr>
                      <w:rFonts w:hint="eastAsia"/>
                      <w:color w:val="auto"/>
                      <w:sz w:val="18"/>
                      <w:szCs w:val="18"/>
                      <w:lang w:eastAsia="zh-CN"/>
                    </w:rPr>
                    <w:t>计算</w:t>
                  </w:r>
                </w:p>
              </w:tc>
              <w:tc>
                <w:tcPr>
                  <w:tcW w:w="1426" w:type="dxa"/>
                  <w:noWrap w:val="0"/>
                  <w:vAlign w:val="center"/>
                </w:tcPr>
                <w:p w14:paraId="48BBC32C">
                  <w:pPr>
                    <w:jc w:val="center"/>
                    <w:textAlignment w:val="center"/>
                    <w:rPr>
                      <w:rFonts w:hint="default"/>
                      <w:color w:val="auto"/>
                      <w:sz w:val="18"/>
                      <w:szCs w:val="18"/>
                      <w:lang w:val="en-US" w:eastAsia="zh-CN"/>
                    </w:rPr>
                  </w:pPr>
                  <w:r>
                    <w:rPr>
                      <w:rFonts w:hint="eastAsia"/>
                      <w:color w:val="auto"/>
                      <w:sz w:val="18"/>
                      <w:szCs w:val="18"/>
                      <w:lang w:val="en-US" w:eastAsia="zh-CN"/>
                    </w:rPr>
                    <w:t>0.00665</w:t>
                  </w:r>
                </w:p>
              </w:tc>
              <w:tc>
                <w:tcPr>
                  <w:tcW w:w="1457" w:type="dxa"/>
                  <w:noWrap w:val="0"/>
                  <w:vAlign w:val="center"/>
                </w:tcPr>
                <w:p w14:paraId="02ABF4F1">
                  <w:pPr>
                    <w:jc w:val="center"/>
                    <w:textAlignment w:val="center"/>
                    <w:rPr>
                      <w:rFonts w:hint="default"/>
                      <w:color w:val="auto"/>
                      <w:sz w:val="18"/>
                      <w:szCs w:val="18"/>
                      <w:lang w:val="en-US" w:eastAsia="zh-CN"/>
                    </w:rPr>
                  </w:pPr>
                  <w:r>
                    <w:rPr>
                      <w:rFonts w:hint="eastAsia"/>
                      <w:color w:val="auto"/>
                      <w:sz w:val="18"/>
                      <w:szCs w:val="18"/>
                      <w:lang w:val="en-US" w:eastAsia="zh-CN"/>
                    </w:rPr>
                    <w:t>0.00445</w:t>
                  </w:r>
                </w:p>
              </w:tc>
              <w:tc>
                <w:tcPr>
                  <w:tcW w:w="1239" w:type="dxa"/>
                  <w:noWrap w:val="0"/>
                  <w:vAlign w:val="center"/>
                </w:tcPr>
                <w:p w14:paraId="1D1F1891">
                  <w:pPr>
                    <w:jc w:val="center"/>
                    <w:textAlignment w:val="center"/>
                    <w:rPr>
                      <w:rFonts w:hint="default"/>
                      <w:color w:val="auto"/>
                      <w:sz w:val="18"/>
                      <w:szCs w:val="18"/>
                      <w:lang w:val="en-US" w:eastAsia="zh-CN"/>
                    </w:rPr>
                  </w:pPr>
                  <w:r>
                    <w:rPr>
                      <w:rFonts w:hint="eastAsia"/>
                      <w:color w:val="auto"/>
                      <w:sz w:val="18"/>
                      <w:szCs w:val="18"/>
                      <w:lang w:val="en-US" w:eastAsia="zh-CN"/>
                    </w:rPr>
                    <w:t>0.00533</w:t>
                  </w:r>
                </w:p>
              </w:tc>
            </w:tr>
            <w:tr w14:paraId="13042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2A220DBA">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57A933E4">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eastAsia="宋体"/>
                      <w:color w:val="auto"/>
                      <w:sz w:val="18"/>
                      <w:szCs w:val="18"/>
                      <w:lang w:eastAsia="zh-CN"/>
                    </w:rPr>
                  </w:pPr>
                  <w:r>
                    <w:rPr>
                      <w:rFonts w:hint="eastAsia"/>
                      <w:color w:val="auto"/>
                      <w:sz w:val="18"/>
                      <w:szCs w:val="18"/>
                      <w:lang w:val="en-US" w:eastAsia="zh-CN"/>
                    </w:rPr>
                    <w:t>VOCs</w:t>
                  </w:r>
                  <w:r>
                    <w:rPr>
                      <w:rFonts w:hint="eastAsia"/>
                      <w:color w:val="auto"/>
                      <w:sz w:val="18"/>
                      <w:szCs w:val="18"/>
                    </w:rPr>
                    <w:t>排放速率</w:t>
                  </w:r>
                  <w:r>
                    <w:rPr>
                      <w:color w:val="auto"/>
                      <w:sz w:val="18"/>
                      <w:szCs w:val="18"/>
                    </w:rPr>
                    <w:t>（</w:t>
                  </w:r>
                  <w:r>
                    <w:rPr>
                      <w:rFonts w:ascii="Times New Roman" w:hAnsi="Times New Roman"/>
                      <w:color w:val="auto"/>
                      <w:sz w:val="18"/>
                      <w:szCs w:val="18"/>
                    </w:rPr>
                    <w:t>kg</w:t>
                  </w:r>
                  <w:r>
                    <w:rPr>
                      <w:color w:val="auto"/>
                      <w:sz w:val="18"/>
                      <w:szCs w:val="18"/>
                    </w:rPr>
                    <w:t>/</w:t>
                  </w:r>
                  <w:r>
                    <w:rPr>
                      <w:rFonts w:ascii="Times New Roman" w:hAnsi="Times New Roman"/>
                      <w:color w:val="auto"/>
                      <w:sz w:val="18"/>
                      <w:szCs w:val="18"/>
                    </w:rPr>
                    <w:t>h</w:t>
                  </w:r>
                  <w:r>
                    <w:rPr>
                      <w:color w:val="auto"/>
                      <w:sz w:val="18"/>
                      <w:szCs w:val="18"/>
                    </w:rPr>
                    <w:t>）</w:t>
                  </w:r>
                  <w:r>
                    <w:rPr>
                      <w:rFonts w:hint="eastAsia"/>
                      <w:color w:val="auto"/>
                      <w:sz w:val="18"/>
                      <w:szCs w:val="18"/>
                      <w:lang w:eastAsia="zh-CN"/>
                    </w:rPr>
                    <w:t>平均</w:t>
                  </w:r>
                </w:p>
              </w:tc>
              <w:tc>
                <w:tcPr>
                  <w:tcW w:w="4122" w:type="dxa"/>
                  <w:gridSpan w:val="3"/>
                  <w:noWrap w:val="0"/>
                  <w:vAlign w:val="center"/>
                </w:tcPr>
                <w:p w14:paraId="7E69D43D">
                  <w:pPr>
                    <w:keepNext w:val="0"/>
                    <w:keepLines w:val="0"/>
                    <w:widowControl/>
                    <w:suppressLineNumbers w:val="0"/>
                    <w:jc w:val="center"/>
                    <w:textAlignment w:val="center"/>
                    <w:rPr>
                      <w:rFonts w:hint="default" w:ascii="Times New Roman" w:hAnsi="Times New Roman"/>
                      <w:color w:val="auto"/>
                      <w:sz w:val="18"/>
                      <w:szCs w:val="18"/>
                      <w:lang w:val="en-US" w:eastAsia="zh-CN"/>
                    </w:rPr>
                  </w:pPr>
                  <w:r>
                    <w:rPr>
                      <w:rFonts w:hint="eastAsia"/>
                      <w:color w:val="auto"/>
                      <w:sz w:val="18"/>
                      <w:szCs w:val="18"/>
                      <w:lang w:val="en-US" w:eastAsia="zh-CN"/>
                    </w:rPr>
                    <w:t>0.00546</w:t>
                  </w:r>
                </w:p>
              </w:tc>
            </w:tr>
            <w:tr w14:paraId="3B2494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041E8629">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6C5DC023">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苯排放</w:t>
                  </w:r>
                  <w:r>
                    <w:rPr>
                      <w:rFonts w:hint="eastAsia"/>
                      <w:color w:val="auto"/>
                      <w:sz w:val="18"/>
                      <w:szCs w:val="18"/>
                    </w:rPr>
                    <w:t>浓</w:t>
                  </w:r>
                  <w:r>
                    <w:rPr>
                      <w:rFonts w:hint="eastAsia"/>
                      <w:color w:val="auto"/>
                      <w:sz w:val="18"/>
                      <w:szCs w:val="18"/>
                      <w:lang w:eastAsia="zh-CN"/>
                    </w:rPr>
                    <w:t>度</w:t>
                  </w:r>
                  <w:r>
                    <w:rPr>
                      <w:color w:val="auto"/>
                      <w:sz w:val="18"/>
                      <w:szCs w:val="18"/>
                    </w:rPr>
                    <w:t>（</w:t>
                  </w:r>
                  <w:r>
                    <w:rPr>
                      <w:rFonts w:ascii="Times New Roman" w:hAnsi="Times New Roman"/>
                      <w:color w:val="auto"/>
                      <w:sz w:val="18"/>
                      <w:szCs w:val="18"/>
                    </w:rPr>
                    <w:t>mg</w:t>
                  </w:r>
                  <w:r>
                    <w:rPr>
                      <w:color w:val="auto"/>
                      <w:sz w:val="18"/>
                      <w:szCs w:val="18"/>
                    </w:rPr>
                    <w:t>/</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p>
              </w:tc>
              <w:tc>
                <w:tcPr>
                  <w:tcW w:w="1426" w:type="dxa"/>
                  <w:noWrap w:val="0"/>
                  <w:vAlign w:val="center"/>
                </w:tcPr>
                <w:p w14:paraId="1954170B">
                  <w:pPr>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c>
                <w:tcPr>
                  <w:tcW w:w="1457" w:type="dxa"/>
                  <w:noWrap w:val="0"/>
                  <w:vAlign w:val="center"/>
                </w:tcPr>
                <w:p w14:paraId="54C406A2">
                  <w:pPr>
                    <w:keepNext w:val="0"/>
                    <w:keepLines w:val="0"/>
                    <w:widowControl/>
                    <w:suppressLineNumbers w:val="0"/>
                    <w:jc w:val="center"/>
                    <w:textAlignment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c>
                <w:tcPr>
                  <w:tcW w:w="1239" w:type="dxa"/>
                  <w:noWrap w:val="0"/>
                  <w:vAlign w:val="center"/>
                </w:tcPr>
                <w:p w14:paraId="7494533D">
                  <w:pPr>
                    <w:keepNext w:val="0"/>
                    <w:keepLines w:val="0"/>
                    <w:widowControl/>
                    <w:suppressLineNumbers w:val="0"/>
                    <w:jc w:val="center"/>
                    <w:textAlignment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r>
            <w:tr w14:paraId="5A0878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282AC64F">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4B6F250E">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甲苯排放</w:t>
                  </w:r>
                  <w:r>
                    <w:rPr>
                      <w:rFonts w:hint="eastAsia"/>
                      <w:color w:val="auto"/>
                      <w:sz w:val="18"/>
                      <w:szCs w:val="18"/>
                    </w:rPr>
                    <w:t>浓</w:t>
                  </w:r>
                  <w:r>
                    <w:rPr>
                      <w:rFonts w:hint="eastAsia"/>
                      <w:color w:val="auto"/>
                      <w:sz w:val="18"/>
                      <w:szCs w:val="18"/>
                      <w:lang w:eastAsia="zh-CN"/>
                    </w:rPr>
                    <w:t>度</w:t>
                  </w:r>
                  <w:r>
                    <w:rPr>
                      <w:color w:val="auto"/>
                      <w:sz w:val="18"/>
                      <w:szCs w:val="18"/>
                    </w:rPr>
                    <w:t>（</w:t>
                  </w:r>
                  <w:r>
                    <w:rPr>
                      <w:rFonts w:ascii="Times New Roman" w:hAnsi="Times New Roman"/>
                      <w:color w:val="auto"/>
                      <w:sz w:val="18"/>
                      <w:szCs w:val="18"/>
                    </w:rPr>
                    <w:t>mg</w:t>
                  </w:r>
                  <w:r>
                    <w:rPr>
                      <w:color w:val="auto"/>
                      <w:sz w:val="18"/>
                      <w:szCs w:val="18"/>
                    </w:rPr>
                    <w:t>/</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p>
              </w:tc>
              <w:tc>
                <w:tcPr>
                  <w:tcW w:w="1426" w:type="dxa"/>
                  <w:noWrap w:val="0"/>
                  <w:vAlign w:val="center"/>
                </w:tcPr>
                <w:p w14:paraId="25558C4D">
                  <w:pPr>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c>
                <w:tcPr>
                  <w:tcW w:w="1457" w:type="dxa"/>
                  <w:noWrap w:val="0"/>
                  <w:vAlign w:val="center"/>
                </w:tcPr>
                <w:p w14:paraId="69A0727B">
                  <w:pPr>
                    <w:keepNext w:val="0"/>
                    <w:keepLines w:val="0"/>
                    <w:widowControl/>
                    <w:suppressLineNumbers w:val="0"/>
                    <w:jc w:val="center"/>
                    <w:textAlignment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c>
                <w:tcPr>
                  <w:tcW w:w="1239" w:type="dxa"/>
                  <w:noWrap w:val="0"/>
                  <w:vAlign w:val="center"/>
                </w:tcPr>
                <w:p w14:paraId="7EAA50FB">
                  <w:pPr>
                    <w:keepNext w:val="0"/>
                    <w:keepLines w:val="0"/>
                    <w:widowControl/>
                    <w:suppressLineNumbers w:val="0"/>
                    <w:jc w:val="center"/>
                    <w:textAlignment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r>
            <w:tr w14:paraId="5BEB81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vMerge w:val="continue"/>
                  <w:noWrap w:val="0"/>
                  <w:vAlign w:val="center"/>
                </w:tcPr>
                <w:p w14:paraId="5A1FE7C5">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color w:val="auto"/>
                      <w:sz w:val="18"/>
                      <w:szCs w:val="18"/>
                    </w:rPr>
                  </w:pPr>
                </w:p>
              </w:tc>
              <w:tc>
                <w:tcPr>
                  <w:tcW w:w="2981" w:type="dxa"/>
                  <w:noWrap w:val="0"/>
                  <w:vAlign w:val="center"/>
                </w:tcPr>
                <w:p w14:paraId="5412A111">
                  <w:pPr>
                    <w:keepNext w:val="0"/>
                    <w:keepLines w:val="0"/>
                    <w:pageBreakBefore w:val="0"/>
                    <w:widowControl w:val="0"/>
                    <w:kinsoku/>
                    <w:wordWrap/>
                    <w:overflowPunct/>
                    <w:topLinePunct w:val="0"/>
                    <w:autoSpaceDE/>
                    <w:autoSpaceDN/>
                    <w:bidi w:val="0"/>
                    <w:adjustRightInd/>
                    <w:snapToGrid/>
                    <w:spacing w:line="360" w:lineRule="exact"/>
                    <w:jc w:val="left"/>
                    <w:textAlignment w:val="auto"/>
                    <w:outlineLvl w:val="9"/>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二甲苯排放</w:t>
                  </w:r>
                  <w:r>
                    <w:rPr>
                      <w:rFonts w:hint="eastAsia"/>
                      <w:color w:val="auto"/>
                      <w:sz w:val="18"/>
                      <w:szCs w:val="18"/>
                    </w:rPr>
                    <w:t>浓</w:t>
                  </w:r>
                  <w:r>
                    <w:rPr>
                      <w:rFonts w:hint="eastAsia"/>
                      <w:color w:val="auto"/>
                      <w:sz w:val="18"/>
                      <w:szCs w:val="18"/>
                      <w:lang w:eastAsia="zh-CN"/>
                    </w:rPr>
                    <w:t>度</w:t>
                  </w:r>
                  <w:r>
                    <w:rPr>
                      <w:color w:val="auto"/>
                      <w:sz w:val="18"/>
                      <w:szCs w:val="18"/>
                    </w:rPr>
                    <w:t>（</w:t>
                  </w:r>
                  <w:r>
                    <w:rPr>
                      <w:rFonts w:ascii="Times New Roman" w:hAnsi="Times New Roman"/>
                      <w:color w:val="auto"/>
                      <w:sz w:val="18"/>
                      <w:szCs w:val="18"/>
                    </w:rPr>
                    <w:t>mg</w:t>
                  </w:r>
                  <w:r>
                    <w:rPr>
                      <w:color w:val="auto"/>
                      <w:sz w:val="18"/>
                      <w:szCs w:val="18"/>
                    </w:rPr>
                    <w:t>/</w:t>
                  </w:r>
                  <w:r>
                    <w:rPr>
                      <w:rFonts w:ascii="Times New Roman" w:hAnsi="Times New Roman"/>
                      <w:color w:val="auto"/>
                      <w:sz w:val="18"/>
                      <w:szCs w:val="18"/>
                    </w:rPr>
                    <w:t>m</w:t>
                  </w:r>
                  <w:r>
                    <w:rPr>
                      <w:rFonts w:ascii="Times New Roman" w:hAnsi="Times New Roman"/>
                      <w:color w:val="auto"/>
                      <w:sz w:val="18"/>
                      <w:szCs w:val="18"/>
                      <w:vertAlign w:val="superscript"/>
                    </w:rPr>
                    <w:t>3</w:t>
                  </w:r>
                  <w:r>
                    <w:rPr>
                      <w:color w:val="auto"/>
                      <w:sz w:val="18"/>
                      <w:szCs w:val="18"/>
                    </w:rPr>
                    <w:t>）</w:t>
                  </w:r>
                </w:p>
              </w:tc>
              <w:tc>
                <w:tcPr>
                  <w:tcW w:w="1426" w:type="dxa"/>
                  <w:noWrap w:val="0"/>
                  <w:vAlign w:val="center"/>
                </w:tcPr>
                <w:p w14:paraId="7986363F">
                  <w:pPr>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c>
                <w:tcPr>
                  <w:tcW w:w="1457" w:type="dxa"/>
                  <w:noWrap w:val="0"/>
                  <w:vAlign w:val="center"/>
                </w:tcPr>
                <w:p w14:paraId="7309727B">
                  <w:pPr>
                    <w:keepNext w:val="0"/>
                    <w:keepLines w:val="0"/>
                    <w:widowControl/>
                    <w:suppressLineNumbers w:val="0"/>
                    <w:jc w:val="center"/>
                    <w:textAlignment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c>
                <w:tcPr>
                  <w:tcW w:w="1239" w:type="dxa"/>
                  <w:noWrap w:val="0"/>
                  <w:vAlign w:val="center"/>
                </w:tcPr>
                <w:p w14:paraId="141EA845">
                  <w:pPr>
                    <w:keepNext w:val="0"/>
                    <w:keepLines w:val="0"/>
                    <w:widowControl/>
                    <w:suppressLineNumbers w:val="0"/>
                    <w:jc w:val="center"/>
                    <w:textAlignment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ND</w:t>
                  </w:r>
                </w:p>
              </w:tc>
            </w:tr>
            <w:tr w14:paraId="0A689C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17" w:type="dxa"/>
                  <w:noWrap w:val="0"/>
                  <w:vAlign w:val="center"/>
                </w:tcPr>
                <w:p w14:paraId="00B1E683">
                  <w:pPr>
                    <w:keepNext w:val="0"/>
                    <w:keepLines w:val="0"/>
                    <w:pageBreakBefore w:val="0"/>
                    <w:widowControl w:val="0"/>
                    <w:kinsoku/>
                    <w:wordWrap/>
                    <w:overflowPunct/>
                    <w:topLinePunct w:val="0"/>
                    <w:autoSpaceDE/>
                    <w:autoSpaceDN/>
                    <w:bidi w:val="0"/>
                    <w:adjustRightInd/>
                    <w:snapToGrid/>
                    <w:spacing w:line="360" w:lineRule="exact"/>
                    <w:jc w:val="center"/>
                    <w:textAlignment w:val="auto"/>
                    <w:outlineLvl w:val="9"/>
                    <w:rPr>
                      <w:rFonts w:hint="eastAsia" w:eastAsia="宋体"/>
                      <w:color w:val="auto"/>
                      <w:sz w:val="18"/>
                      <w:szCs w:val="18"/>
                      <w:lang w:eastAsia="zh-CN"/>
                    </w:rPr>
                  </w:pPr>
                  <w:r>
                    <w:rPr>
                      <w:rFonts w:hint="eastAsia"/>
                      <w:color w:val="auto"/>
                      <w:sz w:val="18"/>
                      <w:szCs w:val="18"/>
                      <w:lang w:eastAsia="zh-CN"/>
                    </w:rPr>
                    <w:t>备注</w:t>
                  </w:r>
                </w:p>
              </w:tc>
              <w:tc>
                <w:tcPr>
                  <w:tcW w:w="7103" w:type="dxa"/>
                  <w:gridSpan w:val="4"/>
                  <w:noWrap w:val="0"/>
                  <w:vAlign w:val="center"/>
                </w:tcPr>
                <w:p w14:paraId="27BE2384">
                  <w:pPr>
                    <w:keepNext w:val="0"/>
                    <w:keepLines w:val="0"/>
                    <w:widowControl/>
                    <w:suppressLineNumbers w:val="0"/>
                    <w:jc w:val="center"/>
                    <w:textAlignment w:val="center"/>
                    <w:rPr>
                      <w:rFonts w:hint="default" w:cs="Times New Roman"/>
                      <w:sz w:val="18"/>
                      <w:szCs w:val="18"/>
                      <w:lang w:val="en-US" w:eastAsia="zh-CN"/>
                    </w:rPr>
                  </w:pPr>
                  <w:r>
                    <w:rPr>
                      <w:rFonts w:hint="eastAsia" w:cs="Times New Roman"/>
                      <w:sz w:val="18"/>
                      <w:szCs w:val="18"/>
                      <w:lang w:val="en-US" w:eastAsia="zh-CN"/>
                    </w:rPr>
                    <w:t>ND标识未检出</w:t>
                  </w:r>
                </w:p>
              </w:tc>
            </w:tr>
          </w:tbl>
          <w:p w14:paraId="2978E809">
            <w:pPr>
              <w:pStyle w:val="3"/>
              <w:spacing w:after="0" w:line="360" w:lineRule="auto"/>
              <w:ind w:left="0" w:leftChars="0" w:firstLine="420" w:firstLineChars="200"/>
              <w:rPr>
                <w:sz w:val="21"/>
                <w:szCs w:val="21"/>
              </w:rPr>
            </w:pPr>
            <w:r>
              <w:rPr>
                <w:rFonts w:hint="default" w:ascii="Times New Roman" w:hAnsi="Times New Roman" w:eastAsia="宋体" w:cs="Times New Roman"/>
                <w:color w:val="auto"/>
                <w:sz w:val="21"/>
                <w:szCs w:val="21"/>
              </w:rPr>
              <w:t>根据上述监测结果，</w:t>
            </w:r>
            <w:r>
              <w:rPr>
                <w:rFonts w:hint="eastAsia" w:cs="Times New Roman"/>
                <w:color w:val="auto"/>
                <w:sz w:val="21"/>
                <w:szCs w:val="21"/>
                <w:lang w:val="en-US" w:eastAsia="zh-CN"/>
              </w:rPr>
              <w:t>DA001及DA002排气筒出口</w:t>
            </w:r>
            <w:r>
              <w:rPr>
                <w:rFonts w:hint="eastAsia" w:cs="Times New Roman"/>
                <w:color w:val="auto"/>
                <w:sz w:val="21"/>
                <w:szCs w:val="21"/>
                <w:lang w:eastAsia="zh-CN"/>
              </w:rPr>
              <w:t>苯、甲苯、二甲苯均未检出，苯、甲苯、二甲苯检出限均为</w:t>
            </w:r>
            <w:r>
              <w:rPr>
                <w:rFonts w:hint="eastAsia" w:cs="Times New Roman"/>
                <w:color w:val="auto"/>
                <w:sz w:val="21"/>
                <w:szCs w:val="21"/>
                <w:lang w:val="en-US" w:eastAsia="zh-CN"/>
              </w:rPr>
              <w:t>0.0015</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lang w:eastAsia="zh-CN"/>
              </w:rPr>
              <w:t>，</w:t>
            </w:r>
            <w:r>
              <w:rPr>
                <w:rFonts w:hint="eastAsia"/>
                <w:kern w:val="0"/>
                <w:sz w:val="21"/>
                <w:szCs w:val="21"/>
                <w:lang w:val="en-US" w:eastAsia="zh-CN"/>
              </w:rPr>
              <w:t>DA001排气筒VOCs最大排放浓度为4.58</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vertAlign w:val="baseline"/>
                <w:lang w:eastAsia="zh-CN"/>
              </w:rPr>
              <w:t>，最大排放速率为</w:t>
            </w:r>
            <w:r>
              <w:rPr>
                <w:rFonts w:hint="eastAsia"/>
                <w:kern w:val="0"/>
                <w:sz w:val="21"/>
                <w:szCs w:val="21"/>
                <w:vertAlign w:val="baseline"/>
                <w:lang w:val="en-US" w:eastAsia="zh-CN"/>
              </w:rPr>
              <w:t>0.0141kg/h，</w:t>
            </w:r>
            <w:r>
              <w:rPr>
                <w:rFonts w:hint="eastAsia"/>
                <w:kern w:val="0"/>
                <w:sz w:val="21"/>
                <w:szCs w:val="21"/>
                <w:lang w:val="en-US" w:eastAsia="zh-CN"/>
              </w:rPr>
              <w:t>DA002排气筒VOCs最大排放浓度为3.65</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vertAlign w:val="baseline"/>
                <w:lang w:eastAsia="zh-CN"/>
              </w:rPr>
              <w:t>，最大排放速率为</w:t>
            </w:r>
            <w:r>
              <w:rPr>
                <w:rFonts w:hint="eastAsia"/>
                <w:kern w:val="0"/>
                <w:sz w:val="21"/>
                <w:szCs w:val="21"/>
                <w:vertAlign w:val="baseline"/>
                <w:lang w:val="en-US" w:eastAsia="zh-CN"/>
              </w:rPr>
              <w:t>0.00665kg/h，</w:t>
            </w:r>
            <w:r>
              <w:rPr>
                <w:rFonts w:hint="eastAsia" w:cs="Times New Roman"/>
                <w:color w:val="auto"/>
                <w:sz w:val="21"/>
                <w:szCs w:val="21"/>
                <w:lang w:eastAsia="zh-CN"/>
              </w:rPr>
              <w:t>各</w:t>
            </w:r>
            <w:r>
              <w:rPr>
                <w:rFonts w:hint="eastAsia" w:ascii="Times New Roman" w:hAnsi="Times New Roman" w:eastAsia="宋体" w:cs="Times New Roman"/>
                <w:color w:val="auto"/>
                <w:sz w:val="21"/>
                <w:szCs w:val="21"/>
              </w:rPr>
              <w:t>污染物排放满足</w:t>
            </w:r>
            <w:r>
              <w:rPr>
                <w:rFonts w:hint="default" w:ascii="Times New Roman" w:hAnsi="Times New Roman" w:cs="Times New Roman"/>
                <w:sz w:val="21"/>
                <w:szCs w:val="21"/>
              </w:rPr>
              <w:t>《挥发性有机物排放标准 第</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部分：</w:t>
            </w:r>
            <w:r>
              <w:rPr>
                <w:rFonts w:hint="default" w:ascii="Times New Roman" w:hAnsi="Times New Roman" w:cs="Times New Roman"/>
                <w:sz w:val="21"/>
                <w:szCs w:val="21"/>
                <w:lang w:eastAsia="zh-CN"/>
              </w:rPr>
              <w:t>表面涂装</w:t>
            </w:r>
            <w:r>
              <w:rPr>
                <w:rFonts w:hint="default" w:ascii="Times New Roman" w:hAnsi="Times New Roman" w:cs="Times New Roman"/>
                <w:sz w:val="21"/>
                <w:szCs w:val="21"/>
              </w:rPr>
              <w:t>行业》（DB37/2801.</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）表</w:t>
            </w:r>
            <w:r>
              <w:rPr>
                <w:rFonts w:hint="default" w:ascii="Times New Roman" w:hAnsi="Times New Roman" w:cs="Times New Roman"/>
                <w:sz w:val="21"/>
                <w:szCs w:val="21"/>
                <w:lang w:val="en-US" w:eastAsia="zh-CN"/>
              </w:rPr>
              <w:t>2</w:t>
            </w:r>
            <w:r>
              <w:rPr>
                <w:rFonts w:hint="eastAsia" w:ascii="宋体" w:hAnsi="宋体" w:eastAsia="宋体" w:cs="宋体"/>
                <w:color w:val="000000"/>
                <w:kern w:val="0"/>
                <w:sz w:val="21"/>
                <w:szCs w:val="21"/>
                <w:lang w:val="en-US" w:eastAsia="zh-CN" w:bidi="ar"/>
              </w:rPr>
              <w:t>通用设备制造业</w:t>
            </w:r>
            <w:r>
              <w:rPr>
                <w:rFonts w:hint="eastAsia" w:ascii="Times New Roman" w:hAnsi="Times New Roman" w:cs="Times New Roman"/>
                <w:sz w:val="21"/>
                <w:szCs w:val="21"/>
                <w:lang w:val="en-US" w:eastAsia="zh-CN"/>
              </w:rPr>
              <w:t>（C34）</w:t>
            </w:r>
            <w:r>
              <w:rPr>
                <w:rFonts w:hint="default" w:ascii="Times New Roman" w:hAnsi="Times New Roman" w:cs="Times New Roman"/>
                <w:sz w:val="21"/>
                <w:szCs w:val="21"/>
              </w:rPr>
              <w:t>排放限值</w:t>
            </w:r>
            <w:r>
              <w:rPr>
                <w:rFonts w:hint="eastAsia" w:ascii="Times New Roman" w:hAnsi="Times New Roman" w:cs="Times New Roman"/>
                <w:sz w:val="21"/>
                <w:szCs w:val="21"/>
                <w:lang w:eastAsia="zh-CN"/>
              </w:rPr>
              <w:t>要求</w:t>
            </w:r>
            <w:r>
              <w:rPr>
                <w:rFonts w:hint="eastAsia"/>
                <w:kern w:val="0"/>
                <w:sz w:val="21"/>
                <w:szCs w:val="21"/>
              </w:rPr>
              <w:t>（</w:t>
            </w:r>
            <w:r>
              <w:rPr>
                <w:rFonts w:hint="eastAsia"/>
                <w:kern w:val="0"/>
                <w:sz w:val="21"/>
                <w:szCs w:val="21"/>
                <w:lang w:val="en-US" w:eastAsia="zh-CN"/>
              </w:rPr>
              <w:t>VOCs70</w:t>
            </w:r>
            <w:r>
              <w:rPr>
                <w:rFonts w:hint="eastAsia"/>
                <w:kern w:val="0"/>
                <w:sz w:val="21"/>
                <w:szCs w:val="21"/>
              </w:rPr>
              <w:t>mg/m</w:t>
            </w:r>
            <w:r>
              <w:rPr>
                <w:kern w:val="0"/>
                <w:sz w:val="21"/>
                <w:szCs w:val="21"/>
                <w:vertAlign w:val="superscript"/>
              </w:rPr>
              <w:t>3</w:t>
            </w:r>
            <w:r>
              <w:rPr>
                <w:rFonts w:hint="eastAsia"/>
                <w:kern w:val="0"/>
                <w:sz w:val="21"/>
                <w:szCs w:val="21"/>
                <w:lang w:eastAsia="zh-CN"/>
              </w:rPr>
              <w:t>、</w:t>
            </w:r>
            <w:r>
              <w:rPr>
                <w:rFonts w:hint="eastAsia"/>
                <w:kern w:val="0"/>
                <w:sz w:val="21"/>
                <w:szCs w:val="21"/>
                <w:lang w:val="en-US" w:eastAsia="zh-CN"/>
              </w:rPr>
              <w:t>2.4kg/h；苯0.5</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vertAlign w:val="baseline"/>
                <w:lang w:eastAsia="zh-CN"/>
              </w:rPr>
              <w:t>、</w:t>
            </w:r>
            <w:r>
              <w:rPr>
                <w:rFonts w:hint="eastAsia"/>
                <w:kern w:val="0"/>
                <w:sz w:val="21"/>
                <w:szCs w:val="21"/>
                <w:lang w:val="en-US" w:eastAsia="zh-CN"/>
              </w:rPr>
              <w:t>0.3kg/h</w:t>
            </w:r>
            <w:r>
              <w:rPr>
                <w:rFonts w:hint="eastAsia"/>
                <w:kern w:val="0"/>
                <w:sz w:val="21"/>
                <w:szCs w:val="21"/>
                <w:lang w:eastAsia="zh-CN"/>
              </w:rPr>
              <w:t>；甲苯</w:t>
            </w:r>
            <w:r>
              <w:rPr>
                <w:rFonts w:hint="eastAsia"/>
                <w:kern w:val="0"/>
                <w:sz w:val="21"/>
                <w:szCs w:val="21"/>
                <w:lang w:val="en-US" w:eastAsia="zh-CN"/>
              </w:rPr>
              <w:t>5</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lang w:eastAsia="zh-CN"/>
              </w:rPr>
              <w:t>、</w:t>
            </w:r>
            <w:r>
              <w:rPr>
                <w:rFonts w:hint="eastAsia"/>
                <w:kern w:val="0"/>
                <w:sz w:val="21"/>
                <w:szCs w:val="21"/>
                <w:lang w:val="en-US" w:eastAsia="zh-CN"/>
              </w:rPr>
              <w:t>0.6kg/h；</w:t>
            </w:r>
            <w:r>
              <w:rPr>
                <w:rFonts w:hint="eastAsia"/>
                <w:kern w:val="0"/>
                <w:sz w:val="21"/>
                <w:szCs w:val="21"/>
                <w:vertAlign w:val="baseline"/>
                <w:lang w:eastAsia="zh-CN"/>
              </w:rPr>
              <w:t>二甲苯</w:t>
            </w:r>
            <w:r>
              <w:rPr>
                <w:rFonts w:hint="eastAsia"/>
                <w:kern w:val="0"/>
                <w:sz w:val="21"/>
                <w:szCs w:val="21"/>
                <w:vertAlign w:val="baseline"/>
                <w:lang w:val="en-US" w:eastAsia="zh-CN"/>
              </w:rPr>
              <w:t>15</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lang w:eastAsia="zh-CN"/>
              </w:rPr>
              <w:t>、</w:t>
            </w:r>
            <w:r>
              <w:rPr>
                <w:rFonts w:hint="eastAsia"/>
                <w:kern w:val="0"/>
                <w:sz w:val="21"/>
                <w:szCs w:val="21"/>
                <w:lang w:val="en-US" w:eastAsia="zh-CN"/>
              </w:rPr>
              <w:t>0.8kg/h</w:t>
            </w:r>
            <w:r>
              <w:rPr>
                <w:rFonts w:hint="eastAsia"/>
                <w:kern w:val="0"/>
                <w:sz w:val="21"/>
                <w:szCs w:val="21"/>
              </w:rPr>
              <w:t>）</w:t>
            </w:r>
            <w:r>
              <w:rPr>
                <w:rFonts w:hint="eastAsia" w:ascii="Times New Roman" w:hAnsi="Times New Roman" w:eastAsia="宋体" w:cs="Times New Roman"/>
                <w:color w:val="000000"/>
                <w:spacing w:val="0"/>
                <w:sz w:val="21"/>
                <w:szCs w:val="21"/>
                <w:lang w:val="en-US" w:eastAsia="zh-CN"/>
              </w:rPr>
              <w:t>。</w:t>
            </w:r>
          </w:p>
          <w:p w14:paraId="078BB949">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highlight w:val="none"/>
                <w:lang w:val="en-US" w:eastAsia="zh-CN"/>
              </w:rPr>
            </w:pPr>
            <w:r>
              <w:rPr>
                <w:rFonts w:hint="eastAsia" w:eastAsia="宋体" w:cs="Times New Roman"/>
                <w:color w:val="auto"/>
                <w:sz w:val="21"/>
                <w:szCs w:val="21"/>
                <w:lang w:eastAsia="zh-CN"/>
              </w:rPr>
              <w:t>厂界</w:t>
            </w:r>
            <w:r>
              <w:rPr>
                <w:rFonts w:hint="eastAsia" w:ascii="Times New Roman" w:hAnsi="Times New Roman" w:eastAsia="宋体" w:cs="Times New Roman"/>
                <w:color w:val="auto"/>
                <w:sz w:val="21"/>
                <w:szCs w:val="21"/>
                <w:lang w:eastAsia="zh-CN"/>
              </w:rPr>
              <w:t>无组织废气监测结果如下</w:t>
            </w:r>
            <w:r>
              <w:rPr>
                <w:rFonts w:hint="eastAsia" w:eastAsia="宋体" w:cs="Times New Roman"/>
                <w:color w:val="auto"/>
                <w:sz w:val="21"/>
                <w:szCs w:val="21"/>
                <w:lang w:eastAsia="zh-CN"/>
              </w:rPr>
              <w:t>：</w:t>
            </w:r>
          </w:p>
          <w:p w14:paraId="6D6D479F">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黑体" w:cs="Times New Roman"/>
                <w:b/>
                <w:bCs/>
                <w:color w:val="auto"/>
                <w:sz w:val="21"/>
                <w:szCs w:val="21"/>
                <w:lang w:eastAsia="zh-CN"/>
              </w:rPr>
            </w:pPr>
          </w:p>
          <w:p w14:paraId="5A284543">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lang w:eastAsia="zh-CN"/>
              </w:rPr>
              <w:t>表</w:t>
            </w:r>
            <w:r>
              <w:rPr>
                <w:rFonts w:hint="default" w:ascii="Times New Roman" w:hAnsi="Times New Roman" w:eastAsia="宋体" w:cs="Times New Roman"/>
                <w:b/>
                <w:bCs/>
                <w:color w:val="auto"/>
                <w:sz w:val="21"/>
                <w:szCs w:val="21"/>
                <w:lang w:val="en-US" w:eastAsia="zh-CN"/>
              </w:rPr>
              <w:t>2-22  现有项目</w:t>
            </w:r>
            <w:r>
              <w:rPr>
                <w:rFonts w:hint="default" w:ascii="Times New Roman" w:hAnsi="Times New Roman" w:eastAsia="宋体" w:cs="Times New Roman"/>
                <w:b/>
                <w:bCs/>
                <w:color w:val="auto"/>
                <w:sz w:val="21"/>
                <w:szCs w:val="21"/>
                <w:lang w:eastAsia="zh-CN"/>
              </w:rPr>
              <w:t>厂界无组织废气监测结果表</w:t>
            </w:r>
          </w:p>
          <w:tbl>
            <w:tblPr>
              <w:tblStyle w:val="81"/>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1055"/>
              <w:gridCol w:w="1197"/>
              <w:gridCol w:w="1477"/>
              <w:gridCol w:w="1195"/>
              <w:gridCol w:w="1010"/>
              <w:gridCol w:w="1043"/>
              <w:gridCol w:w="1038"/>
            </w:tblGrid>
            <w:tr w14:paraId="1CD8E3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restart"/>
                  <w:tcBorders>
                    <w:tl2br w:val="nil"/>
                    <w:tr2bl w:val="nil"/>
                  </w:tcBorders>
                  <w:vAlign w:val="center"/>
                </w:tcPr>
                <w:p w14:paraId="67262BA1">
                  <w:pPr>
                    <w:pStyle w:val="2"/>
                    <w:spacing w:after="0"/>
                    <w:ind w:left="0" w:leftChars="0" w:firstLine="0" w:firstLineChars="0"/>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类别</w:t>
                  </w:r>
                </w:p>
              </w:tc>
              <w:tc>
                <w:tcPr>
                  <w:tcW w:w="627" w:type="pct"/>
                  <w:vMerge w:val="restart"/>
                  <w:tcBorders>
                    <w:tl2br w:val="nil"/>
                    <w:tr2bl w:val="nil"/>
                  </w:tcBorders>
                  <w:vAlign w:val="center"/>
                </w:tcPr>
                <w:p w14:paraId="754BDAE4">
                  <w:pPr>
                    <w:pStyle w:val="2"/>
                    <w:spacing w:after="0"/>
                    <w:ind w:left="0" w:leftChars="0" w:firstLine="0" w:firstLineChars="0"/>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检测项目</w:t>
                  </w:r>
                </w:p>
              </w:tc>
              <w:tc>
                <w:tcPr>
                  <w:tcW w:w="712" w:type="pct"/>
                  <w:vMerge w:val="restart"/>
                  <w:tcBorders>
                    <w:tl2br w:val="nil"/>
                    <w:tr2bl w:val="nil"/>
                  </w:tcBorders>
                  <w:vAlign w:val="center"/>
                </w:tcPr>
                <w:p w14:paraId="40752992">
                  <w:pPr>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检测日期</w:t>
                  </w:r>
                </w:p>
              </w:tc>
              <w:tc>
                <w:tcPr>
                  <w:tcW w:w="878" w:type="pct"/>
                  <w:vMerge w:val="restart"/>
                  <w:tcBorders>
                    <w:tl2br w:val="nil"/>
                    <w:tr2bl w:val="nil"/>
                  </w:tcBorders>
                  <w:vAlign w:val="center"/>
                </w:tcPr>
                <w:p w14:paraId="1BEFFA6F">
                  <w:pPr>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检测频次</w:t>
                  </w:r>
                </w:p>
              </w:tc>
              <w:tc>
                <w:tcPr>
                  <w:tcW w:w="2546" w:type="pct"/>
                  <w:gridSpan w:val="4"/>
                  <w:tcBorders>
                    <w:tl2br w:val="nil"/>
                    <w:tr2bl w:val="nil"/>
                  </w:tcBorders>
                  <w:vAlign w:val="center"/>
                </w:tcPr>
                <w:p w14:paraId="6CD3ACB5">
                  <w:pPr>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检测结果</w:t>
                  </w:r>
                </w:p>
              </w:tc>
            </w:tr>
            <w:tr w14:paraId="60F441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1A965768">
                  <w:pPr>
                    <w:pStyle w:val="2"/>
                    <w:spacing w:after="0"/>
                    <w:ind w:left="0" w:leftChars="0" w:firstLine="0" w:firstLineChars="0"/>
                    <w:jc w:val="center"/>
                    <w:rPr>
                      <w:rFonts w:hint="default" w:ascii="Times New Roman" w:hAnsi="Times New Roman" w:eastAsia="宋体" w:cs="Times New Roman"/>
                      <w:b w:val="0"/>
                      <w:bCs/>
                      <w:sz w:val="18"/>
                      <w:szCs w:val="18"/>
                    </w:rPr>
                  </w:pPr>
                </w:p>
              </w:tc>
              <w:tc>
                <w:tcPr>
                  <w:tcW w:w="627" w:type="pct"/>
                  <w:vMerge w:val="continue"/>
                  <w:tcBorders>
                    <w:tl2br w:val="nil"/>
                    <w:tr2bl w:val="nil"/>
                  </w:tcBorders>
                  <w:vAlign w:val="center"/>
                </w:tcPr>
                <w:p w14:paraId="3DA83B5C">
                  <w:pPr>
                    <w:pStyle w:val="2"/>
                    <w:spacing w:after="0"/>
                    <w:ind w:left="0" w:leftChars="0" w:firstLine="0" w:firstLineChars="0"/>
                    <w:jc w:val="center"/>
                    <w:rPr>
                      <w:rFonts w:hint="default" w:ascii="Times New Roman" w:hAnsi="Times New Roman" w:eastAsia="宋体" w:cs="Times New Roman"/>
                      <w:b w:val="0"/>
                      <w:bCs/>
                      <w:sz w:val="18"/>
                      <w:szCs w:val="18"/>
                    </w:rPr>
                  </w:pPr>
                </w:p>
              </w:tc>
              <w:tc>
                <w:tcPr>
                  <w:tcW w:w="712" w:type="pct"/>
                  <w:vMerge w:val="continue"/>
                  <w:tcBorders>
                    <w:tl2br w:val="nil"/>
                    <w:tr2bl w:val="nil"/>
                  </w:tcBorders>
                  <w:vAlign w:val="center"/>
                </w:tcPr>
                <w:p w14:paraId="3949653B">
                  <w:pPr>
                    <w:jc w:val="center"/>
                    <w:rPr>
                      <w:rFonts w:hint="default" w:ascii="Times New Roman" w:hAnsi="Times New Roman" w:eastAsia="宋体" w:cs="Times New Roman"/>
                      <w:b w:val="0"/>
                      <w:bCs/>
                      <w:sz w:val="18"/>
                      <w:szCs w:val="18"/>
                    </w:rPr>
                  </w:pPr>
                </w:p>
              </w:tc>
              <w:tc>
                <w:tcPr>
                  <w:tcW w:w="878" w:type="pct"/>
                  <w:vMerge w:val="continue"/>
                  <w:tcBorders>
                    <w:tl2br w:val="nil"/>
                    <w:tr2bl w:val="nil"/>
                  </w:tcBorders>
                  <w:vAlign w:val="center"/>
                </w:tcPr>
                <w:p w14:paraId="143438A4">
                  <w:pPr>
                    <w:jc w:val="center"/>
                    <w:rPr>
                      <w:rFonts w:hint="default" w:ascii="Times New Roman" w:hAnsi="Times New Roman" w:eastAsia="宋体" w:cs="Times New Roman"/>
                      <w:b w:val="0"/>
                      <w:bCs/>
                      <w:sz w:val="18"/>
                      <w:szCs w:val="18"/>
                    </w:rPr>
                  </w:pPr>
                </w:p>
              </w:tc>
              <w:tc>
                <w:tcPr>
                  <w:tcW w:w="710" w:type="pct"/>
                  <w:tcBorders>
                    <w:tl2br w:val="nil"/>
                    <w:tr2bl w:val="nil"/>
                  </w:tcBorders>
                  <w:vAlign w:val="center"/>
                </w:tcPr>
                <w:p w14:paraId="62E0BF5C">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eastAsia="zh-CN"/>
                    </w:rPr>
                    <w:t>上风向</w:t>
                  </w:r>
                  <w:r>
                    <w:rPr>
                      <w:rFonts w:hint="eastAsia" w:cs="Times New Roman"/>
                      <w:b w:val="0"/>
                      <w:bCs/>
                      <w:sz w:val="18"/>
                      <w:szCs w:val="18"/>
                      <w:lang w:val="en-US" w:eastAsia="zh-CN"/>
                    </w:rPr>
                    <w:t>1#</w:t>
                  </w:r>
                </w:p>
              </w:tc>
              <w:tc>
                <w:tcPr>
                  <w:tcW w:w="600" w:type="pct"/>
                  <w:tcBorders>
                    <w:tl2br w:val="nil"/>
                    <w:tr2bl w:val="nil"/>
                  </w:tcBorders>
                  <w:vAlign w:val="center"/>
                </w:tcPr>
                <w:p w14:paraId="561DEE79">
                  <w:pPr>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下风向</w:t>
                  </w:r>
                  <w:r>
                    <w:rPr>
                      <w:rFonts w:hint="eastAsia" w:cs="Times New Roman"/>
                      <w:b w:val="0"/>
                      <w:bCs/>
                      <w:sz w:val="18"/>
                      <w:szCs w:val="18"/>
                      <w:lang w:val="en-US" w:eastAsia="zh-CN"/>
                    </w:rPr>
                    <w:t>2</w:t>
                  </w:r>
                  <w:r>
                    <w:rPr>
                      <w:rFonts w:hint="default" w:ascii="Times New Roman" w:hAnsi="Times New Roman" w:eastAsia="宋体" w:cs="Times New Roman"/>
                      <w:b w:val="0"/>
                      <w:bCs/>
                      <w:sz w:val="18"/>
                      <w:szCs w:val="18"/>
                    </w:rPr>
                    <w:t>#</w:t>
                  </w:r>
                </w:p>
              </w:tc>
              <w:tc>
                <w:tcPr>
                  <w:tcW w:w="620" w:type="pct"/>
                  <w:tcBorders>
                    <w:tl2br w:val="nil"/>
                    <w:tr2bl w:val="nil"/>
                  </w:tcBorders>
                  <w:vAlign w:val="center"/>
                </w:tcPr>
                <w:p w14:paraId="1889F3EC">
                  <w:pPr>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下风向</w:t>
                  </w:r>
                  <w:r>
                    <w:rPr>
                      <w:rFonts w:hint="eastAsia" w:cs="Times New Roman"/>
                      <w:b w:val="0"/>
                      <w:bCs/>
                      <w:sz w:val="18"/>
                      <w:szCs w:val="18"/>
                      <w:lang w:val="en-US" w:eastAsia="zh-CN"/>
                    </w:rPr>
                    <w:t>3</w:t>
                  </w:r>
                  <w:r>
                    <w:rPr>
                      <w:rFonts w:hint="default" w:ascii="Times New Roman" w:hAnsi="Times New Roman" w:eastAsia="宋体" w:cs="Times New Roman"/>
                      <w:b w:val="0"/>
                      <w:bCs/>
                      <w:sz w:val="18"/>
                      <w:szCs w:val="18"/>
                    </w:rPr>
                    <w:t>#</w:t>
                  </w:r>
                </w:p>
              </w:tc>
              <w:tc>
                <w:tcPr>
                  <w:tcW w:w="615" w:type="pct"/>
                  <w:tcBorders>
                    <w:tl2br w:val="nil"/>
                    <w:tr2bl w:val="nil"/>
                  </w:tcBorders>
                  <w:vAlign w:val="center"/>
                </w:tcPr>
                <w:p w14:paraId="5F935226">
                  <w:pPr>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下风向</w:t>
                  </w:r>
                  <w:r>
                    <w:rPr>
                      <w:rFonts w:hint="eastAsia" w:cs="Times New Roman"/>
                      <w:b w:val="0"/>
                      <w:bCs/>
                      <w:sz w:val="18"/>
                      <w:szCs w:val="18"/>
                      <w:lang w:val="en-US" w:eastAsia="zh-CN"/>
                    </w:rPr>
                    <w:t>4</w:t>
                  </w:r>
                  <w:r>
                    <w:rPr>
                      <w:rFonts w:hint="default" w:ascii="Times New Roman" w:hAnsi="Times New Roman" w:eastAsia="宋体" w:cs="Times New Roman"/>
                      <w:b w:val="0"/>
                      <w:bCs/>
                      <w:sz w:val="18"/>
                      <w:szCs w:val="18"/>
                    </w:rPr>
                    <w:t>#</w:t>
                  </w:r>
                </w:p>
              </w:tc>
            </w:tr>
            <w:tr w14:paraId="4D19E0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restart"/>
                  <w:tcBorders>
                    <w:tl2br w:val="nil"/>
                    <w:tr2bl w:val="nil"/>
                  </w:tcBorders>
                  <w:vAlign w:val="center"/>
                </w:tcPr>
                <w:p w14:paraId="4DE1BB81">
                  <w:pPr>
                    <w:jc w:val="center"/>
                    <w:rPr>
                      <w:rFonts w:hint="default" w:ascii="Times New Roman" w:hAnsi="Times New Roman" w:eastAsia="宋体" w:cs="Times New Roman"/>
                      <w:b w:val="0"/>
                      <w:bCs/>
                      <w:sz w:val="18"/>
                      <w:szCs w:val="18"/>
                    </w:rPr>
                  </w:pPr>
                  <w:r>
                    <w:rPr>
                      <w:rFonts w:hint="default" w:ascii="Times New Roman" w:hAnsi="Times New Roman" w:eastAsia="宋体" w:cs="Times New Roman"/>
                      <w:b w:val="0"/>
                      <w:bCs/>
                      <w:sz w:val="18"/>
                      <w:szCs w:val="18"/>
                    </w:rPr>
                    <w:t>无组织</w:t>
                  </w:r>
                </w:p>
              </w:tc>
              <w:tc>
                <w:tcPr>
                  <w:tcW w:w="627" w:type="pct"/>
                  <w:vMerge w:val="restart"/>
                  <w:tcBorders>
                    <w:tl2br w:val="nil"/>
                    <w:tr2bl w:val="nil"/>
                  </w:tcBorders>
                  <w:vAlign w:val="center"/>
                </w:tcPr>
                <w:p w14:paraId="2FEC99C4">
                  <w:pPr>
                    <w:jc w:val="center"/>
                    <w:rPr>
                      <w:rFonts w:hint="default" w:ascii="Times New Roman" w:hAnsi="Times New Roman" w:eastAsia="宋体" w:cs="Times New Roman"/>
                      <w:b w:val="0"/>
                      <w:bCs/>
                      <w:sz w:val="18"/>
                      <w:szCs w:val="18"/>
                      <w:lang w:val="en-US" w:eastAsia="zh-CN"/>
                    </w:rPr>
                  </w:pPr>
                  <w:r>
                    <w:rPr>
                      <w:rFonts w:hint="default" w:ascii="Times New Roman" w:hAnsi="Times New Roman" w:eastAsia="宋体" w:cs="Times New Roman"/>
                      <w:b w:val="0"/>
                      <w:bCs/>
                      <w:sz w:val="18"/>
                      <w:szCs w:val="18"/>
                      <w:lang w:val="en-US" w:eastAsia="zh-CN"/>
                    </w:rPr>
                    <w:t>颗粒物</w:t>
                  </w:r>
                  <w:r>
                    <w:rPr>
                      <w:rFonts w:hint="default" w:ascii="Times New Roman" w:hAnsi="Times New Roman" w:eastAsia="宋体" w:cs="Times New Roman"/>
                      <w:b w:val="0"/>
                      <w:bCs/>
                      <w:sz w:val="18"/>
                      <w:szCs w:val="18"/>
                    </w:rPr>
                    <w:t>（mg/m</w:t>
                  </w:r>
                  <w:r>
                    <w:rPr>
                      <w:rFonts w:hint="default" w:ascii="Times New Roman" w:hAnsi="Times New Roman" w:eastAsia="宋体" w:cs="Times New Roman"/>
                      <w:b w:val="0"/>
                      <w:bCs/>
                      <w:sz w:val="18"/>
                      <w:szCs w:val="18"/>
                      <w:vertAlign w:val="superscript"/>
                    </w:rPr>
                    <w:t>3</w:t>
                  </w:r>
                  <w:r>
                    <w:rPr>
                      <w:rFonts w:hint="default" w:ascii="Times New Roman" w:hAnsi="Times New Roman" w:eastAsia="宋体" w:cs="Times New Roman"/>
                      <w:b w:val="0"/>
                      <w:bCs/>
                      <w:sz w:val="18"/>
                      <w:szCs w:val="18"/>
                    </w:rPr>
                    <w:t>）</w:t>
                  </w:r>
                </w:p>
              </w:tc>
              <w:tc>
                <w:tcPr>
                  <w:tcW w:w="712" w:type="pct"/>
                  <w:vMerge w:val="restart"/>
                  <w:tcBorders>
                    <w:tl2br w:val="nil"/>
                    <w:tr2bl w:val="nil"/>
                  </w:tcBorders>
                  <w:vAlign w:val="center"/>
                </w:tcPr>
                <w:p w14:paraId="79805D14">
                  <w:pPr>
                    <w:jc w:val="center"/>
                    <w:rPr>
                      <w:rFonts w:hint="default" w:ascii="Times New Roman" w:hAnsi="Times New Roman" w:eastAsia="宋体" w:cs="Times New Roman"/>
                      <w:b w:val="0"/>
                      <w:bCs/>
                      <w:sz w:val="18"/>
                      <w:szCs w:val="18"/>
                      <w:lang w:val="en-US" w:eastAsia="zh-CN"/>
                    </w:rPr>
                  </w:pPr>
                  <w:r>
                    <w:rPr>
                      <w:rFonts w:hint="default" w:ascii="Times New Roman" w:hAnsi="Times New Roman" w:eastAsia="宋体" w:cs="Times New Roman"/>
                      <w:b w:val="0"/>
                      <w:bCs/>
                      <w:sz w:val="18"/>
                      <w:szCs w:val="18"/>
                      <w:lang w:val="en-US" w:eastAsia="zh-CN"/>
                    </w:rPr>
                    <w:t>202</w:t>
                  </w:r>
                  <w:r>
                    <w:rPr>
                      <w:rFonts w:hint="eastAsia" w:cs="Times New Roman"/>
                      <w:b w:val="0"/>
                      <w:bCs/>
                      <w:sz w:val="18"/>
                      <w:szCs w:val="18"/>
                      <w:lang w:val="en-US" w:eastAsia="zh-CN"/>
                    </w:rPr>
                    <w:t>5.06.06</w:t>
                  </w:r>
                </w:p>
              </w:tc>
              <w:tc>
                <w:tcPr>
                  <w:tcW w:w="878" w:type="pct"/>
                  <w:tcBorders>
                    <w:tl2br w:val="nil"/>
                    <w:tr2bl w:val="nil"/>
                  </w:tcBorders>
                  <w:vAlign w:val="center"/>
                </w:tcPr>
                <w:p w14:paraId="75739D96">
                  <w:pPr>
                    <w:jc w:val="center"/>
                    <w:rPr>
                      <w:rFonts w:hint="eastAsia" w:ascii="Times New Roman" w:hAnsi="Times New Roman" w:eastAsia="宋体" w:cs="Times New Roman"/>
                      <w:b w:val="0"/>
                      <w:bCs/>
                      <w:sz w:val="18"/>
                      <w:szCs w:val="18"/>
                      <w:lang w:eastAsia="zh-CN"/>
                    </w:rPr>
                  </w:pPr>
                  <w:r>
                    <w:rPr>
                      <w:rFonts w:hint="eastAsia" w:ascii="Times New Roman" w:hAnsi="Times New Roman" w:cs="Times New Roman"/>
                      <w:b w:val="0"/>
                      <w:bCs/>
                      <w:sz w:val="18"/>
                      <w:szCs w:val="18"/>
                      <w:lang w:val="en-US" w:eastAsia="zh-CN"/>
                    </w:rPr>
                    <w:t>1</w:t>
                  </w:r>
                </w:p>
              </w:tc>
              <w:tc>
                <w:tcPr>
                  <w:tcW w:w="710" w:type="pct"/>
                  <w:tcBorders>
                    <w:tl2br w:val="nil"/>
                    <w:tr2bl w:val="nil"/>
                  </w:tcBorders>
                  <w:vAlign w:val="center"/>
                </w:tcPr>
                <w:p w14:paraId="0178AA69">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0.281</w:t>
                  </w:r>
                </w:p>
              </w:tc>
              <w:tc>
                <w:tcPr>
                  <w:tcW w:w="600" w:type="pct"/>
                  <w:tcBorders>
                    <w:tl2br w:val="nil"/>
                    <w:tr2bl w:val="nil"/>
                  </w:tcBorders>
                  <w:vAlign w:val="center"/>
                </w:tcPr>
                <w:p w14:paraId="2F172752">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0.434</w:t>
                  </w:r>
                </w:p>
              </w:tc>
              <w:tc>
                <w:tcPr>
                  <w:tcW w:w="620" w:type="pct"/>
                  <w:tcBorders>
                    <w:tl2br w:val="nil"/>
                    <w:tr2bl w:val="nil"/>
                  </w:tcBorders>
                  <w:vAlign w:val="center"/>
                </w:tcPr>
                <w:p w14:paraId="2ED998E2">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0.376</w:t>
                  </w:r>
                </w:p>
              </w:tc>
              <w:tc>
                <w:tcPr>
                  <w:tcW w:w="615" w:type="pct"/>
                  <w:tcBorders>
                    <w:tl2br w:val="nil"/>
                    <w:tr2bl w:val="nil"/>
                  </w:tcBorders>
                  <w:vAlign w:val="center"/>
                </w:tcPr>
                <w:p w14:paraId="139358F4">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0.451</w:t>
                  </w:r>
                </w:p>
              </w:tc>
            </w:tr>
            <w:tr w14:paraId="55F25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0DFAF9FA">
                  <w:pPr>
                    <w:jc w:val="center"/>
                    <w:rPr>
                      <w:rFonts w:hint="default" w:ascii="Times New Roman" w:hAnsi="Times New Roman" w:eastAsia="宋体" w:cs="Times New Roman"/>
                      <w:b w:val="0"/>
                      <w:bCs/>
                      <w:sz w:val="18"/>
                      <w:szCs w:val="18"/>
                    </w:rPr>
                  </w:pPr>
                </w:p>
              </w:tc>
              <w:tc>
                <w:tcPr>
                  <w:tcW w:w="627" w:type="pct"/>
                  <w:vMerge w:val="continue"/>
                  <w:tcBorders>
                    <w:tl2br w:val="nil"/>
                    <w:tr2bl w:val="nil"/>
                  </w:tcBorders>
                  <w:vAlign w:val="center"/>
                </w:tcPr>
                <w:p w14:paraId="43D517E4">
                  <w:pPr>
                    <w:jc w:val="center"/>
                    <w:rPr>
                      <w:rFonts w:hint="default" w:ascii="Times New Roman" w:hAnsi="Times New Roman" w:eastAsia="宋体" w:cs="Times New Roman"/>
                      <w:b w:val="0"/>
                      <w:bCs/>
                      <w:sz w:val="18"/>
                      <w:szCs w:val="18"/>
                      <w:lang w:val="en-US" w:eastAsia="zh-CN"/>
                    </w:rPr>
                  </w:pPr>
                </w:p>
              </w:tc>
              <w:tc>
                <w:tcPr>
                  <w:tcW w:w="712" w:type="pct"/>
                  <w:vMerge w:val="continue"/>
                  <w:tcBorders>
                    <w:tl2br w:val="nil"/>
                    <w:tr2bl w:val="nil"/>
                  </w:tcBorders>
                  <w:vAlign w:val="center"/>
                </w:tcPr>
                <w:p w14:paraId="4EA33355">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3191CACB">
                  <w:pPr>
                    <w:jc w:val="center"/>
                    <w:rPr>
                      <w:rFonts w:hint="default" w:ascii="Times New Roman" w:hAnsi="Times New Roman" w:cs="Times New Roman"/>
                      <w:b w:val="0"/>
                      <w:bCs/>
                      <w:sz w:val="18"/>
                      <w:szCs w:val="18"/>
                      <w:lang w:val="en-US" w:eastAsia="zh-CN"/>
                    </w:rPr>
                  </w:pPr>
                  <w:r>
                    <w:rPr>
                      <w:rFonts w:hint="eastAsia" w:cs="Times New Roman"/>
                      <w:b w:val="0"/>
                      <w:bCs/>
                      <w:sz w:val="18"/>
                      <w:szCs w:val="18"/>
                      <w:lang w:val="en-US" w:eastAsia="zh-CN"/>
                    </w:rPr>
                    <w:t>2</w:t>
                  </w:r>
                </w:p>
              </w:tc>
              <w:tc>
                <w:tcPr>
                  <w:tcW w:w="710" w:type="pct"/>
                  <w:tcBorders>
                    <w:tl2br w:val="nil"/>
                    <w:tr2bl w:val="nil"/>
                  </w:tcBorders>
                  <w:vAlign w:val="center"/>
                </w:tcPr>
                <w:p w14:paraId="201442F0">
                  <w:pPr>
                    <w:jc w:val="center"/>
                    <w:rPr>
                      <w:rFonts w:hint="default" w:cs="Times New Roman"/>
                      <w:b w:val="0"/>
                      <w:bCs/>
                      <w:sz w:val="18"/>
                      <w:szCs w:val="18"/>
                      <w:lang w:val="en-US" w:eastAsia="zh-CN"/>
                    </w:rPr>
                  </w:pPr>
                  <w:r>
                    <w:rPr>
                      <w:rFonts w:hint="eastAsia" w:cs="Times New Roman"/>
                      <w:b w:val="0"/>
                      <w:bCs/>
                      <w:sz w:val="18"/>
                      <w:szCs w:val="18"/>
                      <w:lang w:val="en-US" w:eastAsia="zh-CN"/>
                    </w:rPr>
                    <w:t>0.350</w:t>
                  </w:r>
                </w:p>
              </w:tc>
              <w:tc>
                <w:tcPr>
                  <w:tcW w:w="600" w:type="pct"/>
                  <w:tcBorders>
                    <w:tl2br w:val="nil"/>
                    <w:tr2bl w:val="nil"/>
                  </w:tcBorders>
                  <w:vAlign w:val="center"/>
                </w:tcPr>
                <w:p w14:paraId="7FE1DF01">
                  <w:pPr>
                    <w:jc w:val="center"/>
                    <w:rPr>
                      <w:rFonts w:hint="default" w:cs="Times New Roman"/>
                      <w:b w:val="0"/>
                      <w:bCs/>
                      <w:sz w:val="18"/>
                      <w:szCs w:val="18"/>
                      <w:lang w:val="en-US" w:eastAsia="zh-CN"/>
                    </w:rPr>
                  </w:pPr>
                  <w:r>
                    <w:rPr>
                      <w:rFonts w:hint="eastAsia" w:cs="Times New Roman"/>
                      <w:b w:val="0"/>
                      <w:bCs/>
                      <w:sz w:val="18"/>
                      <w:szCs w:val="18"/>
                      <w:lang w:val="en-US" w:eastAsia="zh-CN"/>
                    </w:rPr>
                    <w:t>0.407</w:t>
                  </w:r>
                </w:p>
              </w:tc>
              <w:tc>
                <w:tcPr>
                  <w:tcW w:w="620" w:type="pct"/>
                  <w:tcBorders>
                    <w:tl2br w:val="nil"/>
                    <w:tr2bl w:val="nil"/>
                  </w:tcBorders>
                  <w:vAlign w:val="center"/>
                </w:tcPr>
                <w:p w14:paraId="73EE803D">
                  <w:pPr>
                    <w:jc w:val="center"/>
                    <w:rPr>
                      <w:rFonts w:hint="default" w:cs="Times New Roman"/>
                      <w:b w:val="0"/>
                      <w:bCs/>
                      <w:sz w:val="18"/>
                      <w:szCs w:val="18"/>
                      <w:lang w:val="en-US" w:eastAsia="zh-CN"/>
                    </w:rPr>
                  </w:pPr>
                  <w:r>
                    <w:rPr>
                      <w:rFonts w:hint="eastAsia" w:cs="Times New Roman"/>
                      <w:b w:val="0"/>
                      <w:bCs/>
                      <w:sz w:val="18"/>
                      <w:szCs w:val="18"/>
                      <w:lang w:val="en-US" w:eastAsia="zh-CN"/>
                    </w:rPr>
                    <w:t>0.416</w:t>
                  </w:r>
                </w:p>
              </w:tc>
              <w:tc>
                <w:tcPr>
                  <w:tcW w:w="615" w:type="pct"/>
                  <w:tcBorders>
                    <w:tl2br w:val="nil"/>
                    <w:tr2bl w:val="nil"/>
                  </w:tcBorders>
                  <w:vAlign w:val="center"/>
                </w:tcPr>
                <w:p w14:paraId="71F571B0">
                  <w:pPr>
                    <w:jc w:val="center"/>
                    <w:rPr>
                      <w:rFonts w:hint="default" w:cs="Times New Roman"/>
                      <w:b w:val="0"/>
                      <w:bCs/>
                      <w:sz w:val="18"/>
                      <w:szCs w:val="18"/>
                      <w:lang w:val="en-US" w:eastAsia="zh-CN"/>
                    </w:rPr>
                  </w:pPr>
                  <w:r>
                    <w:rPr>
                      <w:rFonts w:hint="eastAsia" w:cs="Times New Roman"/>
                      <w:b w:val="0"/>
                      <w:bCs/>
                      <w:sz w:val="18"/>
                      <w:szCs w:val="18"/>
                      <w:lang w:val="en-US" w:eastAsia="zh-CN"/>
                    </w:rPr>
                    <w:t>0.429</w:t>
                  </w:r>
                </w:p>
              </w:tc>
            </w:tr>
            <w:tr w14:paraId="014E6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149E340F">
                  <w:pPr>
                    <w:jc w:val="center"/>
                    <w:rPr>
                      <w:rFonts w:hint="default" w:ascii="Times New Roman" w:hAnsi="Times New Roman" w:eastAsia="宋体" w:cs="Times New Roman"/>
                      <w:b w:val="0"/>
                      <w:bCs/>
                      <w:sz w:val="18"/>
                      <w:szCs w:val="18"/>
                    </w:rPr>
                  </w:pPr>
                </w:p>
              </w:tc>
              <w:tc>
                <w:tcPr>
                  <w:tcW w:w="627" w:type="pct"/>
                  <w:vMerge w:val="continue"/>
                  <w:tcBorders>
                    <w:tl2br w:val="nil"/>
                    <w:tr2bl w:val="nil"/>
                  </w:tcBorders>
                  <w:vAlign w:val="center"/>
                </w:tcPr>
                <w:p w14:paraId="654ACA17">
                  <w:pPr>
                    <w:jc w:val="center"/>
                    <w:rPr>
                      <w:rFonts w:hint="default" w:ascii="Times New Roman" w:hAnsi="Times New Roman" w:eastAsia="宋体" w:cs="Times New Roman"/>
                      <w:b w:val="0"/>
                      <w:bCs/>
                      <w:sz w:val="18"/>
                      <w:szCs w:val="18"/>
                      <w:lang w:val="en-US" w:eastAsia="zh-CN"/>
                    </w:rPr>
                  </w:pPr>
                </w:p>
              </w:tc>
              <w:tc>
                <w:tcPr>
                  <w:tcW w:w="712" w:type="pct"/>
                  <w:vMerge w:val="continue"/>
                  <w:tcBorders>
                    <w:tl2br w:val="nil"/>
                    <w:tr2bl w:val="nil"/>
                  </w:tcBorders>
                  <w:vAlign w:val="center"/>
                </w:tcPr>
                <w:p w14:paraId="46DA662F">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3EF370EE">
                  <w:pPr>
                    <w:jc w:val="center"/>
                    <w:rPr>
                      <w:rFonts w:hint="default" w:ascii="Times New Roman" w:hAnsi="Times New Roman" w:cs="Times New Roman"/>
                      <w:b w:val="0"/>
                      <w:bCs/>
                      <w:sz w:val="18"/>
                      <w:szCs w:val="18"/>
                      <w:lang w:val="en-US" w:eastAsia="zh-CN"/>
                    </w:rPr>
                  </w:pPr>
                  <w:r>
                    <w:rPr>
                      <w:rFonts w:hint="eastAsia" w:cs="Times New Roman"/>
                      <w:b w:val="0"/>
                      <w:bCs/>
                      <w:sz w:val="18"/>
                      <w:szCs w:val="18"/>
                      <w:lang w:val="en-US" w:eastAsia="zh-CN"/>
                    </w:rPr>
                    <w:t>3</w:t>
                  </w:r>
                </w:p>
              </w:tc>
              <w:tc>
                <w:tcPr>
                  <w:tcW w:w="710" w:type="pct"/>
                  <w:tcBorders>
                    <w:tl2br w:val="nil"/>
                    <w:tr2bl w:val="nil"/>
                  </w:tcBorders>
                  <w:vAlign w:val="center"/>
                </w:tcPr>
                <w:p w14:paraId="019D776B">
                  <w:pPr>
                    <w:jc w:val="center"/>
                    <w:rPr>
                      <w:rFonts w:hint="default" w:cs="Times New Roman"/>
                      <w:b w:val="0"/>
                      <w:bCs/>
                      <w:sz w:val="18"/>
                      <w:szCs w:val="18"/>
                      <w:lang w:val="en-US" w:eastAsia="zh-CN"/>
                    </w:rPr>
                  </w:pPr>
                  <w:r>
                    <w:rPr>
                      <w:rFonts w:hint="eastAsia" w:cs="Times New Roman"/>
                      <w:b w:val="0"/>
                      <w:bCs/>
                      <w:sz w:val="18"/>
                      <w:szCs w:val="18"/>
                      <w:lang w:val="en-US" w:eastAsia="zh-CN"/>
                    </w:rPr>
                    <w:t>0.325</w:t>
                  </w:r>
                </w:p>
              </w:tc>
              <w:tc>
                <w:tcPr>
                  <w:tcW w:w="600" w:type="pct"/>
                  <w:tcBorders>
                    <w:tl2br w:val="nil"/>
                    <w:tr2bl w:val="nil"/>
                  </w:tcBorders>
                  <w:vAlign w:val="center"/>
                </w:tcPr>
                <w:p w14:paraId="7F5C7F81">
                  <w:pPr>
                    <w:jc w:val="center"/>
                    <w:rPr>
                      <w:rFonts w:hint="default" w:cs="Times New Roman"/>
                      <w:b w:val="0"/>
                      <w:bCs/>
                      <w:sz w:val="18"/>
                      <w:szCs w:val="18"/>
                      <w:lang w:val="en-US" w:eastAsia="zh-CN"/>
                    </w:rPr>
                  </w:pPr>
                  <w:r>
                    <w:rPr>
                      <w:rFonts w:hint="eastAsia" w:cs="Times New Roman"/>
                      <w:b w:val="0"/>
                      <w:bCs/>
                      <w:sz w:val="18"/>
                      <w:szCs w:val="18"/>
                      <w:lang w:val="en-US" w:eastAsia="zh-CN"/>
                    </w:rPr>
                    <w:t>0.468</w:t>
                  </w:r>
                </w:p>
              </w:tc>
              <w:tc>
                <w:tcPr>
                  <w:tcW w:w="620" w:type="pct"/>
                  <w:tcBorders>
                    <w:tl2br w:val="nil"/>
                    <w:tr2bl w:val="nil"/>
                  </w:tcBorders>
                  <w:vAlign w:val="center"/>
                </w:tcPr>
                <w:p w14:paraId="3475CF6B">
                  <w:pPr>
                    <w:jc w:val="center"/>
                    <w:rPr>
                      <w:rFonts w:hint="default" w:cs="Times New Roman"/>
                      <w:b w:val="0"/>
                      <w:bCs/>
                      <w:sz w:val="18"/>
                      <w:szCs w:val="18"/>
                      <w:lang w:val="en-US" w:eastAsia="zh-CN"/>
                    </w:rPr>
                  </w:pPr>
                  <w:r>
                    <w:rPr>
                      <w:rFonts w:hint="eastAsia" w:cs="Times New Roman"/>
                      <w:b w:val="0"/>
                      <w:bCs/>
                      <w:sz w:val="18"/>
                      <w:szCs w:val="18"/>
                      <w:lang w:val="en-US" w:eastAsia="zh-CN"/>
                    </w:rPr>
                    <w:t>0.395</w:t>
                  </w:r>
                </w:p>
              </w:tc>
              <w:tc>
                <w:tcPr>
                  <w:tcW w:w="615" w:type="pct"/>
                  <w:tcBorders>
                    <w:tl2br w:val="nil"/>
                    <w:tr2bl w:val="nil"/>
                  </w:tcBorders>
                  <w:vAlign w:val="center"/>
                </w:tcPr>
                <w:p w14:paraId="6A5661D9">
                  <w:pPr>
                    <w:jc w:val="center"/>
                    <w:rPr>
                      <w:rFonts w:hint="default" w:cs="Times New Roman"/>
                      <w:b w:val="0"/>
                      <w:bCs/>
                      <w:sz w:val="18"/>
                      <w:szCs w:val="18"/>
                      <w:lang w:val="en-US" w:eastAsia="zh-CN"/>
                    </w:rPr>
                  </w:pPr>
                  <w:r>
                    <w:rPr>
                      <w:rFonts w:hint="eastAsia" w:cs="Times New Roman"/>
                      <w:b w:val="0"/>
                      <w:bCs/>
                      <w:sz w:val="18"/>
                      <w:szCs w:val="18"/>
                      <w:lang w:val="en-US" w:eastAsia="zh-CN"/>
                    </w:rPr>
                    <w:t>0.388</w:t>
                  </w:r>
                </w:p>
              </w:tc>
            </w:tr>
            <w:tr w14:paraId="67DED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6F46EED9">
                  <w:pPr>
                    <w:jc w:val="center"/>
                    <w:rPr>
                      <w:rFonts w:hint="default" w:ascii="Times New Roman" w:hAnsi="Times New Roman" w:eastAsia="宋体" w:cs="Times New Roman"/>
                      <w:b w:val="0"/>
                      <w:bCs/>
                      <w:sz w:val="18"/>
                      <w:szCs w:val="18"/>
                    </w:rPr>
                  </w:pPr>
                </w:p>
              </w:tc>
              <w:tc>
                <w:tcPr>
                  <w:tcW w:w="627" w:type="pct"/>
                  <w:vMerge w:val="restart"/>
                  <w:tcBorders>
                    <w:tl2br w:val="nil"/>
                    <w:tr2bl w:val="nil"/>
                  </w:tcBorders>
                  <w:vAlign w:val="center"/>
                </w:tcPr>
                <w:p w14:paraId="10708321">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VOCs</w:t>
                  </w:r>
                  <w:r>
                    <w:rPr>
                      <w:rFonts w:hint="default" w:ascii="Times New Roman" w:hAnsi="Times New Roman" w:eastAsia="宋体" w:cs="Times New Roman"/>
                      <w:b w:val="0"/>
                      <w:bCs/>
                      <w:sz w:val="18"/>
                      <w:szCs w:val="18"/>
                    </w:rPr>
                    <w:t>（mg/m</w:t>
                  </w:r>
                  <w:r>
                    <w:rPr>
                      <w:rFonts w:hint="default" w:ascii="Times New Roman" w:hAnsi="Times New Roman" w:eastAsia="宋体" w:cs="Times New Roman"/>
                      <w:b w:val="0"/>
                      <w:bCs/>
                      <w:sz w:val="18"/>
                      <w:szCs w:val="18"/>
                      <w:vertAlign w:val="superscript"/>
                    </w:rPr>
                    <w:t>3</w:t>
                  </w:r>
                  <w:r>
                    <w:rPr>
                      <w:rFonts w:hint="default" w:ascii="Times New Roman" w:hAnsi="Times New Roman" w:eastAsia="宋体" w:cs="Times New Roman"/>
                      <w:b w:val="0"/>
                      <w:bCs/>
                      <w:sz w:val="18"/>
                      <w:szCs w:val="18"/>
                    </w:rPr>
                    <w:t>）</w:t>
                  </w:r>
                </w:p>
              </w:tc>
              <w:tc>
                <w:tcPr>
                  <w:tcW w:w="712" w:type="pct"/>
                  <w:vMerge w:val="continue"/>
                  <w:tcBorders>
                    <w:tl2br w:val="nil"/>
                    <w:tr2bl w:val="nil"/>
                  </w:tcBorders>
                  <w:vAlign w:val="center"/>
                </w:tcPr>
                <w:p w14:paraId="1CA88C67">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3F62D73B">
                  <w:pPr>
                    <w:jc w:val="center"/>
                    <w:rPr>
                      <w:rFonts w:hint="eastAsia" w:ascii="Times New Roman" w:hAnsi="Times New Roman" w:eastAsia="宋体" w:cs="Times New Roman"/>
                      <w:b w:val="0"/>
                      <w:bCs/>
                      <w:sz w:val="18"/>
                      <w:szCs w:val="18"/>
                      <w:lang w:val="en-US" w:eastAsia="zh-CN"/>
                    </w:rPr>
                  </w:pPr>
                  <w:r>
                    <w:rPr>
                      <w:rFonts w:hint="eastAsia" w:ascii="Times New Roman" w:hAnsi="Times New Roman" w:cs="Times New Roman"/>
                      <w:b w:val="0"/>
                      <w:bCs/>
                      <w:sz w:val="18"/>
                      <w:szCs w:val="18"/>
                      <w:lang w:val="en-US" w:eastAsia="zh-CN"/>
                    </w:rPr>
                    <w:t>1</w:t>
                  </w:r>
                </w:p>
              </w:tc>
              <w:tc>
                <w:tcPr>
                  <w:tcW w:w="710" w:type="pct"/>
                  <w:tcBorders>
                    <w:tl2br w:val="nil"/>
                    <w:tr2bl w:val="nil"/>
                  </w:tcBorders>
                  <w:vAlign w:val="center"/>
                </w:tcPr>
                <w:p w14:paraId="7DF79E5C">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0.71</w:t>
                  </w:r>
                </w:p>
              </w:tc>
              <w:tc>
                <w:tcPr>
                  <w:tcW w:w="600" w:type="pct"/>
                  <w:tcBorders>
                    <w:tl2br w:val="nil"/>
                    <w:tr2bl w:val="nil"/>
                  </w:tcBorders>
                  <w:vAlign w:val="center"/>
                </w:tcPr>
                <w:p w14:paraId="263B6BFD">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0.96</w:t>
                  </w:r>
                </w:p>
              </w:tc>
              <w:tc>
                <w:tcPr>
                  <w:tcW w:w="620" w:type="pct"/>
                  <w:tcBorders>
                    <w:tl2br w:val="nil"/>
                    <w:tr2bl w:val="nil"/>
                  </w:tcBorders>
                  <w:vAlign w:val="center"/>
                </w:tcPr>
                <w:p w14:paraId="094A8BDA">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1.30</w:t>
                  </w:r>
                </w:p>
              </w:tc>
              <w:tc>
                <w:tcPr>
                  <w:tcW w:w="615" w:type="pct"/>
                  <w:tcBorders>
                    <w:tl2br w:val="nil"/>
                    <w:tr2bl w:val="nil"/>
                  </w:tcBorders>
                  <w:vAlign w:val="center"/>
                </w:tcPr>
                <w:p w14:paraId="0692AF25">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1.59</w:t>
                  </w:r>
                </w:p>
              </w:tc>
            </w:tr>
            <w:tr w14:paraId="3A795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3EAE8B11">
                  <w:pPr>
                    <w:jc w:val="center"/>
                    <w:rPr>
                      <w:rFonts w:hint="default" w:ascii="Times New Roman" w:hAnsi="Times New Roman" w:eastAsia="宋体" w:cs="Times New Roman"/>
                      <w:b w:val="0"/>
                      <w:bCs/>
                      <w:sz w:val="18"/>
                      <w:szCs w:val="18"/>
                    </w:rPr>
                  </w:pPr>
                </w:p>
              </w:tc>
              <w:tc>
                <w:tcPr>
                  <w:tcW w:w="627" w:type="pct"/>
                  <w:vMerge w:val="continue"/>
                  <w:tcBorders>
                    <w:tl2br w:val="nil"/>
                    <w:tr2bl w:val="nil"/>
                  </w:tcBorders>
                  <w:vAlign w:val="center"/>
                </w:tcPr>
                <w:p w14:paraId="013D8FB4">
                  <w:pPr>
                    <w:jc w:val="center"/>
                    <w:rPr>
                      <w:rFonts w:hint="eastAsia" w:cs="Times New Roman"/>
                      <w:b w:val="0"/>
                      <w:bCs/>
                      <w:sz w:val="18"/>
                      <w:szCs w:val="18"/>
                      <w:lang w:val="en-US" w:eastAsia="zh-CN"/>
                    </w:rPr>
                  </w:pPr>
                </w:p>
              </w:tc>
              <w:tc>
                <w:tcPr>
                  <w:tcW w:w="712" w:type="pct"/>
                  <w:vMerge w:val="continue"/>
                  <w:tcBorders>
                    <w:tl2br w:val="nil"/>
                    <w:tr2bl w:val="nil"/>
                  </w:tcBorders>
                  <w:vAlign w:val="center"/>
                </w:tcPr>
                <w:p w14:paraId="5D41EC52">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05150A90">
                  <w:pPr>
                    <w:jc w:val="center"/>
                    <w:rPr>
                      <w:rFonts w:hint="default" w:ascii="Times New Roman" w:hAnsi="Times New Roman" w:cs="Times New Roman"/>
                      <w:b w:val="0"/>
                      <w:bCs/>
                      <w:sz w:val="18"/>
                      <w:szCs w:val="18"/>
                      <w:lang w:val="en-US" w:eastAsia="zh-CN"/>
                    </w:rPr>
                  </w:pPr>
                  <w:r>
                    <w:rPr>
                      <w:rFonts w:hint="eastAsia" w:cs="Times New Roman"/>
                      <w:b w:val="0"/>
                      <w:bCs/>
                      <w:sz w:val="18"/>
                      <w:szCs w:val="18"/>
                      <w:lang w:val="en-US" w:eastAsia="zh-CN"/>
                    </w:rPr>
                    <w:t>2</w:t>
                  </w:r>
                </w:p>
              </w:tc>
              <w:tc>
                <w:tcPr>
                  <w:tcW w:w="710" w:type="pct"/>
                  <w:tcBorders>
                    <w:tl2br w:val="nil"/>
                    <w:tr2bl w:val="nil"/>
                  </w:tcBorders>
                  <w:vAlign w:val="center"/>
                </w:tcPr>
                <w:p w14:paraId="51CD7F59">
                  <w:pPr>
                    <w:jc w:val="center"/>
                    <w:rPr>
                      <w:rFonts w:hint="default" w:cs="Times New Roman"/>
                      <w:b w:val="0"/>
                      <w:bCs/>
                      <w:sz w:val="18"/>
                      <w:szCs w:val="18"/>
                      <w:lang w:val="en-US" w:eastAsia="zh-CN"/>
                    </w:rPr>
                  </w:pPr>
                  <w:r>
                    <w:rPr>
                      <w:rFonts w:hint="eastAsia" w:cs="Times New Roman"/>
                      <w:b w:val="0"/>
                      <w:bCs/>
                      <w:sz w:val="18"/>
                      <w:szCs w:val="18"/>
                      <w:lang w:val="en-US" w:eastAsia="zh-CN"/>
                    </w:rPr>
                    <w:t>0.67</w:t>
                  </w:r>
                </w:p>
              </w:tc>
              <w:tc>
                <w:tcPr>
                  <w:tcW w:w="600" w:type="pct"/>
                  <w:tcBorders>
                    <w:tl2br w:val="nil"/>
                    <w:tr2bl w:val="nil"/>
                  </w:tcBorders>
                  <w:vAlign w:val="center"/>
                </w:tcPr>
                <w:p w14:paraId="23B3A207">
                  <w:pPr>
                    <w:jc w:val="center"/>
                    <w:rPr>
                      <w:rFonts w:hint="default" w:cs="Times New Roman"/>
                      <w:b w:val="0"/>
                      <w:bCs/>
                      <w:sz w:val="18"/>
                      <w:szCs w:val="18"/>
                      <w:lang w:val="en-US" w:eastAsia="zh-CN"/>
                    </w:rPr>
                  </w:pPr>
                  <w:r>
                    <w:rPr>
                      <w:rFonts w:hint="eastAsia" w:cs="Times New Roman"/>
                      <w:b w:val="0"/>
                      <w:bCs/>
                      <w:sz w:val="18"/>
                      <w:szCs w:val="18"/>
                      <w:lang w:val="en-US" w:eastAsia="zh-CN"/>
                    </w:rPr>
                    <w:t>1.03</w:t>
                  </w:r>
                </w:p>
              </w:tc>
              <w:tc>
                <w:tcPr>
                  <w:tcW w:w="620" w:type="pct"/>
                  <w:tcBorders>
                    <w:tl2br w:val="nil"/>
                    <w:tr2bl w:val="nil"/>
                  </w:tcBorders>
                  <w:vAlign w:val="center"/>
                </w:tcPr>
                <w:p w14:paraId="6EB00777">
                  <w:pPr>
                    <w:jc w:val="center"/>
                    <w:rPr>
                      <w:rFonts w:hint="default" w:cs="Times New Roman"/>
                      <w:b w:val="0"/>
                      <w:bCs/>
                      <w:sz w:val="18"/>
                      <w:szCs w:val="18"/>
                      <w:lang w:val="en-US" w:eastAsia="zh-CN"/>
                    </w:rPr>
                  </w:pPr>
                  <w:r>
                    <w:rPr>
                      <w:rFonts w:hint="eastAsia" w:cs="Times New Roman"/>
                      <w:b w:val="0"/>
                      <w:bCs/>
                      <w:sz w:val="18"/>
                      <w:szCs w:val="18"/>
                      <w:lang w:val="en-US" w:eastAsia="zh-CN"/>
                    </w:rPr>
                    <w:t>1.24</w:t>
                  </w:r>
                </w:p>
              </w:tc>
              <w:tc>
                <w:tcPr>
                  <w:tcW w:w="615" w:type="pct"/>
                  <w:tcBorders>
                    <w:tl2br w:val="nil"/>
                    <w:tr2bl w:val="nil"/>
                  </w:tcBorders>
                  <w:vAlign w:val="center"/>
                </w:tcPr>
                <w:p w14:paraId="591E758E">
                  <w:pPr>
                    <w:jc w:val="center"/>
                    <w:rPr>
                      <w:rFonts w:hint="default" w:cs="Times New Roman"/>
                      <w:b w:val="0"/>
                      <w:bCs/>
                      <w:sz w:val="18"/>
                      <w:szCs w:val="18"/>
                      <w:lang w:val="en-US" w:eastAsia="zh-CN"/>
                    </w:rPr>
                  </w:pPr>
                  <w:r>
                    <w:rPr>
                      <w:rFonts w:hint="eastAsia" w:cs="Times New Roman"/>
                      <w:b w:val="0"/>
                      <w:bCs/>
                      <w:sz w:val="18"/>
                      <w:szCs w:val="18"/>
                      <w:lang w:val="en-US" w:eastAsia="zh-CN"/>
                    </w:rPr>
                    <w:t>1.65</w:t>
                  </w:r>
                </w:p>
              </w:tc>
            </w:tr>
            <w:tr w14:paraId="3148BB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01C6CE01">
                  <w:pPr>
                    <w:jc w:val="center"/>
                    <w:rPr>
                      <w:rFonts w:hint="default" w:ascii="Times New Roman" w:hAnsi="Times New Roman" w:eastAsia="宋体" w:cs="Times New Roman"/>
                      <w:b w:val="0"/>
                      <w:bCs/>
                      <w:sz w:val="18"/>
                      <w:szCs w:val="18"/>
                    </w:rPr>
                  </w:pPr>
                </w:p>
              </w:tc>
              <w:tc>
                <w:tcPr>
                  <w:tcW w:w="627" w:type="pct"/>
                  <w:vMerge w:val="continue"/>
                  <w:tcBorders>
                    <w:tl2br w:val="nil"/>
                    <w:tr2bl w:val="nil"/>
                  </w:tcBorders>
                  <w:vAlign w:val="center"/>
                </w:tcPr>
                <w:p w14:paraId="446C3033">
                  <w:pPr>
                    <w:jc w:val="center"/>
                    <w:rPr>
                      <w:rFonts w:hint="eastAsia" w:cs="Times New Roman"/>
                      <w:b w:val="0"/>
                      <w:bCs/>
                      <w:sz w:val="18"/>
                      <w:szCs w:val="18"/>
                      <w:lang w:val="en-US" w:eastAsia="zh-CN"/>
                    </w:rPr>
                  </w:pPr>
                </w:p>
              </w:tc>
              <w:tc>
                <w:tcPr>
                  <w:tcW w:w="712" w:type="pct"/>
                  <w:vMerge w:val="continue"/>
                  <w:tcBorders>
                    <w:tl2br w:val="nil"/>
                    <w:tr2bl w:val="nil"/>
                  </w:tcBorders>
                  <w:vAlign w:val="center"/>
                </w:tcPr>
                <w:p w14:paraId="45255AD6">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64ACFEA5">
                  <w:pPr>
                    <w:jc w:val="center"/>
                    <w:rPr>
                      <w:rFonts w:hint="default" w:ascii="Times New Roman" w:hAnsi="Times New Roman" w:cs="Times New Roman"/>
                      <w:b w:val="0"/>
                      <w:bCs/>
                      <w:sz w:val="18"/>
                      <w:szCs w:val="18"/>
                      <w:lang w:val="en-US" w:eastAsia="zh-CN"/>
                    </w:rPr>
                  </w:pPr>
                  <w:r>
                    <w:rPr>
                      <w:rFonts w:hint="eastAsia" w:cs="Times New Roman"/>
                      <w:b w:val="0"/>
                      <w:bCs/>
                      <w:sz w:val="18"/>
                      <w:szCs w:val="18"/>
                      <w:lang w:val="en-US" w:eastAsia="zh-CN"/>
                    </w:rPr>
                    <w:t>3</w:t>
                  </w:r>
                </w:p>
              </w:tc>
              <w:tc>
                <w:tcPr>
                  <w:tcW w:w="710" w:type="pct"/>
                  <w:tcBorders>
                    <w:tl2br w:val="nil"/>
                    <w:tr2bl w:val="nil"/>
                  </w:tcBorders>
                  <w:vAlign w:val="center"/>
                </w:tcPr>
                <w:p w14:paraId="0287039E">
                  <w:pPr>
                    <w:jc w:val="center"/>
                    <w:rPr>
                      <w:rFonts w:hint="default" w:cs="Times New Roman"/>
                      <w:b w:val="0"/>
                      <w:bCs/>
                      <w:sz w:val="18"/>
                      <w:szCs w:val="18"/>
                      <w:lang w:val="en-US" w:eastAsia="zh-CN"/>
                    </w:rPr>
                  </w:pPr>
                  <w:r>
                    <w:rPr>
                      <w:rFonts w:hint="eastAsia" w:cs="Times New Roman"/>
                      <w:b w:val="0"/>
                      <w:bCs/>
                      <w:sz w:val="18"/>
                      <w:szCs w:val="18"/>
                      <w:lang w:val="en-US" w:eastAsia="zh-CN"/>
                    </w:rPr>
                    <w:t>0.73</w:t>
                  </w:r>
                </w:p>
              </w:tc>
              <w:tc>
                <w:tcPr>
                  <w:tcW w:w="600" w:type="pct"/>
                  <w:tcBorders>
                    <w:tl2br w:val="nil"/>
                    <w:tr2bl w:val="nil"/>
                  </w:tcBorders>
                  <w:vAlign w:val="center"/>
                </w:tcPr>
                <w:p w14:paraId="7FF7C198">
                  <w:pPr>
                    <w:jc w:val="center"/>
                    <w:rPr>
                      <w:rFonts w:hint="default" w:cs="Times New Roman"/>
                      <w:b w:val="0"/>
                      <w:bCs/>
                      <w:sz w:val="18"/>
                      <w:szCs w:val="18"/>
                      <w:lang w:val="en-US" w:eastAsia="zh-CN"/>
                    </w:rPr>
                  </w:pPr>
                  <w:r>
                    <w:rPr>
                      <w:rFonts w:hint="eastAsia" w:cs="Times New Roman"/>
                      <w:b w:val="0"/>
                      <w:bCs/>
                      <w:sz w:val="18"/>
                      <w:szCs w:val="18"/>
                      <w:lang w:val="en-US" w:eastAsia="zh-CN"/>
                    </w:rPr>
                    <w:t>1.15</w:t>
                  </w:r>
                </w:p>
              </w:tc>
              <w:tc>
                <w:tcPr>
                  <w:tcW w:w="620" w:type="pct"/>
                  <w:tcBorders>
                    <w:tl2br w:val="nil"/>
                    <w:tr2bl w:val="nil"/>
                  </w:tcBorders>
                  <w:vAlign w:val="center"/>
                </w:tcPr>
                <w:p w14:paraId="7C436E4D">
                  <w:pPr>
                    <w:jc w:val="center"/>
                    <w:rPr>
                      <w:rFonts w:hint="default" w:cs="Times New Roman"/>
                      <w:b w:val="0"/>
                      <w:bCs/>
                      <w:sz w:val="18"/>
                      <w:szCs w:val="18"/>
                      <w:lang w:val="en-US" w:eastAsia="zh-CN"/>
                    </w:rPr>
                  </w:pPr>
                  <w:r>
                    <w:rPr>
                      <w:rFonts w:hint="eastAsia" w:cs="Times New Roman"/>
                      <w:b w:val="0"/>
                      <w:bCs/>
                      <w:sz w:val="18"/>
                      <w:szCs w:val="18"/>
                      <w:lang w:val="en-US" w:eastAsia="zh-CN"/>
                    </w:rPr>
                    <w:t>1.36</w:t>
                  </w:r>
                </w:p>
              </w:tc>
              <w:tc>
                <w:tcPr>
                  <w:tcW w:w="615" w:type="pct"/>
                  <w:tcBorders>
                    <w:tl2br w:val="nil"/>
                    <w:tr2bl w:val="nil"/>
                  </w:tcBorders>
                  <w:vAlign w:val="center"/>
                </w:tcPr>
                <w:p w14:paraId="0DE4995F">
                  <w:pPr>
                    <w:jc w:val="center"/>
                    <w:rPr>
                      <w:rFonts w:hint="default" w:cs="Times New Roman"/>
                      <w:b w:val="0"/>
                      <w:bCs/>
                      <w:sz w:val="18"/>
                      <w:szCs w:val="18"/>
                      <w:lang w:val="en-US" w:eastAsia="zh-CN"/>
                    </w:rPr>
                  </w:pPr>
                  <w:r>
                    <w:rPr>
                      <w:rFonts w:hint="eastAsia" w:cs="Times New Roman"/>
                      <w:b w:val="0"/>
                      <w:bCs/>
                      <w:sz w:val="18"/>
                      <w:szCs w:val="18"/>
                      <w:lang w:val="en-US" w:eastAsia="zh-CN"/>
                    </w:rPr>
                    <w:t>1.48</w:t>
                  </w:r>
                </w:p>
              </w:tc>
            </w:tr>
            <w:tr w14:paraId="7309A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5D66FED5">
                  <w:pPr>
                    <w:jc w:val="center"/>
                    <w:rPr>
                      <w:rFonts w:hint="default" w:ascii="Times New Roman" w:hAnsi="Times New Roman" w:eastAsia="宋体" w:cs="Times New Roman"/>
                      <w:b w:val="0"/>
                      <w:bCs/>
                      <w:sz w:val="18"/>
                      <w:szCs w:val="18"/>
                    </w:rPr>
                  </w:pPr>
                </w:p>
              </w:tc>
              <w:tc>
                <w:tcPr>
                  <w:tcW w:w="627" w:type="pct"/>
                  <w:vMerge w:val="continue"/>
                  <w:tcBorders>
                    <w:tl2br w:val="nil"/>
                    <w:tr2bl w:val="nil"/>
                  </w:tcBorders>
                  <w:vAlign w:val="center"/>
                </w:tcPr>
                <w:p w14:paraId="60FD2660">
                  <w:pPr>
                    <w:jc w:val="center"/>
                    <w:rPr>
                      <w:rFonts w:hint="eastAsia" w:cs="Times New Roman"/>
                      <w:b w:val="0"/>
                      <w:bCs/>
                      <w:sz w:val="18"/>
                      <w:szCs w:val="18"/>
                      <w:lang w:val="en-US" w:eastAsia="zh-CN"/>
                    </w:rPr>
                  </w:pPr>
                </w:p>
              </w:tc>
              <w:tc>
                <w:tcPr>
                  <w:tcW w:w="712" w:type="pct"/>
                  <w:vMerge w:val="continue"/>
                  <w:tcBorders>
                    <w:tl2br w:val="nil"/>
                    <w:tr2bl w:val="nil"/>
                  </w:tcBorders>
                  <w:vAlign w:val="center"/>
                </w:tcPr>
                <w:p w14:paraId="05BDA67D">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4A2F5528">
                  <w:pPr>
                    <w:jc w:val="center"/>
                    <w:rPr>
                      <w:rFonts w:hint="default" w:ascii="Times New Roman" w:hAnsi="Times New Roman" w:cs="Times New Roman"/>
                      <w:b w:val="0"/>
                      <w:bCs/>
                      <w:sz w:val="18"/>
                      <w:szCs w:val="18"/>
                      <w:lang w:val="en-US" w:eastAsia="zh-CN"/>
                    </w:rPr>
                  </w:pPr>
                  <w:r>
                    <w:rPr>
                      <w:rFonts w:hint="eastAsia" w:cs="Times New Roman"/>
                      <w:b w:val="0"/>
                      <w:bCs/>
                      <w:sz w:val="18"/>
                      <w:szCs w:val="18"/>
                      <w:lang w:val="en-US" w:eastAsia="zh-CN"/>
                    </w:rPr>
                    <w:t>4</w:t>
                  </w:r>
                </w:p>
              </w:tc>
              <w:tc>
                <w:tcPr>
                  <w:tcW w:w="710" w:type="pct"/>
                  <w:tcBorders>
                    <w:tl2br w:val="nil"/>
                    <w:tr2bl w:val="nil"/>
                  </w:tcBorders>
                  <w:vAlign w:val="center"/>
                </w:tcPr>
                <w:p w14:paraId="5A6F2790">
                  <w:pPr>
                    <w:jc w:val="center"/>
                    <w:rPr>
                      <w:rFonts w:hint="default" w:cs="Times New Roman"/>
                      <w:b w:val="0"/>
                      <w:bCs/>
                      <w:sz w:val="18"/>
                      <w:szCs w:val="18"/>
                      <w:lang w:val="en-US" w:eastAsia="zh-CN"/>
                    </w:rPr>
                  </w:pPr>
                  <w:r>
                    <w:rPr>
                      <w:rFonts w:hint="eastAsia" w:cs="Times New Roman"/>
                      <w:b w:val="0"/>
                      <w:bCs/>
                      <w:sz w:val="18"/>
                      <w:szCs w:val="18"/>
                      <w:lang w:val="en-US" w:eastAsia="zh-CN"/>
                    </w:rPr>
                    <w:t>0.86</w:t>
                  </w:r>
                </w:p>
              </w:tc>
              <w:tc>
                <w:tcPr>
                  <w:tcW w:w="600" w:type="pct"/>
                  <w:tcBorders>
                    <w:tl2br w:val="nil"/>
                    <w:tr2bl w:val="nil"/>
                  </w:tcBorders>
                  <w:vAlign w:val="center"/>
                </w:tcPr>
                <w:p w14:paraId="5BDF3317">
                  <w:pPr>
                    <w:jc w:val="center"/>
                    <w:rPr>
                      <w:rFonts w:hint="default" w:cs="Times New Roman"/>
                      <w:b w:val="0"/>
                      <w:bCs/>
                      <w:sz w:val="18"/>
                      <w:szCs w:val="18"/>
                      <w:lang w:val="en-US" w:eastAsia="zh-CN"/>
                    </w:rPr>
                  </w:pPr>
                  <w:r>
                    <w:rPr>
                      <w:rFonts w:hint="eastAsia" w:cs="Times New Roman"/>
                      <w:b w:val="0"/>
                      <w:bCs/>
                      <w:sz w:val="18"/>
                      <w:szCs w:val="18"/>
                      <w:lang w:val="en-US" w:eastAsia="zh-CN"/>
                    </w:rPr>
                    <w:t>1.07</w:t>
                  </w:r>
                </w:p>
              </w:tc>
              <w:tc>
                <w:tcPr>
                  <w:tcW w:w="620" w:type="pct"/>
                  <w:tcBorders>
                    <w:tl2br w:val="nil"/>
                    <w:tr2bl w:val="nil"/>
                  </w:tcBorders>
                  <w:vAlign w:val="center"/>
                </w:tcPr>
                <w:p w14:paraId="6C804D14">
                  <w:pPr>
                    <w:jc w:val="center"/>
                    <w:rPr>
                      <w:rFonts w:hint="default" w:cs="Times New Roman"/>
                      <w:b w:val="0"/>
                      <w:bCs/>
                      <w:sz w:val="18"/>
                      <w:szCs w:val="18"/>
                      <w:lang w:val="en-US" w:eastAsia="zh-CN"/>
                    </w:rPr>
                  </w:pPr>
                  <w:r>
                    <w:rPr>
                      <w:rFonts w:hint="eastAsia" w:cs="Times New Roman"/>
                      <w:b w:val="0"/>
                      <w:bCs/>
                      <w:sz w:val="18"/>
                      <w:szCs w:val="18"/>
                      <w:lang w:val="en-US" w:eastAsia="zh-CN"/>
                    </w:rPr>
                    <w:t>1.40</w:t>
                  </w:r>
                </w:p>
              </w:tc>
              <w:tc>
                <w:tcPr>
                  <w:tcW w:w="615" w:type="pct"/>
                  <w:tcBorders>
                    <w:tl2br w:val="nil"/>
                    <w:tr2bl w:val="nil"/>
                  </w:tcBorders>
                  <w:vAlign w:val="center"/>
                </w:tcPr>
                <w:p w14:paraId="053677D2">
                  <w:pPr>
                    <w:jc w:val="center"/>
                    <w:rPr>
                      <w:rFonts w:hint="default" w:cs="Times New Roman"/>
                      <w:b w:val="0"/>
                      <w:bCs/>
                      <w:sz w:val="18"/>
                      <w:szCs w:val="18"/>
                      <w:lang w:val="en-US" w:eastAsia="zh-CN"/>
                    </w:rPr>
                  </w:pPr>
                  <w:r>
                    <w:rPr>
                      <w:rFonts w:hint="eastAsia" w:cs="Times New Roman"/>
                      <w:b w:val="0"/>
                      <w:bCs/>
                      <w:sz w:val="18"/>
                      <w:szCs w:val="18"/>
                      <w:lang w:val="en-US" w:eastAsia="zh-CN"/>
                    </w:rPr>
                    <w:t>1.54</w:t>
                  </w:r>
                </w:p>
              </w:tc>
            </w:tr>
            <w:tr w14:paraId="7C5B56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7302D642">
                  <w:pPr>
                    <w:jc w:val="center"/>
                    <w:rPr>
                      <w:rFonts w:hint="default" w:ascii="Times New Roman" w:hAnsi="Times New Roman" w:eastAsia="宋体" w:cs="Times New Roman"/>
                      <w:b w:val="0"/>
                      <w:bCs/>
                      <w:sz w:val="18"/>
                      <w:szCs w:val="18"/>
                    </w:rPr>
                  </w:pPr>
                </w:p>
              </w:tc>
              <w:tc>
                <w:tcPr>
                  <w:tcW w:w="627" w:type="pct"/>
                  <w:vMerge w:val="restart"/>
                  <w:tcBorders>
                    <w:tl2br w:val="nil"/>
                    <w:tr2bl w:val="nil"/>
                  </w:tcBorders>
                  <w:vAlign w:val="center"/>
                </w:tcPr>
                <w:p w14:paraId="3C15674E">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苯、甲苯、二甲苯</w:t>
                  </w:r>
                  <w:r>
                    <w:rPr>
                      <w:rFonts w:hint="default" w:ascii="Times New Roman" w:hAnsi="Times New Roman" w:eastAsia="宋体" w:cs="Times New Roman"/>
                      <w:b w:val="0"/>
                      <w:bCs/>
                      <w:sz w:val="18"/>
                      <w:szCs w:val="18"/>
                    </w:rPr>
                    <w:t>（mg/m</w:t>
                  </w:r>
                  <w:r>
                    <w:rPr>
                      <w:rFonts w:hint="default" w:ascii="Times New Roman" w:hAnsi="Times New Roman" w:eastAsia="宋体" w:cs="Times New Roman"/>
                      <w:b w:val="0"/>
                      <w:bCs/>
                      <w:sz w:val="18"/>
                      <w:szCs w:val="18"/>
                      <w:vertAlign w:val="superscript"/>
                    </w:rPr>
                    <w:t>3</w:t>
                  </w:r>
                  <w:r>
                    <w:rPr>
                      <w:rFonts w:hint="default" w:ascii="Times New Roman" w:hAnsi="Times New Roman" w:eastAsia="宋体" w:cs="Times New Roman"/>
                      <w:b w:val="0"/>
                      <w:bCs/>
                      <w:sz w:val="18"/>
                      <w:szCs w:val="18"/>
                    </w:rPr>
                    <w:t>）</w:t>
                  </w:r>
                </w:p>
              </w:tc>
              <w:tc>
                <w:tcPr>
                  <w:tcW w:w="712" w:type="pct"/>
                  <w:vMerge w:val="continue"/>
                  <w:tcBorders>
                    <w:tl2br w:val="nil"/>
                    <w:tr2bl w:val="nil"/>
                  </w:tcBorders>
                  <w:vAlign w:val="center"/>
                </w:tcPr>
                <w:p w14:paraId="62A5554E">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6608A8E1">
                  <w:pPr>
                    <w:jc w:val="center"/>
                    <w:rPr>
                      <w:rFonts w:hint="default" w:cs="Times New Roman"/>
                      <w:b w:val="0"/>
                      <w:bCs/>
                      <w:sz w:val="18"/>
                      <w:szCs w:val="18"/>
                      <w:lang w:val="en-US" w:eastAsia="zh-CN"/>
                    </w:rPr>
                  </w:pPr>
                  <w:r>
                    <w:rPr>
                      <w:rFonts w:hint="eastAsia" w:cs="Times New Roman"/>
                      <w:b w:val="0"/>
                      <w:bCs/>
                      <w:sz w:val="18"/>
                      <w:szCs w:val="18"/>
                      <w:lang w:val="en-US" w:eastAsia="zh-CN"/>
                    </w:rPr>
                    <w:t>1</w:t>
                  </w:r>
                </w:p>
              </w:tc>
              <w:tc>
                <w:tcPr>
                  <w:tcW w:w="710" w:type="pct"/>
                  <w:tcBorders>
                    <w:tl2br w:val="nil"/>
                    <w:tr2bl w:val="nil"/>
                  </w:tcBorders>
                  <w:vAlign w:val="center"/>
                </w:tcPr>
                <w:p w14:paraId="23C653D4">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ND</w:t>
                  </w:r>
                </w:p>
              </w:tc>
              <w:tc>
                <w:tcPr>
                  <w:tcW w:w="600" w:type="pct"/>
                  <w:tcBorders>
                    <w:tl2br w:val="nil"/>
                    <w:tr2bl w:val="nil"/>
                  </w:tcBorders>
                  <w:vAlign w:val="center"/>
                </w:tcPr>
                <w:p w14:paraId="6EF224F9">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ND</w:t>
                  </w:r>
                </w:p>
              </w:tc>
              <w:tc>
                <w:tcPr>
                  <w:tcW w:w="620" w:type="pct"/>
                  <w:tcBorders>
                    <w:tl2br w:val="nil"/>
                    <w:tr2bl w:val="nil"/>
                  </w:tcBorders>
                  <w:vAlign w:val="center"/>
                </w:tcPr>
                <w:p w14:paraId="42A9BDFD">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ND</w:t>
                  </w:r>
                </w:p>
              </w:tc>
              <w:tc>
                <w:tcPr>
                  <w:tcW w:w="615" w:type="pct"/>
                  <w:tcBorders>
                    <w:tl2br w:val="nil"/>
                    <w:tr2bl w:val="nil"/>
                  </w:tcBorders>
                  <w:vAlign w:val="center"/>
                </w:tcPr>
                <w:p w14:paraId="7F1D0862">
                  <w:pPr>
                    <w:jc w:val="center"/>
                    <w:rPr>
                      <w:rFonts w:hint="default" w:ascii="Times New Roman" w:hAnsi="Times New Roman" w:eastAsia="宋体" w:cs="Times New Roman"/>
                      <w:b w:val="0"/>
                      <w:bCs/>
                      <w:sz w:val="18"/>
                      <w:szCs w:val="18"/>
                      <w:lang w:val="en-US" w:eastAsia="zh-CN"/>
                    </w:rPr>
                  </w:pPr>
                  <w:r>
                    <w:rPr>
                      <w:rFonts w:hint="eastAsia" w:cs="Times New Roman"/>
                      <w:b w:val="0"/>
                      <w:bCs/>
                      <w:sz w:val="18"/>
                      <w:szCs w:val="18"/>
                      <w:lang w:val="en-US" w:eastAsia="zh-CN"/>
                    </w:rPr>
                    <w:t>ND</w:t>
                  </w:r>
                </w:p>
              </w:tc>
            </w:tr>
            <w:tr w14:paraId="60819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664000CE">
                  <w:pPr>
                    <w:jc w:val="center"/>
                    <w:rPr>
                      <w:rFonts w:hint="default" w:ascii="Times New Roman" w:hAnsi="Times New Roman" w:eastAsia="宋体" w:cs="Times New Roman"/>
                      <w:b w:val="0"/>
                      <w:bCs/>
                      <w:sz w:val="18"/>
                      <w:szCs w:val="18"/>
                    </w:rPr>
                  </w:pPr>
                </w:p>
              </w:tc>
              <w:tc>
                <w:tcPr>
                  <w:tcW w:w="627" w:type="pct"/>
                  <w:vMerge w:val="continue"/>
                  <w:tcBorders>
                    <w:tl2br w:val="nil"/>
                    <w:tr2bl w:val="nil"/>
                  </w:tcBorders>
                  <w:vAlign w:val="center"/>
                </w:tcPr>
                <w:p w14:paraId="2B202C1E">
                  <w:pPr>
                    <w:jc w:val="center"/>
                    <w:rPr>
                      <w:rFonts w:hint="eastAsia" w:cs="Times New Roman"/>
                      <w:b w:val="0"/>
                      <w:bCs/>
                      <w:sz w:val="18"/>
                      <w:szCs w:val="18"/>
                      <w:lang w:val="en-US" w:eastAsia="zh-CN"/>
                    </w:rPr>
                  </w:pPr>
                </w:p>
              </w:tc>
              <w:tc>
                <w:tcPr>
                  <w:tcW w:w="712" w:type="pct"/>
                  <w:vMerge w:val="continue"/>
                  <w:tcBorders>
                    <w:tl2br w:val="nil"/>
                    <w:tr2bl w:val="nil"/>
                  </w:tcBorders>
                  <w:vAlign w:val="center"/>
                </w:tcPr>
                <w:p w14:paraId="3B28DB4A">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365BAD8B">
                  <w:pPr>
                    <w:jc w:val="center"/>
                    <w:rPr>
                      <w:rFonts w:hint="default" w:cs="Times New Roman"/>
                      <w:b w:val="0"/>
                      <w:bCs/>
                      <w:sz w:val="18"/>
                      <w:szCs w:val="18"/>
                      <w:lang w:val="en-US" w:eastAsia="zh-CN"/>
                    </w:rPr>
                  </w:pPr>
                  <w:r>
                    <w:rPr>
                      <w:rFonts w:hint="eastAsia" w:cs="Times New Roman"/>
                      <w:b w:val="0"/>
                      <w:bCs/>
                      <w:sz w:val="18"/>
                      <w:szCs w:val="18"/>
                      <w:lang w:val="en-US" w:eastAsia="zh-CN"/>
                    </w:rPr>
                    <w:t>2</w:t>
                  </w:r>
                </w:p>
              </w:tc>
              <w:tc>
                <w:tcPr>
                  <w:tcW w:w="710" w:type="pct"/>
                  <w:tcBorders>
                    <w:tl2br w:val="nil"/>
                    <w:tr2bl w:val="nil"/>
                  </w:tcBorders>
                  <w:vAlign w:val="center"/>
                </w:tcPr>
                <w:p w14:paraId="153A6984">
                  <w:pPr>
                    <w:jc w:val="center"/>
                    <w:rPr>
                      <w:rFonts w:hint="eastAsia" w:cs="Times New Roman"/>
                      <w:b w:val="0"/>
                      <w:bCs/>
                      <w:sz w:val="18"/>
                      <w:szCs w:val="18"/>
                      <w:lang w:val="en-US" w:eastAsia="zh-CN"/>
                    </w:rPr>
                  </w:pPr>
                  <w:r>
                    <w:rPr>
                      <w:rFonts w:hint="eastAsia" w:cs="Times New Roman"/>
                      <w:b w:val="0"/>
                      <w:bCs/>
                      <w:sz w:val="18"/>
                      <w:szCs w:val="18"/>
                      <w:lang w:val="en-US" w:eastAsia="zh-CN"/>
                    </w:rPr>
                    <w:t>ND</w:t>
                  </w:r>
                </w:p>
              </w:tc>
              <w:tc>
                <w:tcPr>
                  <w:tcW w:w="600" w:type="pct"/>
                  <w:tcBorders>
                    <w:tl2br w:val="nil"/>
                    <w:tr2bl w:val="nil"/>
                  </w:tcBorders>
                  <w:vAlign w:val="center"/>
                </w:tcPr>
                <w:p w14:paraId="76AA3499">
                  <w:pPr>
                    <w:jc w:val="center"/>
                    <w:rPr>
                      <w:rFonts w:hint="eastAsia" w:cs="Times New Roman"/>
                      <w:b w:val="0"/>
                      <w:bCs/>
                      <w:sz w:val="18"/>
                      <w:szCs w:val="18"/>
                      <w:lang w:val="en-US" w:eastAsia="zh-CN"/>
                    </w:rPr>
                  </w:pPr>
                  <w:r>
                    <w:rPr>
                      <w:rFonts w:hint="eastAsia" w:cs="Times New Roman"/>
                      <w:b w:val="0"/>
                      <w:bCs/>
                      <w:sz w:val="18"/>
                      <w:szCs w:val="18"/>
                      <w:lang w:val="en-US" w:eastAsia="zh-CN"/>
                    </w:rPr>
                    <w:t>ND</w:t>
                  </w:r>
                </w:p>
              </w:tc>
              <w:tc>
                <w:tcPr>
                  <w:tcW w:w="620" w:type="pct"/>
                  <w:tcBorders>
                    <w:tl2br w:val="nil"/>
                    <w:tr2bl w:val="nil"/>
                  </w:tcBorders>
                  <w:vAlign w:val="center"/>
                </w:tcPr>
                <w:p w14:paraId="0E4688DA">
                  <w:pPr>
                    <w:jc w:val="center"/>
                    <w:rPr>
                      <w:rFonts w:hint="eastAsia" w:cs="Times New Roman"/>
                      <w:b w:val="0"/>
                      <w:bCs/>
                      <w:sz w:val="18"/>
                      <w:szCs w:val="18"/>
                      <w:lang w:val="en-US" w:eastAsia="zh-CN"/>
                    </w:rPr>
                  </w:pPr>
                  <w:r>
                    <w:rPr>
                      <w:rFonts w:hint="eastAsia" w:cs="Times New Roman"/>
                      <w:b w:val="0"/>
                      <w:bCs/>
                      <w:sz w:val="18"/>
                      <w:szCs w:val="18"/>
                      <w:lang w:val="en-US" w:eastAsia="zh-CN"/>
                    </w:rPr>
                    <w:t>ND</w:t>
                  </w:r>
                </w:p>
              </w:tc>
              <w:tc>
                <w:tcPr>
                  <w:tcW w:w="615" w:type="pct"/>
                  <w:tcBorders>
                    <w:tl2br w:val="nil"/>
                    <w:tr2bl w:val="nil"/>
                  </w:tcBorders>
                  <w:vAlign w:val="center"/>
                </w:tcPr>
                <w:p w14:paraId="531B3C0E">
                  <w:pPr>
                    <w:jc w:val="center"/>
                    <w:rPr>
                      <w:rFonts w:hint="eastAsia" w:cs="Times New Roman"/>
                      <w:b w:val="0"/>
                      <w:bCs/>
                      <w:sz w:val="18"/>
                      <w:szCs w:val="18"/>
                      <w:lang w:val="en-US" w:eastAsia="zh-CN"/>
                    </w:rPr>
                  </w:pPr>
                  <w:r>
                    <w:rPr>
                      <w:rFonts w:hint="eastAsia" w:cs="Times New Roman"/>
                      <w:b w:val="0"/>
                      <w:bCs/>
                      <w:sz w:val="18"/>
                      <w:szCs w:val="18"/>
                      <w:lang w:val="en-US" w:eastAsia="zh-CN"/>
                    </w:rPr>
                    <w:t>ND</w:t>
                  </w:r>
                </w:p>
              </w:tc>
            </w:tr>
            <w:tr w14:paraId="24208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235" w:type="pct"/>
                  <w:vMerge w:val="continue"/>
                  <w:tcBorders>
                    <w:tl2br w:val="nil"/>
                    <w:tr2bl w:val="nil"/>
                  </w:tcBorders>
                  <w:vAlign w:val="center"/>
                </w:tcPr>
                <w:p w14:paraId="641003B6">
                  <w:pPr>
                    <w:jc w:val="center"/>
                    <w:rPr>
                      <w:rFonts w:hint="default" w:ascii="Times New Roman" w:hAnsi="Times New Roman" w:eastAsia="宋体" w:cs="Times New Roman"/>
                      <w:b w:val="0"/>
                      <w:bCs/>
                      <w:sz w:val="18"/>
                      <w:szCs w:val="18"/>
                    </w:rPr>
                  </w:pPr>
                </w:p>
              </w:tc>
              <w:tc>
                <w:tcPr>
                  <w:tcW w:w="627" w:type="pct"/>
                  <w:vMerge w:val="continue"/>
                  <w:tcBorders>
                    <w:tl2br w:val="nil"/>
                    <w:tr2bl w:val="nil"/>
                  </w:tcBorders>
                  <w:vAlign w:val="center"/>
                </w:tcPr>
                <w:p w14:paraId="78B1AC3E">
                  <w:pPr>
                    <w:jc w:val="center"/>
                    <w:rPr>
                      <w:rFonts w:hint="eastAsia" w:cs="Times New Roman"/>
                      <w:b w:val="0"/>
                      <w:bCs/>
                      <w:sz w:val="18"/>
                      <w:szCs w:val="18"/>
                      <w:lang w:val="en-US" w:eastAsia="zh-CN"/>
                    </w:rPr>
                  </w:pPr>
                </w:p>
              </w:tc>
              <w:tc>
                <w:tcPr>
                  <w:tcW w:w="712" w:type="pct"/>
                  <w:vMerge w:val="continue"/>
                  <w:tcBorders>
                    <w:tl2br w:val="nil"/>
                    <w:tr2bl w:val="nil"/>
                  </w:tcBorders>
                  <w:vAlign w:val="center"/>
                </w:tcPr>
                <w:p w14:paraId="1150021A">
                  <w:pPr>
                    <w:jc w:val="center"/>
                    <w:rPr>
                      <w:rFonts w:hint="default" w:ascii="Times New Roman" w:hAnsi="Times New Roman" w:eastAsia="宋体" w:cs="Times New Roman"/>
                      <w:b w:val="0"/>
                      <w:bCs/>
                      <w:sz w:val="18"/>
                      <w:szCs w:val="18"/>
                      <w:lang w:val="en-US" w:eastAsia="zh-CN"/>
                    </w:rPr>
                  </w:pPr>
                </w:p>
              </w:tc>
              <w:tc>
                <w:tcPr>
                  <w:tcW w:w="878" w:type="pct"/>
                  <w:tcBorders>
                    <w:tl2br w:val="nil"/>
                    <w:tr2bl w:val="nil"/>
                  </w:tcBorders>
                  <w:vAlign w:val="center"/>
                </w:tcPr>
                <w:p w14:paraId="45265884">
                  <w:pPr>
                    <w:jc w:val="center"/>
                    <w:rPr>
                      <w:rFonts w:hint="default" w:cs="Times New Roman"/>
                      <w:b w:val="0"/>
                      <w:bCs/>
                      <w:sz w:val="18"/>
                      <w:szCs w:val="18"/>
                      <w:lang w:val="en-US" w:eastAsia="zh-CN"/>
                    </w:rPr>
                  </w:pPr>
                  <w:r>
                    <w:rPr>
                      <w:rFonts w:hint="eastAsia" w:cs="Times New Roman"/>
                      <w:b w:val="0"/>
                      <w:bCs/>
                      <w:sz w:val="18"/>
                      <w:szCs w:val="18"/>
                      <w:lang w:val="en-US" w:eastAsia="zh-CN"/>
                    </w:rPr>
                    <w:t>3</w:t>
                  </w:r>
                </w:p>
              </w:tc>
              <w:tc>
                <w:tcPr>
                  <w:tcW w:w="710" w:type="pct"/>
                  <w:tcBorders>
                    <w:tl2br w:val="nil"/>
                    <w:tr2bl w:val="nil"/>
                  </w:tcBorders>
                  <w:vAlign w:val="center"/>
                </w:tcPr>
                <w:p w14:paraId="220354FF">
                  <w:pPr>
                    <w:jc w:val="center"/>
                    <w:rPr>
                      <w:rFonts w:hint="eastAsia" w:cs="Times New Roman"/>
                      <w:b w:val="0"/>
                      <w:bCs/>
                      <w:sz w:val="18"/>
                      <w:szCs w:val="18"/>
                      <w:lang w:val="en-US" w:eastAsia="zh-CN"/>
                    </w:rPr>
                  </w:pPr>
                  <w:r>
                    <w:rPr>
                      <w:rFonts w:hint="eastAsia" w:cs="Times New Roman"/>
                      <w:b w:val="0"/>
                      <w:bCs/>
                      <w:sz w:val="18"/>
                      <w:szCs w:val="18"/>
                      <w:lang w:val="en-US" w:eastAsia="zh-CN"/>
                    </w:rPr>
                    <w:t>ND</w:t>
                  </w:r>
                </w:p>
              </w:tc>
              <w:tc>
                <w:tcPr>
                  <w:tcW w:w="600" w:type="pct"/>
                  <w:tcBorders>
                    <w:tl2br w:val="nil"/>
                    <w:tr2bl w:val="nil"/>
                  </w:tcBorders>
                  <w:vAlign w:val="center"/>
                </w:tcPr>
                <w:p w14:paraId="70693B73">
                  <w:pPr>
                    <w:jc w:val="center"/>
                    <w:rPr>
                      <w:rFonts w:hint="eastAsia" w:cs="Times New Roman"/>
                      <w:b w:val="0"/>
                      <w:bCs/>
                      <w:sz w:val="18"/>
                      <w:szCs w:val="18"/>
                      <w:lang w:val="en-US" w:eastAsia="zh-CN"/>
                    </w:rPr>
                  </w:pPr>
                  <w:r>
                    <w:rPr>
                      <w:rFonts w:hint="eastAsia" w:cs="Times New Roman"/>
                      <w:b w:val="0"/>
                      <w:bCs/>
                      <w:sz w:val="18"/>
                      <w:szCs w:val="18"/>
                      <w:lang w:val="en-US" w:eastAsia="zh-CN"/>
                    </w:rPr>
                    <w:t>ND</w:t>
                  </w:r>
                </w:p>
              </w:tc>
              <w:tc>
                <w:tcPr>
                  <w:tcW w:w="620" w:type="pct"/>
                  <w:tcBorders>
                    <w:tl2br w:val="nil"/>
                    <w:tr2bl w:val="nil"/>
                  </w:tcBorders>
                  <w:vAlign w:val="center"/>
                </w:tcPr>
                <w:p w14:paraId="48ADD9AB">
                  <w:pPr>
                    <w:jc w:val="center"/>
                    <w:rPr>
                      <w:rFonts w:hint="eastAsia" w:cs="Times New Roman"/>
                      <w:b w:val="0"/>
                      <w:bCs/>
                      <w:sz w:val="18"/>
                      <w:szCs w:val="18"/>
                      <w:lang w:val="en-US" w:eastAsia="zh-CN"/>
                    </w:rPr>
                  </w:pPr>
                  <w:r>
                    <w:rPr>
                      <w:rFonts w:hint="eastAsia" w:cs="Times New Roman"/>
                      <w:b w:val="0"/>
                      <w:bCs/>
                      <w:sz w:val="18"/>
                      <w:szCs w:val="18"/>
                      <w:lang w:val="en-US" w:eastAsia="zh-CN"/>
                    </w:rPr>
                    <w:t>ND</w:t>
                  </w:r>
                </w:p>
              </w:tc>
              <w:tc>
                <w:tcPr>
                  <w:tcW w:w="615" w:type="pct"/>
                  <w:tcBorders>
                    <w:tl2br w:val="nil"/>
                    <w:tr2bl w:val="nil"/>
                  </w:tcBorders>
                  <w:vAlign w:val="center"/>
                </w:tcPr>
                <w:p w14:paraId="68F123B9">
                  <w:pPr>
                    <w:jc w:val="center"/>
                    <w:rPr>
                      <w:rFonts w:hint="eastAsia" w:cs="Times New Roman"/>
                      <w:b w:val="0"/>
                      <w:bCs/>
                      <w:sz w:val="18"/>
                      <w:szCs w:val="18"/>
                      <w:lang w:val="en-US" w:eastAsia="zh-CN"/>
                    </w:rPr>
                  </w:pPr>
                  <w:r>
                    <w:rPr>
                      <w:rFonts w:hint="eastAsia" w:cs="Times New Roman"/>
                      <w:b w:val="0"/>
                      <w:bCs/>
                      <w:sz w:val="18"/>
                      <w:szCs w:val="18"/>
                      <w:lang w:val="en-US" w:eastAsia="zh-CN"/>
                    </w:rPr>
                    <w:t>ND</w:t>
                  </w:r>
                </w:p>
              </w:tc>
            </w:tr>
            <w:tr w14:paraId="314DA4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862" w:type="pct"/>
                  <w:gridSpan w:val="2"/>
                  <w:tcBorders>
                    <w:tl2br w:val="nil"/>
                    <w:tr2bl w:val="nil"/>
                  </w:tcBorders>
                  <w:vAlign w:val="center"/>
                </w:tcPr>
                <w:p w14:paraId="47C3988F">
                  <w:pPr>
                    <w:jc w:val="center"/>
                    <w:rPr>
                      <w:rFonts w:hint="eastAsia" w:cs="Times New Roman"/>
                      <w:b w:val="0"/>
                      <w:bCs/>
                      <w:sz w:val="18"/>
                      <w:szCs w:val="18"/>
                      <w:lang w:val="en-US" w:eastAsia="zh-CN"/>
                    </w:rPr>
                  </w:pPr>
                  <w:r>
                    <w:rPr>
                      <w:rFonts w:hint="eastAsia" w:cs="Times New Roman"/>
                      <w:b w:val="0"/>
                      <w:bCs/>
                      <w:sz w:val="18"/>
                      <w:szCs w:val="18"/>
                      <w:lang w:val="en-US" w:eastAsia="zh-CN"/>
                    </w:rPr>
                    <w:t>备注</w:t>
                  </w:r>
                </w:p>
              </w:tc>
              <w:tc>
                <w:tcPr>
                  <w:tcW w:w="4137" w:type="pct"/>
                  <w:gridSpan w:val="6"/>
                  <w:tcBorders>
                    <w:tl2br w:val="nil"/>
                    <w:tr2bl w:val="nil"/>
                  </w:tcBorders>
                  <w:vAlign w:val="center"/>
                </w:tcPr>
                <w:p w14:paraId="21BC2E28">
                  <w:pPr>
                    <w:jc w:val="center"/>
                    <w:rPr>
                      <w:rFonts w:hint="default" w:cs="Times New Roman"/>
                      <w:b w:val="0"/>
                      <w:bCs/>
                      <w:sz w:val="18"/>
                      <w:szCs w:val="18"/>
                      <w:lang w:val="en-US" w:eastAsia="zh-CN"/>
                    </w:rPr>
                  </w:pPr>
                  <w:r>
                    <w:rPr>
                      <w:rFonts w:hint="eastAsia" w:cs="Times New Roman"/>
                      <w:b w:val="0"/>
                      <w:bCs/>
                      <w:sz w:val="18"/>
                      <w:szCs w:val="18"/>
                      <w:lang w:val="en-US" w:eastAsia="zh-CN"/>
                    </w:rPr>
                    <w:t>ND表示未检出</w:t>
                  </w:r>
                </w:p>
              </w:tc>
            </w:tr>
          </w:tbl>
          <w:p w14:paraId="61FFA263">
            <w:pPr>
              <w:pStyle w:val="3"/>
              <w:spacing w:after="0" w:line="360" w:lineRule="auto"/>
              <w:ind w:left="0" w:leftChars="0" w:firstLine="420" w:firstLineChars="200"/>
              <w:rPr>
                <w:sz w:val="21"/>
                <w:szCs w:val="21"/>
              </w:rPr>
            </w:pPr>
            <w:r>
              <w:rPr>
                <w:rFonts w:hint="default" w:ascii="Times New Roman" w:hAnsi="Times New Roman" w:eastAsia="宋体" w:cs="Times New Roman"/>
                <w:color w:val="auto"/>
                <w:sz w:val="21"/>
                <w:szCs w:val="21"/>
              </w:rPr>
              <w:t>根据</w:t>
            </w:r>
            <w:r>
              <w:rPr>
                <w:rFonts w:hint="eastAsia" w:ascii="Times New Roman" w:hAnsi="Times New Roman" w:eastAsia="宋体" w:cs="Times New Roman"/>
                <w:color w:val="auto"/>
                <w:sz w:val="21"/>
                <w:szCs w:val="21"/>
                <w:lang w:eastAsia="zh-CN"/>
              </w:rPr>
              <w:t>上述监测</w:t>
            </w:r>
            <w:r>
              <w:rPr>
                <w:rFonts w:hint="default" w:ascii="Times New Roman" w:hAnsi="Times New Roman" w:eastAsia="宋体" w:cs="Times New Roman"/>
                <w:color w:val="auto"/>
                <w:sz w:val="21"/>
                <w:szCs w:val="21"/>
              </w:rPr>
              <w:t>分析结果：</w:t>
            </w:r>
            <w:r>
              <w:rPr>
                <w:rFonts w:hint="eastAsia" w:cs="Times New Roman"/>
                <w:color w:val="auto"/>
                <w:sz w:val="21"/>
                <w:szCs w:val="21"/>
                <w:lang w:eastAsia="zh-CN"/>
              </w:rPr>
              <w:t>现</w:t>
            </w:r>
            <w:r>
              <w:rPr>
                <w:rFonts w:hint="eastAsia" w:eastAsia="宋体" w:cs="Times New Roman"/>
                <w:color w:val="auto"/>
                <w:sz w:val="21"/>
                <w:szCs w:val="21"/>
                <w:lang w:eastAsia="zh-CN"/>
              </w:rPr>
              <w:t>有</w:t>
            </w:r>
            <w:r>
              <w:rPr>
                <w:rFonts w:hint="default" w:ascii="Times New Roman" w:hAnsi="Times New Roman" w:eastAsia="宋体" w:cs="Times New Roman"/>
                <w:color w:val="auto"/>
                <w:sz w:val="21"/>
                <w:szCs w:val="21"/>
              </w:rPr>
              <w:t>项目厂界无组织</w:t>
            </w:r>
            <w:r>
              <w:rPr>
                <w:rFonts w:hint="eastAsia" w:eastAsia="宋体" w:cs="Times New Roman"/>
                <w:color w:val="auto"/>
                <w:sz w:val="21"/>
                <w:szCs w:val="21"/>
                <w:lang w:eastAsia="zh-CN"/>
              </w:rPr>
              <w:t>颗粒物</w:t>
            </w:r>
            <w:r>
              <w:rPr>
                <w:rFonts w:hint="eastAsia" w:eastAsia="宋体" w:cs="Times New Roman"/>
                <w:color w:val="auto"/>
                <w:sz w:val="21"/>
                <w:szCs w:val="21"/>
                <w:highlight w:val="none"/>
                <w:lang w:eastAsia="zh-CN"/>
              </w:rPr>
              <w:t>最大排放浓度</w:t>
            </w:r>
            <w:r>
              <w:rPr>
                <w:rFonts w:hint="eastAsia" w:eastAsia="宋体" w:cs="Times New Roman"/>
                <w:color w:val="auto"/>
                <w:sz w:val="21"/>
                <w:szCs w:val="21"/>
                <w:highlight w:val="none"/>
                <w:lang w:val="en-US" w:eastAsia="zh-CN"/>
              </w:rPr>
              <w:t>0.</w:t>
            </w:r>
            <w:r>
              <w:rPr>
                <w:rFonts w:hint="eastAsia" w:cs="Times New Roman"/>
                <w:color w:val="auto"/>
                <w:sz w:val="21"/>
                <w:szCs w:val="21"/>
                <w:highlight w:val="none"/>
                <w:lang w:val="en-US" w:eastAsia="zh-CN"/>
              </w:rPr>
              <w:t>468</w:t>
            </w:r>
            <w:r>
              <w:rPr>
                <w:rFonts w:hint="default" w:ascii="Times New Roman" w:hAnsi="Times New Roman" w:eastAsia="宋体" w:cs="Times New Roman"/>
                <w:spacing w:val="0"/>
                <w:sz w:val="21"/>
                <w:szCs w:val="21"/>
                <w:highlight w:val="none"/>
                <w:vertAlign w:val="baseline"/>
                <w:lang w:val="en-US" w:eastAsia="zh-CN"/>
              </w:rPr>
              <w:t>mg/m</w:t>
            </w:r>
            <w:r>
              <w:rPr>
                <w:rFonts w:hint="default" w:ascii="Times New Roman" w:hAnsi="Times New Roman" w:eastAsia="宋体" w:cs="Times New Roman"/>
                <w:spacing w:val="0"/>
                <w:sz w:val="21"/>
                <w:szCs w:val="21"/>
                <w:highlight w:val="none"/>
                <w:vertAlign w:val="superscript"/>
                <w:lang w:val="en-US" w:eastAsia="zh-CN"/>
              </w:rPr>
              <w:t>3</w:t>
            </w:r>
            <w:r>
              <w:rPr>
                <w:rFonts w:hint="eastAsia" w:ascii="Times New Roman" w:hAnsi="Times New Roman" w:eastAsia="宋体" w:cs="Times New Roman"/>
                <w:spacing w:val="0"/>
                <w:sz w:val="21"/>
                <w:szCs w:val="21"/>
                <w:highlight w:val="none"/>
                <w:vertAlign w:val="baseline"/>
                <w:lang w:val="en-US" w:eastAsia="zh-CN"/>
              </w:rPr>
              <w:t>，</w:t>
            </w:r>
            <w:r>
              <w:rPr>
                <w:rFonts w:hint="eastAsia" w:ascii="Times New Roman" w:hAnsi="Times New Roman" w:cs="Times New Roman"/>
                <w:spacing w:val="0"/>
                <w:sz w:val="21"/>
                <w:szCs w:val="21"/>
                <w:highlight w:val="none"/>
                <w:vertAlign w:val="baseline"/>
                <w:lang w:val="en-US" w:eastAsia="zh-CN"/>
              </w:rPr>
              <w:t>无组织</w:t>
            </w:r>
            <w:r>
              <w:rPr>
                <w:rFonts w:hint="eastAsia" w:cs="Times New Roman"/>
                <w:spacing w:val="0"/>
                <w:sz w:val="21"/>
                <w:szCs w:val="21"/>
                <w:highlight w:val="none"/>
                <w:vertAlign w:val="baseline"/>
                <w:lang w:val="en-US" w:eastAsia="zh-CN"/>
              </w:rPr>
              <w:t>VOCs最大排放浓度</w:t>
            </w:r>
            <w:r>
              <w:rPr>
                <w:rFonts w:hint="eastAsia" w:ascii="Times New Roman" w:hAnsi="Times New Roman" w:cs="Times New Roman"/>
                <w:spacing w:val="0"/>
                <w:sz w:val="21"/>
                <w:szCs w:val="21"/>
                <w:highlight w:val="none"/>
                <w:vertAlign w:val="baseline"/>
                <w:lang w:val="en-US" w:eastAsia="zh-CN"/>
              </w:rPr>
              <w:t>为</w:t>
            </w:r>
            <w:r>
              <w:rPr>
                <w:rFonts w:hint="eastAsia" w:cs="Times New Roman"/>
                <w:spacing w:val="0"/>
                <w:sz w:val="21"/>
                <w:szCs w:val="21"/>
                <w:highlight w:val="none"/>
                <w:vertAlign w:val="baseline"/>
                <w:lang w:val="en-US" w:eastAsia="zh-CN"/>
              </w:rPr>
              <w:t>1.65</w:t>
            </w:r>
            <w:r>
              <w:rPr>
                <w:rFonts w:hint="eastAsia" w:ascii="Times New Roman" w:hAnsi="Times New Roman" w:cs="Times New Roman"/>
                <w:spacing w:val="0"/>
                <w:sz w:val="21"/>
                <w:szCs w:val="21"/>
                <w:highlight w:val="none"/>
                <w:vertAlign w:val="baseline"/>
                <w:lang w:val="en-US" w:eastAsia="zh-CN"/>
              </w:rPr>
              <w:t>mg</w:t>
            </w:r>
            <w:r>
              <w:rPr>
                <w:rFonts w:hint="eastAsia" w:cs="Times New Roman"/>
                <w:spacing w:val="0"/>
                <w:sz w:val="21"/>
                <w:szCs w:val="21"/>
                <w:highlight w:val="none"/>
                <w:vertAlign w:val="baseline"/>
                <w:lang w:val="en-US" w:eastAsia="zh-CN"/>
              </w:rPr>
              <w:t>/</w:t>
            </w:r>
            <w:r>
              <w:rPr>
                <w:rFonts w:hint="default" w:ascii="Times New Roman" w:hAnsi="Times New Roman" w:eastAsia="宋体" w:cs="Times New Roman"/>
                <w:spacing w:val="0"/>
                <w:sz w:val="21"/>
                <w:szCs w:val="21"/>
                <w:highlight w:val="none"/>
                <w:vertAlign w:val="baseline"/>
                <w:lang w:val="en-US" w:eastAsia="zh-CN"/>
              </w:rPr>
              <w:t>m</w:t>
            </w:r>
            <w:r>
              <w:rPr>
                <w:rFonts w:hint="default" w:ascii="Times New Roman" w:hAnsi="Times New Roman" w:eastAsia="宋体" w:cs="Times New Roman"/>
                <w:spacing w:val="0"/>
                <w:sz w:val="21"/>
                <w:szCs w:val="21"/>
                <w:highlight w:val="none"/>
                <w:vertAlign w:val="superscript"/>
                <w:lang w:val="en-US" w:eastAsia="zh-CN"/>
              </w:rPr>
              <w:t>3</w:t>
            </w:r>
            <w:r>
              <w:rPr>
                <w:rFonts w:hint="eastAsia" w:ascii="Times New Roman" w:hAnsi="Times New Roman" w:eastAsia="宋体" w:cs="Times New Roman"/>
                <w:spacing w:val="0"/>
                <w:sz w:val="21"/>
                <w:szCs w:val="21"/>
                <w:highlight w:val="none"/>
                <w:vertAlign w:val="baseline"/>
                <w:lang w:val="en-US" w:eastAsia="zh-CN"/>
              </w:rPr>
              <w:t>，</w:t>
            </w:r>
            <w:r>
              <w:rPr>
                <w:rFonts w:hint="eastAsia" w:cs="Times New Roman"/>
                <w:spacing w:val="0"/>
                <w:sz w:val="21"/>
                <w:szCs w:val="21"/>
                <w:highlight w:val="none"/>
                <w:vertAlign w:val="baseline"/>
                <w:lang w:val="en-US" w:eastAsia="zh-CN"/>
              </w:rPr>
              <w:t>无组织苯、甲苯</w:t>
            </w:r>
            <w:r>
              <w:rPr>
                <w:rFonts w:hint="eastAsia" w:cs="Times New Roman"/>
                <w:spacing w:val="0"/>
                <w:sz w:val="21"/>
                <w:szCs w:val="21"/>
                <w:vertAlign w:val="baseline"/>
                <w:lang w:val="en-US" w:eastAsia="zh-CN"/>
              </w:rPr>
              <w:t>、二甲苯未检出，检出限均为0.0015</w:t>
            </w:r>
            <w:r>
              <w:rPr>
                <w:rFonts w:hint="eastAsia" w:ascii="Times New Roman" w:hAnsi="Times New Roman" w:cs="Times New Roman"/>
                <w:spacing w:val="0"/>
                <w:sz w:val="21"/>
                <w:szCs w:val="21"/>
                <w:vertAlign w:val="baseline"/>
                <w:lang w:val="en-US" w:eastAsia="zh-CN"/>
              </w:rPr>
              <w:t>mg</w:t>
            </w:r>
            <w:r>
              <w:rPr>
                <w:rFonts w:hint="eastAsia" w:cs="Times New Roman"/>
                <w:spacing w:val="0"/>
                <w:sz w:val="21"/>
                <w:szCs w:val="21"/>
                <w:vertAlign w:val="baseline"/>
                <w:lang w:val="en-US" w:eastAsia="zh-CN"/>
              </w:rPr>
              <w:t>/</w:t>
            </w:r>
            <w:r>
              <w:rPr>
                <w:rFonts w:hint="default" w:ascii="Times New Roman" w:hAnsi="Times New Roman" w:eastAsia="宋体" w:cs="Times New Roman"/>
                <w:spacing w:val="0"/>
                <w:sz w:val="21"/>
                <w:szCs w:val="21"/>
                <w:vertAlign w:val="baseline"/>
                <w:lang w:val="en-US" w:eastAsia="zh-CN"/>
              </w:rPr>
              <w:t>m</w:t>
            </w:r>
            <w:r>
              <w:rPr>
                <w:rFonts w:hint="default" w:ascii="Times New Roman" w:hAnsi="Times New Roman" w:eastAsia="宋体" w:cs="Times New Roman"/>
                <w:spacing w:val="0"/>
                <w:sz w:val="21"/>
                <w:szCs w:val="21"/>
                <w:vertAlign w:val="superscript"/>
                <w:lang w:val="en-US" w:eastAsia="zh-CN"/>
              </w:rPr>
              <w:t>3</w:t>
            </w:r>
            <w:r>
              <w:rPr>
                <w:rFonts w:hint="eastAsia" w:ascii="Times New Roman" w:hAnsi="Times New Roman" w:eastAsia="宋体" w:cs="Times New Roman"/>
                <w:spacing w:val="0"/>
                <w:sz w:val="21"/>
                <w:szCs w:val="21"/>
                <w:vertAlign w:val="baseline"/>
                <w:lang w:val="en-US" w:eastAsia="zh-CN"/>
              </w:rPr>
              <w:t>，无组织VOCs、苯、甲苯、二甲苯排放浓度</w:t>
            </w:r>
            <w:r>
              <w:rPr>
                <w:rFonts w:hint="default" w:ascii="Times New Roman" w:hAnsi="Times New Roman" w:eastAsia="宋体" w:cs="Times New Roman"/>
                <w:color w:val="auto"/>
                <w:sz w:val="21"/>
                <w:szCs w:val="21"/>
              </w:rPr>
              <w:t>满足</w:t>
            </w:r>
            <w:r>
              <w:rPr>
                <w:rFonts w:hint="default" w:ascii="Times New Roman" w:hAnsi="Times New Roman" w:cs="Times New Roman"/>
                <w:sz w:val="21"/>
                <w:szCs w:val="21"/>
              </w:rPr>
              <w:t>《挥发性有机物排放标准 第</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部分：</w:t>
            </w:r>
            <w:r>
              <w:rPr>
                <w:rFonts w:hint="default" w:ascii="Times New Roman" w:hAnsi="Times New Roman" w:cs="Times New Roman"/>
                <w:sz w:val="21"/>
                <w:szCs w:val="21"/>
                <w:lang w:eastAsia="zh-CN"/>
              </w:rPr>
              <w:t>表面涂装</w:t>
            </w:r>
            <w:r>
              <w:rPr>
                <w:rFonts w:hint="default" w:ascii="Times New Roman" w:hAnsi="Times New Roman" w:cs="Times New Roman"/>
                <w:sz w:val="21"/>
                <w:szCs w:val="21"/>
              </w:rPr>
              <w:t>行业》（DB37/2801.</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）表</w:t>
            </w:r>
            <w:r>
              <w:rPr>
                <w:rFonts w:hint="eastAsia" w:ascii="Times New Roman" w:hAnsi="Times New Roman" w:cs="Times New Roman"/>
                <w:sz w:val="21"/>
                <w:szCs w:val="21"/>
                <w:lang w:val="en-US" w:eastAsia="zh-CN"/>
              </w:rPr>
              <w:t>3厂界无组织</w:t>
            </w:r>
            <w:r>
              <w:rPr>
                <w:rFonts w:hint="default" w:ascii="Times New Roman" w:hAnsi="Times New Roman" w:cs="Times New Roman"/>
                <w:sz w:val="21"/>
                <w:szCs w:val="21"/>
              </w:rPr>
              <w:t>排放限值</w:t>
            </w:r>
            <w:r>
              <w:rPr>
                <w:rFonts w:hint="eastAsia"/>
                <w:kern w:val="0"/>
                <w:sz w:val="21"/>
                <w:szCs w:val="21"/>
              </w:rPr>
              <w:t>（</w:t>
            </w:r>
            <w:r>
              <w:rPr>
                <w:rFonts w:hint="eastAsia"/>
                <w:kern w:val="0"/>
                <w:sz w:val="21"/>
                <w:szCs w:val="21"/>
                <w:lang w:val="en-US" w:eastAsia="zh-CN"/>
              </w:rPr>
              <w:t>VOCs2.0</w:t>
            </w:r>
            <w:r>
              <w:rPr>
                <w:rFonts w:hint="eastAsia"/>
                <w:kern w:val="0"/>
                <w:sz w:val="21"/>
                <w:szCs w:val="21"/>
              </w:rPr>
              <w:t>mg/m</w:t>
            </w:r>
            <w:r>
              <w:rPr>
                <w:kern w:val="0"/>
                <w:sz w:val="21"/>
                <w:szCs w:val="21"/>
                <w:vertAlign w:val="superscript"/>
              </w:rPr>
              <w:t>3</w:t>
            </w:r>
            <w:r>
              <w:rPr>
                <w:rFonts w:hint="eastAsia"/>
                <w:kern w:val="0"/>
                <w:sz w:val="21"/>
                <w:szCs w:val="21"/>
                <w:lang w:val="en-US" w:eastAsia="zh-CN"/>
              </w:rPr>
              <w:t>；苯0.1</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lang w:eastAsia="zh-CN"/>
              </w:rPr>
              <w:t>；甲苯</w:t>
            </w:r>
            <w:r>
              <w:rPr>
                <w:rFonts w:hint="eastAsia"/>
                <w:kern w:val="0"/>
                <w:sz w:val="21"/>
                <w:szCs w:val="21"/>
                <w:lang w:val="en-US" w:eastAsia="zh-CN"/>
              </w:rPr>
              <w:t>0.2</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lang w:val="en-US" w:eastAsia="zh-CN"/>
              </w:rPr>
              <w:t>；</w:t>
            </w:r>
            <w:r>
              <w:rPr>
                <w:rFonts w:hint="eastAsia"/>
                <w:kern w:val="0"/>
                <w:sz w:val="21"/>
                <w:szCs w:val="21"/>
                <w:vertAlign w:val="baseline"/>
                <w:lang w:eastAsia="zh-CN"/>
              </w:rPr>
              <w:t>二甲苯</w:t>
            </w:r>
            <w:r>
              <w:rPr>
                <w:rFonts w:hint="eastAsia"/>
                <w:kern w:val="0"/>
                <w:sz w:val="21"/>
                <w:szCs w:val="21"/>
                <w:vertAlign w:val="baseline"/>
                <w:lang w:val="en-US" w:eastAsia="zh-CN"/>
              </w:rPr>
              <w:t>0.2</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rPr>
              <w:t>）</w:t>
            </w:r>
            <w:r>
              <w:rPr>
                <w:rFonts w:hint="eastAsia"/>
                <w:kern w:val="0"/>
                <w:sz w:val="21"/>
                <w:szCs w:val="21"/>
                <w:lang w:eastAsia="zh-CN"/>
              </w:rPr>
              <w:t>，无组织颗粒物排放浓度满足</w:t>
            </w:r>
            <w:r>
              <w:rPr>
                <w:rFonts w:hint="eastAsia"/>
                <w:sz w:val="21"/>
                <w:szCs w:val="21"/>
                <w:highlight w:val="none"/>
                <w:lang w:eastAsia="zh-CN"/>
              </w:rPr>
              <w:t>满足</w:t>
            </w:r>
            <w:r>
              <w:rPr>
                <w:rFonts w:hint="eastAsia" w:cs="Times New Roman"/>
                <w:sz w:val="21"/>
                <w:szCs w:val="21"/>
                <w:lang w:eastAsia="zh-CN"/>
              </w:rPr>
              <w:t>《大气污染物综合排放标准》（</w:t>
            </w:r>
            <w:r>
              <w:rPr>
                <w:rFonts w:hint="eastAsia" w:cs="Times New Roman"/>
                <w:sz w:val="21"/>
                <w:szCs w:val="21"/>
                <w:lang w:val="en-US" w:eastAsia="zh-CN"/>
              </w:rPr>
              <w:t>GB16297-1996</w:t>
            </w:r>
            <w:r>
              <w:rPr>
                <w:rFonts w:hint="eastAsia" w:cs="Times New Roman"/>
                <w:sz w:val="21"/>
                <w:szCs w:val="21"/>
                <w:lang w:eastAsia="zh-CN"/>
              </w:rPr>
              <w:t>）表</w:t>
            </w:r>
            <w:r>
              <w:rPr>
                <w:rFonts w:hint="eastAsia" w:cs="Times New Roman"/>
                <w:sz w:val="21"/>
                <w:szCs w:val="21"/>
                <w:lang w:val="en-US" w:eastAsia="zh-CN"/>
              </w:rPr>
              <w:t>2厂界监控点浓度限值（颗粒物</w:t>
            </w:r>
            <w:r>
              <w:rPr>
                <w:rFonts w:hint="default" w:ascii="Times New Roman" w:hAnsi="Times New Roman" w:eastAsia="宋体" w:cs="Times New Roman"/>
                <w:color w:val="auto"/>
                <w:sz w:val="21"/>
                <w:szCs w:val="21"/>
                <w:highlight w:val="none"/>
                <w:lang w:val="en-US" w:eastAsia="zh-CN"/>
              </w:rPr>
              <w:t>1.0mg/m</w:t>
            </w:r>
            <w:r>
              <w:rPr>
                <w:rFonts w:hint="default" w:ascii="Times New Roman" w:hAnsi="Times New Roman" w:eastAsia="宋体" w:cs="Times New Roman"/>
                <w:color w:val="auto"/>
                <w:sz w:val="21"/>
                <w:szCs w:val="21"/>
                <w:highlight w:val="none"/>
                <w:vertAlign w:val="superscript"/>
                <w:lang w:val="en-US" w:eastAsia="zh-CN"/>
              </w:rPr>
              <w:t>3</w:t>
            </w:r>
            <w:r>
              <w:rPr>
                <w:rFonts w:hint="eastAsia" w:cs="Times New Roman"/>
                <w:sz w:val="21"/>
                <w:szCs w:val="21"/>
                <w:lang w:val="en-US" w:eastAsia="zh-CN"/>
              </w:rPr>
              <w:t>）</w:t>
            </w:r>
            <w:r>
              <w:rPr>
                <w:rFonts w:hint="default" w:ascii="Times New Roman" w:hAnsi="Times New Roman" w:eastAsia="宋体" w:cs="Times New Roman"/>
                <w:color w:val="auto"/>
                <w:sz w:val="21"/>
                <w:szCs w:val="21"/>
              </w:rPr>
              <w:t>。</w:t>
            </w:r>
          </w:p>
          <w:p w14:paraId="1F8989C5">
            <w:pPr>
              <w:pStyle w:val="3"/>
              <w:spacing w:after="0" w:line="360" w:lineRule="auto"/>
              <w:ind w:left="0" w:leftChars="0" w:firstLine="420" w:firstLineChars="200"/>
              <w:rPr>
                <w:rFonts w:hint="eastAsia" w:eastAsia="宋体"/>
                <w:sz w:val="21"/>
                <w:szCs w:val="16"/>
                <w:highlight w:val="none"/>
                <w:lang w:eastAsia="zh-CN"/>
              </w:rPr>
            </w:pPr>
            <w:r>
              <w:rPr>
                <w:rFonts w:hint="eastAsia"/>
                <w:sz w:val="21"/>
                <w:szCs w:val="16"/>
                <w:highlight w:val="none"/>
                <w:lang w:eastAsia="zh-CN"/>
              </w:rPr>
              <w:t>（</w:t>
            </w:r>
            <w:r>
              <w:rPr>
                <w:rFonts w:hint="eastAsia"/>
                <w:sz w:val="21"/>
                <w:szCs w:val="16"/>
                <w:highlight w:val="none"/>
                <w:lang w:val="en-US" w:eastAsia="zh-CN"/>
              </w:rPr>
              <w:t>2</w:t>
            </w:r>
            <w:r>
              <w:rPr>
                <w:rFonts w:hint="eastAsia"/>
                <w:sz w:val="21"/>
                <w:szCs w:val="16"/>
                <w:highlight w:val="none"/>
                <w:lang w:eastAsia="zh-CN"/>
              </w:rPr>
              <w:t>）废气排放量</w:t>
            </w:r>
          </w:p>
          <w:p w14:paraId="1C021181">
            <w:pPr>
              <w:spacing w:line="360" w:lineRule="auto"/>
              <w:ind w:firstLine="420" w:firstLineChars="200"/>
              <w:jc w:val="left"/>
              <w:rPr>
                <w:rFonts w:hint="eastAsia"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1）</w:t>
            </w:r>
            <w:r>
              <w:rPr>
                <w:rFonts w:hint="eastAsia" w:cs="Times New Roman"/>
                <w:bCs/>
                <w:color w:val="000000"/>
                <w:sz w:val="21"/>
                <w:szCs w:val="21"/>
                <w:highlight w:val="none"/>
                <w:lang w:val="en-US" w:eastAsia="zh-CN"/>
              </w:rPr>
              <w:t>下料开孔过程产生的颗粒物</w:t>
            </w:r>
          </w:p>
          <w:p w14:paraId="2CB5AD42">
            <w:pPr>
              <w:spacing w:line="360" w:lineRule="auto"/>
              <w:ind w:firstLine="420" w:firstLineChars="200"/>
              <w:jc w:val="both"/>
              <w:rPr>
                <w:rFonts w:hint="eastAsia" w:cs="Times New Roman"/>
                <w:bCs/>
                <w:color w:val="000000"/>
                <w:sz w:val="21"/>
                <w:szCs w:val="21"/>
                <w:highlight w:val="yellow"/>
                <w:lang w:val="en-US" w:eastAsia="zh-CN"/>
              </w:rPr>
            </w:pPr>
            <w:r>
              <w:rPr>
                <w:rFonts w:hint="eastAsia"/>
                <w:lang w:eastAsia="zh-CN"/>
              </w:rPr>
              <w:t>碳钢板、不锈钢板下料开孔过程产生会产生少量金属颗粒物，金属颗粒物比重较大，大部分在设备周边自然沉降，车间采取密闭措施，基本不会影响车间外环境。</w:t>
            </w:r>
          </w:p>
          <w:p w14:paraId="1ACD4AC1">
            <w:pPr>
              <w:spacing w:line="360" w:lineRule="auto"/>
              <w:ind w:firstLine="420" w:firstLineChars="200"/>
              <w:jc w:val="left"/>
              <w:rPr>
                <w:rFonts w:hint="eastAsia" w:ascii="Times New Roman" w:hAnsi="Times New Roman" w:cs="Times New Roman"/>
                <w:bCs/>
                <w:color w:val="000000"/>
                <w:sz w:val="21"/>
                <w:szCs w:val="21"/>
                <w:highlight w:val="none"/>
                <w:lang w:val="en-US" w:eastAsia="zh-CN"/>
              </w:rPr>
            </w:pPr>
            <w:r>
              <w:rPr>
                <w:rFonts w:hint="eastAsia" w:cs="Times New Roman"/>
                <w:bCs/>
                <w:color w:val="000000"/>
                <w:sz w:val="21"/>
                <w:szCs w:val="21"/>
                <w:highlight w:val="none"/>
                <w:lang w:val="en-US" w:eastAsia="zh-CN"/>
              </w:rPr>
              <w:t>2）焊接</w:t>
            </w:r>
            <w:r>
              <w:rPr>
                <w:rFonts w:hint="eastAsia" w:ascii="Times New Roman" w:hAnsi="Times New Roman" w:cs="Times New Roman"/>
                <w:bCs/>
                <w:color w:val="000000"/>
                <w:sz w:val="21"/>
                <w:szCs w:val="21"/>
                <w:highlight w:val="none"/>
                <w:lang w:val="en-US" w:eastAsia="zh-CN"/>
              </w:rPr>
              <w:t>过程烟尘排放量</w:t>
            </w:r>
          </w:p>
          <w:p w14:paraId="6BE9AF37">
            <w:pPr>
              <w:spacing w:line="360" w:lineRule="auto"/>
              <w:ind w:firstLine="420" w:firstLineChars="200"/>
              <w:jc w:val="both"/>
              <w:rPr>
                <w:rFonts w:hint="default" w:ascii="Times New Roman" w:hAnsi="Times New Roman" w:cs="Times New Roman"/>
                <w:bCs/>
                <w:color w:val="000000"/>
                <w:sz w:val="21"/>
                <w:szCs w:val="21"/>
                <w:lang w:val="en-US" w:eastAsia="zh-CN"/>
              </w:rPr>
            </w:pPr>
            <w:r>
              <w:rPr>
                <w:rFonts w:hint="eastAsia"/>
                <w:sz w:val="21"/>
                <w:szCs w:val="21"/>
                <w:lang w:eastAsia="zh-CN"/>
              </w:rPr>
              <w:t>现有焊接</w:t>
            </w:r>
            <w:r>
              <w:rPr>
                <w:rFonts w:hint="eastAsia"/>
                <w:sz w:val="21"/>
                <w:szCs w:val="21"/>
              </w:rPr>
              <w:t>工序</w:t>
            </w:r>
            <w:r>
              <w:rPr>
                <w:sz w:val="21"/>
                <w:szCs w:val="21"/>
              </w:rPr>
              <w:t>主要</w:t>
            </w:r>
            <w:r>
              <w:rPr>
                <w:rFonts w:hint="eastAsia"/>
                <w:sz w:val="21"/>
                <w:szCs w:val="21"/>
                <w:lang w:eastAsia="zh-CN"/>
              </w:rPr>
              <w:t>有焊接烟</w:t>
            </w:r>
            <w:r>
              <w:rPr>
                <w:sz w:val="21"/>
                <w:szCs w:val="21"/>
              </w:rPr>
              <w:t>尘产生，使用移动式焊接烟尘净化器处理</w:t>
            </w:r>
            <w:r>
              <w:rPr>
                <w:rFonts w:hint="eastAsia"/>
                <w:sz w:val="21"/>
                <w:szCs w:val="21"/>
                <w:lang w:eastAsia="zh-CN"/>
              </w:rPr>
              <w:t>焊接</w:t>
            </w:r>
            <w:r>
              <w:rPr>
                <w:sz w:val="21"/>
                <w:szCs w:val="21"/>
              </w:rPr>
              <w:t>工序产生的</w:t>
            </w:r>
            <w:r>
              <w:rPr>
                <w:rFonts w:hint="eastAsia"/>
                <w:sz w:val="21"/>
                <w:szCs w:val="21"/>
                <w:lang w:eastAsia="zh-CN"/>
              </w:rPr>
              <w:t>烟</w:t>
            </w:r>
            <w:r>
              <w:rPr>
                <w:sz w:val="21"/>
                <w:szCs w:val="21"/>
              </w:rPr>
              <w:t>尘。根据《机加工行业环境影响评价中常见污染物源强估算及污染治理》（湖北大学学报2010年9月第32卷第3期），手工电弧焊发尘量为350～</w:t>
            </w:r>
            <w:r>
              <w:rPr>
                <w:rFonts w:hint="eastAsia"/>
                <w:sz w:val="21"/>
                <w:szCs w:val="21"/>
                <w:lang w:val="en-US" w:eastAsia="zh-CN"/>
              </w:rPr>
              <w:t>4</w:t>
            </w:r>
            <w:r>
              <w:rPr>
                <w:sz w:val="21"/>
                <w:szCs w:val="21"/>
              </w:rPr>
              <w:t>50mg/min，</w:t>
            </w:r>
            <w:r>
              <w:rPr>
                <w:rFonts w:hint="eastAsia"/>
                <w:sz w:val="21"/>
                <w:szCs w:val="21"/>
                <w:lang w:eastAsia="zh-CN"/>
              </w:rPr>
              <w:t>现有</w:t>
            </w:r>
            <w:r>
              <w:rPr>
                <w:sz w:val="21"/>
                <w:szCs w:val="21"/>
              </w:rPr>
              <w:t>项目烟尘系数取最大值，</w:t>
            </w:r>
            <w:r>
              <w:rPr>
                <w:rFonts w:hint="eastAsia"/>
                <w:sz w:val="21"/>
                <w:szCs w:val="21"/>
                <w:lang w:eastAsia="zh-CN"/>
              </w:rPr>
              <w:t>焊接工序年工作</w:t>
            </w:r>
            <w:r>
              <w:rPr>
                <w:sz w:val="21"/>
                <w:szCs w:val="21"/>
              </w:rPr>
              <w:t>时间</w:t>
            </w:r>
            <w:r>
              <w:rPr>
                <w:rFonts w:hint="eastAsia"/>
                <w:sz w:val="21"/>
                <w:szCs w:val="21"/>
                <w:lang w:eastAsia="zh-CN"/>
              </w:rPr>
              <w:t>约</w:t>
            </w:r>
            <w:r>
              <w:rPr>
                <w:rFonts w:hint="eastAsia"/>
                <w:sz w:val="21"/>
                <w:szCs w:val="21"/>
                <w:lang w:val="en-US" w:eastAsia="zh-CN"/>
              </w:rPr>
              <w:t>8</w:t>
            </w:r>
            <w:r>
              <w:rPr>
                <w:sz w:val="21"/>
                <w:szCs w:val="21"/>
              </w:rPr>
              <w:t>00h/a，则</w:t>
            </w:r>
            <w:r>
              <w:rPr>
                <w:rFonts w:hint="eastAsia"/>
                <w:sz w:val="21"/>
                <w:szCs w:val="21"/>
                <w:lang w:eastAsia="zh-CN"/>
              </w:rPr>
              <w:t>焊接</w:t>
            </w:r>
            <w:r>
              <w:rPr>
                <w:sz w:val="21"/>
                <w:szCs w:val="21"/>
              </w:rPr>
              <w:t>过程</w:t>
            </w:r>
            <w:r>
              <w:rPr>
                <w:rFonts w:hint="eastAsia"/>
                <w:sz w:val="21"/>
                <w:szCs w:val="21"/>
                <w:lang w:eastAsia="zh-CN"/>
              </w:rPr>
              <w:t>烟</w:t>
            </w:r>
            <w:r>
              <w:rPr>
                <w:sz w:val="21"/>
                <w:szCs w:val="21"/>
              </w:rPr>
              <w:t>粉尘</w:t>
            </w:r>
            <w:r>
              <w:rPr>
                <w:rFonts w:hint="eastAsia"/>
                <w:sz w:val="21"/>
                <w:szCs w:val="21"/>
                <w:lang w:eastAsia="zh-CN"/>
              </w:rPr>
              <w:t>产生</w:t>
            </w:r>
            <w:r>
              <w:rPr>
                <w:sz w:val="21"/>
                <w:szCs w:val="21"/>
              </w:rPr>
              <w:t>量为0.0</w:t>
            </w:r>
            <w:r>
              <w:rPr>
                <w:rFonts w:hint="eastAsia"/>
                <w:sz w:val="21"/>
                <w:szCs w:val="21"/>
                <w:lang w:val="en-US" w:eastAsia="zh-CN"/>
              </w:rPr>
              <w:t>22</w:t>
            </w:r>
            <w:r>
              <w:rPr>
                <w:sz w:val="21"/>
                <w:szCs w:val="21"/>
              </w:rPr>
              <w:t>t/a，经移动式</w:t>
            </w:r>
            <w:r>
              <w:rPr>
                <w:rFonts w:hint="eastAsia"/>
                <w:sz w:val="21"/>
                <w:szCs w:val="21"/>
                <w:lang w:eastAsia="zh-CN"/>
              </w:rPr>
              <w:t>焊接</w:t>
            </w:r>
            <w:r>
              <w:rPr>
                <w:sz w:val="21"/>
                <w:szCs w:val="21"/>
              </w:rPr>
              <w:t>烟尘净化器（收集效率</w:t>
            </w:r>
            <w:r>
              <w:rPr>
                <w:rFonts w:hint="eastAsia"/>
                <w:sz w:val="21"/>
                <w:szCs w:val="21"/>
                <w:lang w:val="en-US" w:eastAsia="zh-CN"/>
              </w:rPr>
              <w:t>8</w:t>
            </w:r>
            <w:r>
              <w:rPr>
                <w:sz w:val="21"/>
                <w:szCs w:val="21"/>
              </w:rPr>
              <w:t>0%，处理效率80%）处理后，则</w:t>
            </w:r>
            <w:r>
              <w:rPr>
                <w:rFonts w:hint="eastAsia"/>
                <w:sz w:val="21"/>
                <w:szCs w:val="21"/>
                <w:lang w:eastAsia="zh-CN"/>
              </w:rPr>
              <w:t>焊接工序烟尘无组织</w:t>
            </w:r>
            <w:r>
              <w:rPr>
                <w:sz w:val="21"/>
                <w:szCs w:val="21"/>
              </w:rPr>
              <w:t>排放量为0.00</w:t>
            </w:r>
            <w:r>
              <w:rPr>
                <w:rFonts w:hint="eastAsia"/>
                <w:sz w:val="21"/>
                <w:szCs w:val="21"/>
                <w:lang w:val="en-US" w:eastAsia="zh-CN"/>
              </w:rPr>
              <w:t>8</w:t>
            </w:r>
            <w:r>
              <w:rPr>
                <w:sz w:val="21"/>
                <w:szCs w:val="21"/>
              </w:rPr>
              <w:t>t/a。</w:t>
            </w:r>
          </w:p>
          <w:p w14:paraId="4C6FAEA2">
            <w:pPr>
              <w:spacing w:line="360" w:lineRule="auto"/>
              <w:ind w:firstLine="420" w:firstLineChars="200"/>
              <w:jc w:val="both"/>
              <w:rPr>
                <w:rFonts w:hint="eastAsia" w:ascii="Times New Roman" w:hAnsi="Times New Roman" w:cs="Times New Roman"/>
                <w:bCs/>
                <w:color w:val="000000"/>
                <w:sz w:val="21"/>
                <w:szCs w:val="21"/>
                <w:lang w:val="en-US" w:eastAsia="zh-CN"/>
              </w:rPr>
            </w:pPr>
            <w:r>
              <w:rPr>
                <w:rFonts w:hint="eastAsia"/>
                <w:sz w:val="21"/>
                <w:szCs w:val="21"/>
                <w:lang w:eastAsia="zh-CN"/>
              </w:rPr>
              <w:t>检测时现有项目工况负荷为</w:t>
            </w:r>
            <w:r>
              <w:rPr>
                <w:rFonts w:hint="eastAsia"/>
                <w:sz w:val="21"/>
                <w:szCs w:val="21"/>
                <w:lang w:val="en-US" w:eastAsia="zh-CN"/>
              </w:rPr>
              <w:t>75%，两级活性炭吸附装置VOCs去除</w:t>
            </w:r>
            <w:r>
              <w:rPr>
                <w:rFonts w:hint="eastAsia"/>
                <w:sz w:val="21"/>
                <w:szCs w:val="21"/>
              </w:rPr>
              <w:t>效率</w:t>
            </w:r>
            <w:r>
              <w:rPr>
                <w:rFonts w:hint="eastAsia"/>
                <w:sz w:val="21"/>
                <w:szCs w:val="21"/>
                <w:lang w:eastAsia="zh-CN"/>
              </w:rPr>
              <w:t>按</w:t>
            </w:r>
            <w:r>
              <w:rPr>
                <w:rFonts w:hint="eastAsia"/>
                <w:sz w:val="21"/>
                <w:szCs w:val="21"/>
                <w:lang w:val="en-US" w:eastAsia="zh-CN"/>
              </w:rPr>
              <w:t>70</w:t>
            </w:r>
            <w:r>
              <w:rPr>
                <w:rFonts w:hint="eastAsia"/>
                <w:sz w:val="21"/>
                <w:szCs w:val="21"/>
              </w:rPr>
              <w:t>%</w:t>
            </w:r>
            <w:r>
              <w:rPr>
                <w:rFonts w:hint="eastAsia"/>
                <w:sz w:val="21"/>
                <w:szCs w:val="21"/>
                <w:lang w:eastAsia="zh-CN"/>
              </w:rPr>
              <w:t>计</w:t>
            </w:r>
            <w:r>
              <w:rPr>
                <w:rFonts w:hint="eastAsia"/>
                <w:sz w:val="21"/>
                <w:szCs w:val="21"/>
              </w:rPr>
              <w:t>，</w:t>
            </w:r>
            <w:r>
              <w:rPr>
                <w:rFonts w:hint="eastAsia"/>
                <w:sz w:val="21"/>
                <w:szCs w:val="21"/>
                <w:lang w:eastAsia="zh-CN"/>
              </w:rPr>
              <w:t>刷漆房</w:t>
            </w:r>
            <w:r>
              <w:rPr>
                <w:rFonts w:hint="eastAsia"/>
                <w:sz w:val="21"/>
                <w:szCs w:val="21"/>
                <w:lang w:val="en-US" w:eastAsia="zh-CN"/>
              </w:rPr>
              <w:t>密闭，</w:t>
            </w:r>
            <w:r>
              <w:rPr>
                <w:rFonts w:hint="eastAsia"/>
                <w:sz w:val="21"/>
                <w:szCs w:val="21"/>
                <w:lang w:eastAsia="zh-CN"/>
              </w:rPr>
              <w:t>废气收集效率按</w:t>
            </w:r>
            <w:r>
              <w:rPr>
                <w:rFonts w:hint="eastAsia"/>
                <w:sz w:val="21"/>
                <w:szCs w:val="21"/>
                <w:lang w:val="en-US" w:eastAsia="zh-CN"/>
              </w:rPr>
              <w:t>98%计</w:t>
            </w:r>
            <w:r>
              <w:rPr>
                <w:rFonts w:hint="eastAsia"/>
                <w:sz w:val="21"/>
                <w:szCs w:val="21"/>
              </w:rPr>
              <w:t>，</w:t>
            </w:r>
            <w:r>
              <w:rPr>
                <w:rFonts w:hint="eastAsia"/>
                <w:sz w:val="21"/>
                <w:szCs w:val="21"/>
                <w:lang w:eastAsia="zh-CN"/>
              </w:rPr>
              <w:t>工况负荷折</w:t>
            </w:r>
            <w:r>
              <w:rPr>
                <w:rFonts w:hint="eastAsia"/>
                <w:sz w:val="21"/>
                <w:szCs w:val="21"/>
                <w:lang w:val="en-US" w:eastAsia="zh-CN"/>
              </w:rPr>
              <w:t>100%后</w:t>
            </w:r>
            <w:r>
              <w:rPr>
                <w:rFonts w:hint="eastAsia" w:ascii="Times New Roman" w:hAnsi="Times New Roman" w:cs="Times New Roman"/>
                <w:bCs/>
                <w:color w:val="000000"/>
                <w:sz w:val="21"/>
                <w:szCs w:val="21"/>
                <w:lang w:val="en-US" w:eastAsia="zh-CN"/>
              </w:rPr>
              <w:t>现有</w:t>
            </w:r>
            <w:r>
              <w:rPr>
                <w:rFonts w:hint="eastAsia" w:cs="Times New Roman"/>
                <w:bCs/>
                <w:color w:val="000000"/>
                <w:sz w:val="21"/>
                <w:szCs w:val="21"/>
                <w:lang w:val="en-US" w:eastAsia="zh-CN"/>
              </w:rPr>
              <w:t>项目</w:t>
            </w:r>
            <w:r>
              <w:rPr>
                <w:rFonts w:hint="eastAsia" w:ascii="Times New Roman" w:hAnsi="Times New Roman" w:cs="Times New Roman"/>
                <w:bCs/>
                <w:color w:val="000000"/>
                <w:sz w:val="21"/>
                <w:szCs w:val="21"/>
                <w:lang w:val="en-US" w:eastAsia="zh-CN"/>
              </w:rPr>
              <w:t>废气排放量情况见下表。</w:t>
            </w:r>
          </w:p>
          <w:p w14:paraId="6FFEEF1D">
            <w:pPr>
              <w:spacing w:line="360" w:lineRule="auto"/>
              <w:ind w:firstLine="422" w:firstLineChars="200"/>
              <w:jc w:val="center"/>
              <w:rPr>
                <w:rFonts w:hint="eastAsia" w:ascii="Times New Roman" w:hAnsi="Times New Roman" w:cs="Times New Roman"/>
                <w:b/>
                <w:bCs w:val="0"/>
                <w:color w:val="000000"/>
                <w:sz w:val="21"/>
                <w:szCs w:val="21"/>
                <w:lang w:val="en-US" w:eastAsia="zh-CN"/>
              </w:rPr>
            </w:pPr>
            <w:r>
              <w:rPr>
                <w:rFonts w:hint="eastAsia" w:ascii="Times New Roman" w:hAnsi="Times New Roman" w:cs="Times New Roman"/>
                <w:b/>
                <w:bCs w:val="0"/>
                <w:color w:val="000000"/>
                <w:sz w:val="21"/>
                <w:szCs w:val="21"/>
                <w:lang w:val="en-US" w:eastAsia="zh-CN"/>
              </w:rPr>
              <w:t>表2-</w:t>
            </w:r>
            <w:r>
              <w:rPr>
                <w:rFonts w:hint="eastAsia" w:cs="Times New Roman"/>
                <w:b/>
                <w:bCs w:val="0"/>
                <w:color w:val="000000"/>
                <w:sz w:val="21"/>
                <w:szCs w:val="21"/>
                <w:lang w:val="en-US" w:eastAsia="zh-CN"/>
              </w:rPr>
              <w:t>23</w:t>
            </w:r>
            <w:r>
              <w:rPr>
                <w:rFonts w:hint="eastAsia" w:ascii="Times New Roman" w:hAnsi="Times New Roman" w:cs="Times New Roman"/>
                <w:b/>
                <w:bCs w:val="0"/>
                <w:color w:val="000000"/>
                <w:sz w:val="21"/>
                <w:szCs w:val="21"/>
                <w:lang w:val="en-US" w:eastAsia="zh-CN"/>
              </w:rPr>
              <w:t xml:space="preserve">  现有项目废气排放情况一览表</w:t>
            </w:r>
          </w:p>
          <w:tbl>
            <w:tblPr>
              <w:tblStyle w:val="82"/>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34"/>
              <w:gridCol w:w="1010"/>
              <w:gridCol w:w="931"/>
              <w:gridCol w:w="981"/>
              <w:gridCol w:w="655"/>
              <w:gridCol w:w="964"/>
              <w:gridCol w:w="938"/>
              <w:gridCol w:w="949"/>
              <w:gridCol w:w="944"/>
            </w:tblGrid>
            <w:tr w14:paraId="1161A4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035" w:type="dxa"/>
                  <w:vAlign w:val="center"/>
                </w:tcPr>
                <w:p w14:paraId="2D236E9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color w:val="000000"/>
                      <w:sz w:val="18"/>
                      <w:szCs w:val="18"/>
                      <w:vertAlign w:val="baseline"/>
                      <w:lang w:val="en-US" w:eastAsia="zh-CN"/>
                    </w:rPr>
                  </w:pPr>
                  <w:r>
                    <w:rPr>
                      <w:rFonts w:hint="default" w:ascii="Times New Roman" w:hAnsi="Times New Roman" w:cs="Times New Roman"/>
                      <w:bCs/>
                      <w:color w:val="000000"/>
                      <w:sz w:val="18"/>
                      <w:szCs w:val="18"/>
                      <w:vertAlign w:val="baseline"/>
                      <w:lang w:val="en-US" w:eastAsia="zh-CN"/>
                    </w:rPr>
                    <w:t>污染源名称</w:t>
                  </w:r>
                </w:p>
              </w:tc>
              <w:tc>
                <w:tcPr>
                  <w:tcW w:w="1011" w:type="dxa"/>
                  <w:vAlign w:val="center"/>
                </w:tcPr>
                <w:p w14:paraId="6CFA61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color w:val="000000"/>
                      <w:sz w:val="18"/>
                      <w:szCs w:val="18"/>
                      <w:vertAlign w:val="baseline"/>
                      <w:lang w:val="en-US" w:eastAsia="zh-CN"/>
                    </w:rPr>
                  </w:pPr>
                  <w:r>
                    <w:rPr>
                      <w:rFonts w:hint="default" w:ascii="Times New Roman" w:hAnsi="Times New Roman" w:cs="Times New Roman"/>
                      <w:bCs/>
                      <w:color w:val="000000"/>
                      <w:sz w:val="18"/>
                      <w:szCs w:val="18"/>
                      <w:vertAlign w:val="baseline"/>
                      <w:lang w:val="en-US" w:eastAsia="zh-CN"/>
                    </w:rPr>
                    <w:t>污染物</w:t>
                  </w:r>
                </w:p>
              </w:tc>
              <w:tc>
                <w:tcPr>
                  <w:tcW w:w="931" w:type="dxa"/>
                  <w:vAlign w:val="center"/>
                </w:tcPr>
                <w:p w14:paraId="458DE6F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平均</w:t>
                  </w:r>
                  <w:r>
                    <w:rPr>
                      <w:rFonts w:hint="default" w:ascii="Times New Roman" w:hAnsi="Times New Roman" w:cs="Times New Roman"/>
                      <w:bCs/>
                      <w:color w:val="000000"/>
                      <w:sz w:val="18"/>
                      <w:szCs w:val="18"/>
                      <w:vertAlign w:val="baseline"/>
                      <w:lang w:val="en-US" w:eastAsia="zh-CN"/>
                    </w:rPr>
                    <w:t>排放速率（kg/h）</w:t>
                  </w:r>
                </w:p>
              </w:tc>
              <w:tc>
                <w:tcPr>
                  <w:tcW w:w="981" w:type="dxa"/>
                  <w:vAlign w:val="center"/>
                </w:tcPr>
                <w:p w14:paraId="1FCCF9C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18"/>
                      <w:szCs w:val="18"/>
                      <w:lang w:val="en-US" w:eastAsia="zh-CN"/>
                    </w:rPr>
                  </w:pPr>
                  <w:r>
                    <w:rPr>
                      <w:rFonts w:hint="eastAsia" w:cs="Times New Roman"/>
                      <w:sz w:val="18"/>
                      <w:szCs w:val="18"/>
                      <w:lang w:val="en-US" w:eastAsia="zh-CN"/>
                    </w:rPr>
                    <w:t>工况负荷折100%后</w:t>
                  </w:r>
                  <w:r>
                    <w:rPr>
                      <w:rFonts w:hint="default" w:ascii="Times New Roman" w:hAnsi="Times New Roman" w:cs="Times New Roman"/>
                      <w:bCs/>
                      <w:color w:val="000000"/>
                      <w:sz w:val="18"/>
                      <w:szCs w:val="18"/>
                      <w:vertAlign w:val="baseline"/>
                      <w:lang w:val="en-US" w:eastAsia="zh-CN"/>
                    </w:rPr>
                    <w:t>平均排放速率（kg/h）</w:t>
                  </w:r>
                </w:p>
              </w:tc>
              <w:tc>
                <w:tcPr>
                  <w:tcW w:w="656" w:type="dxa"/>
                  <w:vAlign w:val="center"/>
                </w:tcPr>
                <w:p w14:paraId="6B9827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工作时间h/a</w:t>
                  </w:r>
                </w:p>
              </w:tc>
              <w:tc>
                <w:tcPr>
                  <w:tcW w:w="965" w:type="dxa"/>
                  <w:vAlign w:val="center"/>
                </w:tcPr>
                <w:p w14:paraId="7027885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sz w:val="18"/>
                      <w:szCs w:val="18"/>
                      <w:lang w:val="en-US" w:eastAsia="zh-CN"/>
                    </w:rPr>
                  </w:pPr>
                  <w:r>
                    <w:rPr>
                      <w:rFonts w:hint="eastAsia" w:cs="Times New Roman"/>
                      <w:sz w:val="18"/>
                      <w:szCs w:val="18"/>
                      <w:lang w:val="en-US" w:eastAsia="zh-CN"/>
                    </w:rPr>
                    <w:t>工况负荷折100%后</w:t>
                  </w:r>
                  <w:r>
                    <w:rPr>
                      <w:rFonts w:hint="default" w:ascii="Times New Roman" w:hAnsi="Times New Roman" w:cs="Times New Roman"/>
                      <w:sz w:val="18"/>
                      <w:szCs w:val="18"/>
                      <w:lang w:val="en-US" w:eastAsia="zh-CN"/>
                    </w:rPr>
                    <w:t>有组织排放量t/a</w:t>
                  </w:r>
                </w:p>
              </w:tc>
              <w:tc>
                <w:tcPr>
                  <w:tcW w:w="939" w:type="dxa"/>
                  <w:vAlign w:val="center"/>
                </w:tcPr>
                <w:p w14:paraId="4479820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color w:val="000000"/>
                      <w:sz w:val="18"/>
                      <w:szCs w:val="18"/>
                      <w:vertAlign w:val="baseline"/>
                      <w:lang w:val="en-US" w:eastAsia="zh-CN"/>
                    </w:rPr>
                  </w:pPr>
                  <w:r>
                    <w:rPr>
                      <w:rFonts w:hint="default" w:ascii="Times New Roman" w:hAnsi="Times New Roman" w:cs="Times New Roman"/>
                      <w:bCs/>
                      <w:color w:val="000000"/>
                      <w:sz w:val="18"/>
                      <w:szCs w:val="18"/>
                      <w:vertAlign w:val="baseline"/>
                      <w:lang w:val="en-US" w:eastAsia="zh-CN"/>
                    </w:rPr>
                    <w:t>集气罩收集效率%</w:t>
                  </w:r>
                </w:p>
              </w:tc>
              <w:tc>
                <w:tcPr>
                  <w:tcW w:w="950" w:type="dxa"/>
                  <w:vAlign w:val="center"/>
                </w:tcPr>
                <w:p w14:paraId="60FDDAC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产生量</w:t>
                  </w:r>
                  <w:r>
                    <w:rPr>
                      <w:rFonts w:hint="default" w:ascii="Times New Roman" w:hAnsi="Times New Roman" w:cs="Times New Roman"/>
                      <w:bCs/>
                      <w:color w:val="000000"/>
                      <w:sz w:val="18"/>
                      <w:szCs w:val="18"/>
                      <w:vertAlign w:val="baseline"/>
                      <w:lang w:val="en-US" w:eastAsia="zh-CN"/>
                    </w:rPr>
                    <w:t>t/a</w:t>
                  </w:r>
                </w:p>
              </w:tc>
              <w:tc>
                <w:tcPr>
                  <w:tcW w:w="945" w:type="dxa"/>
                  <w:vAlign w:val="center"/>
                </w:tcPr>
                <w:p w14:paraId="4A0C632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Cs/>
                      <w:color w:val="000000"/>
                      <w:sz w:val="18"/>
                      <w:szCs w:val="18"/>
                      <w:vertAlign w:val="baseline"/>
                      <w:lang w:val="en-US" w:eastAsia="zh-CN"/>
                    </w:rPr>
                  </w:pPr>
                  <w:r>
                    <w:rPr>
                      <w:rFonts w:hint="default" w:ascii="Times New Roman" w:hAnsi="Times New Roman" w:cs="Times New Roman"/>
                      <w:bCs/>
                      <w:color w:val="000000"/>
                      <w:sz w:val="18"/>
                      <w:szCs w:val="18"/>
                      <w:vertAlign w:val="baseline"/>
                      <w:lang w:val="en-US" w:eastAsia="zh-CN"/>
                    </w:rPr>
                    <w:t>无组织排放量t/a</w:t>
                  </w:r>
                </w:p>
              </w:tc>
            </w:tr>
            <w:tr w14:paraId="41C40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2" w:hRule="atLeast"/>
                <w:jc w:val="center"/>
              </w:trPr>
              <w:tc>
                <w:tcPr>
                  <w:tcW w:w="1035" w:type="dxa"/>
                  <w:vAlign w:val="center"/>
                </w:tcPr>
                <w:p w14:paraId="5EDA7FE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sz w:val="18"/>
                      <w:szCs w:val="18"/>
                      <w:vertAlign w:val="baseline"/>
                      <w:lang w:val="en-US" w:eastAsia="zh-CN"/>
                    </w:rPr>
                  </w:pPr>
                  <w:r>
                    <w:rPr>
                      <w:rFonts w:hint="eastAsia"/>
                      <w:color w:val="auto"/>
                      <w:sz w:val="18"/>
                      <w:szCs w:val="18"/>
                      <w:lang w:val="en-US" w:eastAsia="zh-CN"/>
                    </w:rPr>
                    <w:t>1#刷漆房DA001排气筒</w:t>
                  </w:r>
                </w:p>
              </w:tc>
              <w:tc>
                <w:tcPr>
                  <w:tcW w:w="1011" w:type="dxa"/>
                  <w:vAlign w:val="center"/>
                </w:tcPr>
                <w:p w14:paraId="7DA8A8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31" w:type="dxa"/>
                  <w:vAlign w:val="center"/>
                </w:tcPr>
                <w:p w14:paraId="1F2BD196">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0.0113</w:t>
                  </w:r>
                </w:p>
              </w:tc>
              <w:tc>
                <w:tcPr>
                  <w:tcW w:w="981" w:type="dxa"/>
                  <w:vAlign w:val="center"/>
                </w:tcPr>
                <w:p w14:paraId="1156860D">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0.01507</w:t>
                  </w:r>
                </w:p>
              </w:tc>
              <w:tc>
                <w:tcPr>
                  <w:tcW w:w="656" w:type="dxa"/>
                  <w:vAlign w:val="center"/>
                </w:tcPr>
                <w:p w14:paraId="02C91212">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600</w:t>
                  </w:r>
                </w:p>
              </w:tc>
              <w:tc>
                <w:tcPr>
                  <w:tcW w:w="965" w:type="dxa"/>
                  <w:vAlign w:val="center"/>
                </w:tcPr>
                <w:p w14:paraId="535A8C72">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0.00</w:t>
                  </w:r>
                  <w:r>
                    <w:rPr>
                      <w:rFonts w:hint="eastAsia" w:cs="Times New Roman"/>
                      <w:i w:val="0"/>
                      <w:iCs w:val="0"/>
                      <w:color w:val="000000"/>
                      <w:kern w:val="0"/>
                      <w:sz w:val="18"/>
                      <w:szCs w:val="18"/>
                      <w:u w:val="none"/>
                      <w:lang w:val="en-US" w:eastAsia="zh-CN" w:bidi="ar"/>
                    </w:rPr>
                    <w:t>9</w:t>
                  </w:r>
                </w:p>
              </w:tc>
              <w:tc>
                <w:tcPr>
                  <w:tcW w:w="939" w:type="dxa"/>
                  <w:vAlign w:val="center"/>
                </w:tcPr>
                <w:p w14:paraId="0B9CA551">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9</w:t>
                  </w:r>
                  <w:r>
                    <w:rPr>
                      <w:rFonts w:hint="eastAsia" w:cs="Times New Roman"/>
                      <w:i w:val="0"/>
                      <w:iCs w:val="0"/>
                      <w:color w:val="000000"/>
                      <w:kern w:val="0"/>
                      <w:sz w:val="18"/>
                      <w:szCs w:val="18"/>
                      <w:u w:val="none"/>
                      <w:lang w:val="en-US" w:eastAsia="zh-CN" w:bidi="ar"/>
                    </w:rPr>
                    <w:t>8</w:t>
                  </w:r>
                </w:p>
              </w:tc>
              <w:tc>
                <w:tcPr>
                  <w:tcW w:w="950" w:type="dxa"/>
                  <w:vAlign w:val="center"/>
                </w:tcPr>
                <w:p w14:paraId="102579D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0.031</w:t>
                  </w:r>
                </w:p>
              </w:tc>
              <w:tc>
                <w:tcPr>
                  <w:tcW w:w="945" w:type="dxa"/>
                  <w:vAlign w:val="center"/>
                </w:tcPr>
                <w:p w14:paraId="5C3B55AB">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0.0006</w:t>
                  </w:r>
                </w:p>
              </w:tc>
            </w:tr>
            <w:tr w14:paraId="0BC984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5" w:type="dxa"/>
                  <w:vAlign w:val="center"/>
                </w:tcPr>
                <w:p w14:paraId="13BE964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olor w:val="auto"/>
                      <w:sz w:val="18"/>
                      <w:szCs w:val="18"/>
                      <w:lang w:val="en-US" w:eastAsia="zh-CN"/>
                    </w:rPr>
                    <w:t>2#刷漆房DA002排气筒</w:t>
                  </w:r>
                </w:p>
              </w:tc>
              <w:tc>
                <w:tcPr>
                  <w:tcW w:w="1011" w:type="dxa"/>
                  <w:vAlign w:val="center"/>
                </w:tcPr>
                <w:p w14:paraId="0067161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31" w:type="dxa"/>
                  <w:vAlign w:val="center"/>
                </w:tcPr>
                <w:p w14:paraId="6636AE66">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0.00546</w:t>
                  </w:r>
                </w:p>
              </w:tc>
              <w:tc>
                <w:tcPr>
                  <w:tcW w:w="981" w:type="dxa"/>
                  <w:vAlign w:val="center"/>
                </w:tcPr>
                <w:p w14:paraId="74ED226C">
                  <w:pPr>
                    <w:keepNext w:val="0"/>
                    <w:keepLines w:val="0"/>
                    <w:widowControl/>
                    <w:suppressLineNumbers w:val="0"/>
                    <w:jc w:val="center"/>
                    <w:textAlignment w:val="center"/>
                    <w:rPr>
                      <w:rFonts w:hint="default"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0.00728</w:t>
                  </w:r>
                </w:p>
              </w:tc>
              <w:tc>
                <w:tcPr>
                  <w:tcW w:w="656" w:type="dxa"/>
                  <w:vAlign w:val="center"/>
                </w:tcPr>
                <w:p w14:paraId="43C53EEC">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600</w:t>
                  </w:r>
                </w:p>
              </w:tc>
              <w:tc>
                <w:tcPr>
                  <w:tcW w:w="965" w:type="dxa"/>
                  <w:vAlign w:val="center"/>
                </w:tcPr>
                <w:p w14:paraId="78A3A9E2">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w:t>
                  </w:r>
                  <w:r>
                    <w:rPr>
                      <w:rFonts w:hint="eastAsia" w:cs="Times New Roman"/>
                      <w:i w:val="0"/>
                      <w:iCs w:val="0"/>
                      <w:color w:val="000000"/>
                      <w:kern w:val="0"/>
                      <w:sz w:val="18"/>
                      <w:szCs w:val="18"/>
                      <w:u w:val="none"/>
                      <w:lang w:val="en-US" w:eastAsia="zh-CN" w:bidi="ar"/>
                    </w:rPr>
                    <w:t>04</w:t>
                  </w:r>
                </w:p>
              </w:tc>
              <w:tc>
                <w:tcPr>
                  <w:tcW w:w="939" w:type="dxa"/>
                  <w:vAlign w:val="center"/>
                </w:tcPr>
                <w:p w14:paraId="01B79D83">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9</w:t>
                  </w:r>
                  <w:r>
                    <w:rPr>
                      <w:rFonts w:hint="eastAsia" w:cs="Times New Roman"/>
                      <w:i w:val="0"/>
                      <w:iCs w:val="0"/>
                      <w:color w:val="000000"/>
                      <w:kern w:val="0"/>
                      <w:sz w:val="18"/>
                      <w:szCs w:val="18"/>
                      <w:u w:val="none"/>
                      <w:lang w:val="en-US" w:eastAsia="zh-CN" w:bidi="ar"/>
                    </w:rPr>
                    <w:t>8</w:t>
                  </w:r>
                </w:p>
              </w:tc>
              <w:tc>
                <w:tcPr>
                  <w:tcW w:w="950" w:type="dxa"/>
                  <w:vAlign w:val="center"/>
                </w:tcPr>
                <w:p w14:paraId="093AEEB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0.014</w:t>
                  </w:r>
                </w:p>
              </w:tc>
              <w:tc>
                <w:tcPr>
                  <w:tcW w:w="945" w:type="dxa"/>
                  <w:vAlign w:val="center"/>
                </w:tcPr>
                <w:p w14:paraId="08CB87F4">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0.0003</w:t>
                  </w:r>
                </w:p>
              </w:tc>
            </w:tr>
            <w:tr w14:paraId="157A3A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5" w:type="dxa"/>
                  <w:vAlign w:val="center"/>
                </w:tcPr>
                <w:p w14:paraId="0D1C12C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下料、开孔工序</w:t>
                  </w:r>
                </w:p>
              </w:tc>
              <w:tc>
                <w:tcPr>
                  <w:tcW w:w="1011" w:type="dxa"/>
                  <w:vAlign w:val="center"/>
                </w:tcPr>
                <w:p w14:paraId="369D910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颗粒物</w:t>
                  </w:r>
                </w:p>
              </w:tc>
              <w:tc>
                <w:tcPr>
                  <w:tcW w:w="931" w:type="dxa"/>
                  <w:vAlign w:val="center"/>
                </w:tcPr>
                <w:p w14:paraId="51828FFB">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w:t>
                  </w:r>
                </w:p>
              </w:tc>
              <w:tc>
                <w:tcPr>
                  <w:tcW w:w="981" w:type="dxa"/>
                  <w:vAlign w:val="center"/>
                </w:tcPr>
                <w:p w14:paraId="714B6C94">
                  <w:pPr>
                    <w:keepNext w:val="0"/>
                    <w:keepLines w:val="0"/>
                    <w:widowControl/>
                    <w:suppressLineNumbers w:val="0"/>
                    <w:jc w:val="center"/>
                    <w:textAlignment w:val="center"/>
                    <w:rPr>
                      <w:rFonts w:hint="eastAsia" w:ascii="Times New Roman" w:hAnsi="Times New Roman" w:cs="Times New Roman"/>
                      <w:bCs/>
                      <w:color w:val="000000"/>
                      <w:sz w:val="18"/>
                      <w:szCs w:val="18"/>
                      <w:vertAlign w:val="baseline"/>
                      <w:lang w:val="en-US" w:eastAsia="zh-CN"/>
                    </w:rPr>
                  </w:pPr>
                  <w:r>
                    <w:rPr>
                      <w:rFonts w:hint="eastAsia" w:cs="Times New Roman"/>
                      <w:i w:val="0"/>
                      <w:iCs w:val="0"/>
                      <w:color w:val="000000"/>
                      <w:kern w:val="0"/>
                      <w:sz w:val="18"/>
                      <w:szCs w:val="18"/>
                      <w:u w:val="none"/>
                      <w:lang w:val="en-US" w:eastAsia="zh-CN" w:bidi="ar"/>
                    </w:rPr>
                    <w:t>-</w:t>
                  </w:r>
                </w:p>
              </w:tc>
              <w:tc>
                <w:tcPr>
                  <w:tcW w:w="656" w:type="dxa"/>
                  <w:vAlign w:val="center"/>
                </w:tcPr>
                <w:p w14:paraId="4E6F324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bCs/>
                      <w:color w:val="000000"/>
                      <w:sz w:val="18"/>
                      <w:szCs w:val="18"/>
                      <w:vertAlign w:val="baseline"/>
                      <w:lang w:val="en-US" w:eastAsia="zh-CN"/>
                    </w:rPr>
                    <w:t>-</w:t>
                  </w:r>
                </w:p>
              </w:tc>
              <w:tc>
                <w:tcPr>
                  <w:tcW w:w="965" w:type="dxa"/>
                  <w:vAlign w:val="center"/>
                </w:tcPr>
                <w:p w14:paraId="65AF2CE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39" w:type="dxa"/>
                  <w:vAlign w:val="center"/>
                </w:tcPr>
                <w:p w14:paraId="3F22908C">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50" w:type="dxa"/>
                  <w:vAlign w:val="center"/>
                </w:tcPr>
                <w:p w14:paraId="21860E7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5" w:type="dxa"/>
                  <w:vAlign w:val="center"/>
                </w:tcPr>
                <w:p w14:paraId="65ECE457">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w:t>
                  </w:r>
                </w:p>
              </w:tc>
            </w:tr>
            <w:tr w14:paraId="74677D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5" w:type="dxa"/>
                  <w:vAlign w:val="center"/>
                </w:tcPr>
                <w:p w14:paraId="58F64D3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焊接工序</w:t>
                  </w:r>
                </w:p>
              </w:tc>
              <w:tc>
                <w:tcPr>
                  <w:tcW w:w="1011" w:type="dxa"/>
                  <w:vAlign w:val="center"/>
                </w:tcPr>
                <w:p w14:paraId="68D6EC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颗粒物</w:t>
                  </w:r>
                </w:p>
              </w:tc>
              <w:tc>
                <w:tcPr>
                  <w:tcW w:w="931" w:type="dxa"/>
                  <w:vAlign w:val="center"/>
                </w:tcPr>
                <w:p w14:paraId="46EBE3F9">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w:t>
                  </w:r>
                </w:p>
              </w:tc>
              <w:tc>
                <w:tcPr>
                  <w:tcW w:w="981" w:type="dxa"/>
                  <w:vAlign w:val="center"/>
                </w:tcPr>
                <w:p w14:paraId="727086DD">
                  <w:pPr>
                    <w:keepNext w:val="0"/>
                    <w:keepLines w:val="0"/>
                    <w:widowControl/>
                    <w:suppressLineNumbers w:val="0"/>
                    <w:jc w:val="center"/>
                    <w:textAlignment w:val="center"/>
                    <w:rPr>
                      <w:rFonts w:hint="eastAsia" w:ascii="Times New Roman" w:hAnsi="Times New Roman" w:cs="Times New Roman"/>
                      <w:bCs/>
                      <w:color w:val="000000"/>
                      <w:sz w:val="18"/>
                      <w:szCs w:val="18"/>
                      <w:vertAlign w:val="baseline"/>
                      <w:lang w:val="en-US" w:eastAsia="zh-CN"/>
                    </w:rPr>
                  </w:pPr>
                  <w:r>
                    <w:rPr>
                      <w:rFonts w:hint="eastAsia" w:cs="Times New Roman"/>
                      <w:i w:val="0"/>
                      <w:iCs w:val="0"/>
                      <w:color w:val="000000"/>
                      <w:kern w:val="0"/>
                      <w:sz w:val="18"/>
                      <w:szCs w:val="18"/>
                      <w:u w:val="none"/>
                      <w:lang w:val="en-US" w:eastAsia="zh-CN" w:bidi="ar"/>
                    </w:rPr>
                    <w:t>-</w:t>
                  </w:r>
                </w:p>
              </w:tc>
              <w:tc>
                <w:tcPr>
                  <w:tcW w:w="656" w:type="dxa"/>
                  <w:vAlign w:val="center"/>
                </w:tcPr>
                <w:p w14:paraId="3BAE5E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bCs/>
                      <w:color w:val="000000"/>
                      <w:sz w:val="18"/>
                      <w:szCs w:val="18"/>
                      <w:vertAlign w:val="baseline"/>
                      <w:lang w:val="en-US" w:eastAsia="zh-CN"/>
                    </w:rPr>
                    <w:t>-</w:t>
                  </w:r>
                </w:p>
              </w:tc>
              <w:tc>
                <w:tcPr>
                  <w:tcW w:w="965" w:type="dxa"/>
                  <w:vAlign w:val="center"/>
                </w:tcPr>
                <w:p w14:paraId="44B14A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39" w:type="dxa"/>
                  <w:vAlign w:val="center"/>
                </w:tcPr>
                <w:p w14:paraId="6100262A">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50" w:type="dxa"/>
                  <w:vAlign w:val="center"/>
                </w:tcPr>
                <w:p w14:paraId="3FD263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0.022</w:t>
                  </w:r>
                </w:p>
              </w:tc>
              <w:tc>
                <w:tcPr>
                  <w:tcW w:w="945" w:type="dxa"/>
                  <w:vAlign w:val="center"/>
                </w:tcPr>
                <w:p w14:paraId="4677A0AB">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0.00</w:t>
                  </w:r>
                  <w:r>
                    <w:rPr>
                      <w:rFonts w:hint="eastAsia" w:cs="Times New Roman"/>
                      <w:i w:val="0"/>
                      <w:iCs w:val="0"/>
                      <w:color w:val="000000"/>
                      <w:kern w:val="0"/>
                      <w:sz w:val="18"/>
                      <w:szCs w:val="18"/>
                      <w:u w:val="none"/>
                      <w:lang w:val="en-US" w:eastAsia="zh-CN" w:bidi="ar"/>
                    </w:rPr>
                    <w:t>8</w:t>
                  </w:r>
                </w:p>
              </w:tc>
            </w:tr>
            <w:tr w14:paraId="10A7C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5" w:type="dxa"/>
                  <w:vMerge w:val="restart"/>
                  <w:vAlign w:val="center"/>
                </w:tcPr>
                <w:p w14:paraId="5ED74A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小计</w:t>
                  </w:r>
                </w:p>
              </w:tc>
              <w:tc>
                <w:tcPr>
                  <w:tcW w:w="1011" w:type="dxa"/>
                  <w:vAlign w:val="center"/>
                </w:tcPr>
                <w:p w14:paraId="1F71D0C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default" w:ascii="Times New Roman" w:hAnsi="Times New Roman" w:cs="Times New Roman"/>
                      <w:bCs/>
                      <w:color w:val="000000"/>
                      <w:sz w:val="18"/>
                      <w:szCs w:val="18"/>
                      <w:vertAlign w:val="baseline"/>
                      <w:lang w:val="en-US" w:eastAsia="zh-CN"/>
                    </w:rPr>
                    <w:t>颗粒物</w:t>
                  </w:r>
                </w:p>
              </w:tc>
              <w:tc>
                <w:tcPr>
                  <w:tcW w:w="931" w:type="dxa"/>
                  <w:vAlign w:val="center"/>
                </w:tcPr>
                <w:p w14:paraId="69844F9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w:t>
                  </w:r>
                </w:p>
              </w:tc>
              <w:tc>
                <w:tcPr>
                  <w:tcW w:w="981" w:type="dxa"/>
                  <w:vAlign w:val="center"/>
                </w:tcPr>
                <w:p w14:paraId="3E834F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18"/>
                      <w:szCs w:val="18"/>
                      <w:lang w:val="en-US" w:eastAsia="zh-CN"/>
                    </w:rPr>
                  </w:pPr>
                  <w:r>
                    <w:rPr>
                      <w:rFonts w:hint="eastAsia" w:cs="Times New Roman"/>
                      <w:i w:val="0"/>
                      <w:iCs w:val="0"/>
                      <w:color w:val="000000"/>
                      <w:kern w:val="0"/>
                      <w:sz w:val="18"/>
                      <w:szCs w:val="18"/>
                      <w:u w:val="none"/>
                      <w:lang w:val="en-US" w:eastAsia="zh-CN" w:bidi="ar"/>
                    </w:rPr>
                    <w:t>-</w:t>
                  </w:r>
                </w:p>
              </w:tc>
              <w:tc>
                <w:tcPr>
                  <w:tcW w:w="656" w:type="dxa"/>
                  <w:vAlign w:val="center"/>
                </w:tcPr>
                <w:p w14:paraId="1E9F7AB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w:t>
                  </w:r>
                </w:p>
              </w:tc>
              <w:tc>
                <w:tcPr>
                  <w:tcW w:w="965" w:type="dxa"/>
                  <w:vAlign w:val="center"/>
                </w:tcPr>
                <w:p w14:paraId="12F2F6D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39" w:type="dxa"/>
                  <w:vAlign w:val="center"/>
                </w:tcPr>
                <w:p w14:paraId="7342D06D">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50" w:type="dxa"/>
                  <w:vAlign w:val="center"/>
                </w:tcPr>
                <w:p w14:paraId="0AA4A35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5" w:type="dxa"/>
                  <w:vAlign w:val="center"/>
                </w:tcPr>
                <w:p w14:paraId="452D691D">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0.</w:t>
                  </w:r>
                  <w:r>
                    <w:rPr>
                      <w:rFonts w:hint="eastAsia" w:cs="Times New Roman"/>
                      <w:i w:val="0"/>
                      <w:iCs w:val="0"/>
                      <w:color w:val="000000"/>
                      <w:kern w:val="0"/>
                      <w:sz w:val="18"/>
                      <w:szCs w:val="18"/>
                      <w:u w:val="none"/>
                      <w:lang w:val="en-US" w:eastAsia="zh-CN" w:bidi="ar"/>
                    </w:rPr>
                    <w:t>008</w:t>
                  </w:r>
                </w:p>
              </w:tc>
            </w:tr>
            <w:tr w14:paraId="28CE4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5" w:type="dxa"/>
                  <w:vMerge w:val="continue"/>
                  <w:vAlign w:val="center"/>
                </w:tcPr>
                <w:p w14:paraId="3B6462F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1011" w:type="dxa"/>
                  <w:vAlign w:val="center"/>
                </w:tcPr>
                <w:p w14:paraId="789B922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sz w:val="18"/>
                      <w:szCs w:val="18"/>
                      <w:vertAlign w:val="baseline"/>
                      <w:lang w:val="en-US" w:eastAsia="zh-CN"/>
                    </w:rPr>
                    <w:t>VOCs</w:t>
                  </w:r>
                </w:p>
              </w:tc>
              <w:tc>
                <w:tcPr>
                  <w:tcW w:w="931" w:type="dxa"/>
                  <w:vAlign w:val="center"/>
                </w:tcPr>
                <w:p w14:paraId="0CD0194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w:t>
                  </w:r>
                </w:p>
              </w:tc>
              <w:tc>
                <w:tcPr>
                  <w:tcW w:w="981" w:type="dxa"/>
                  <w:vAlign w:val="center"/>
                </w:tcPr>
                <w:p w14:paraId="6B21C64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18"/>
                      <w:szCs w:val="18"/>
                      <w:lang w:val="en-US" w:eastAsia="zh-CN"/>
                    </w:rPr>
                  </w:pPr>
                  <w:r>
                    <w:rPr>
                      <w:rFonts w:hint="eastAsia" w:cs="Times New Roman"/>
                      <w:i w:val="0"/>
                      <w:iCs w:val="0"/>
                      <w:color w:val="000000"/>
                      <w:kern w:val="0"/>
                      <w:sz w:val="18"/>
                      <w:szCs w:val="18"/>
                      <w:u w:val="none"/>
                      <w:lang w:val="en-US" w:eastAsia="zh-CN" w:bidi="ar"/>
                    </w:rPr>
                    <w:t>-</w:t>
                  </w:r>
                </w:p>
              </w:tc>
              <w:tc>
                <w:tcPr>
                  <w:tcW w:w="656" w:type="dxa"/>
                  <w:vAlign w:val="center"/>
                </w:tcPr>
                <w:p w14:paraId="555BEF9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w:t>
                  </w:r>
                </w:p>
              </w:tc>
              <w:tc>
                <w:tcPr>
                  <w:tcW w:w="965" w:type="dxa"/>
                  <w:vAlign w:val="center"/>
                </w:tcPr>
                <w:p w14:paraId="410EDC6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0.013</w:t>
                  </w:r>
                </w:p>
              </w:tc>
              <w:tc>
                <w:tcPr>
                  <w:tcW w:w="939" w:type="dxa"/>
                  <w:vAlign w:val="center"/>
                </w:tcPr>
                <w:p w14:paraId="5C663C79">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50" w:type="dxa"/>
                  <w:vAlign w:val="center"/>
                </w:tcPr>
                <w:p w14:paraId="10329CE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5" w:type="dxa"/>
                  <w:vAlign w:val="center"/>
                </w:tcPr>
                <w:p w14:paraId="76EB3F48">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0.</w:t>
                  </w:r>
                  <w:r>
                    <w:rPr>
                      <w:rFonts w:hint="eastAsia" w:cs="Times New Roman"/>
                      <w:i w:val="0"/>
                      <w:iCs w:val="0"/>
                      <w:color w:val="000000"/>
                      <w:kern w:val="0"/>
                      <w:sz w:val="18"/>
                      <w:szCs w:val="18"/>
                      <w:u w:val="none"/>
                      <w:lang w:val="en-US" w:eastAsia="zh-CN" w:bidi="ar"/>
                    </w:rPr>
                    <w:t>0009</w:t>
                  </w:r>
                </w:p>
              </w:tc>
            </w:tr>
            <w:tr w14:paraId="7EC387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5" w:type="dxa"/>
                  <w:vMerge w:val="continue"/>
                  <w:vAlign w:val="center"/>
                </w:tcPr>
                <w:p w14:paraId="5A7E819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1011" w:type="dxa"/>
                  <w:vAlign w:val="center"/>
                </w:tcPr>
                <w:p w14:paraId="164CE6C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sz w:val="18"/>
                      <w:szCs w:val="18"/>
                      <w:vertAlign w:val="baseline"/>
                      <w:lang w:val="en-US" w:eastAsia="zh-CN"/>
                    </w:rPr>
                    <w:t>苯</w:t>
                  </w:r>
                </w:p>
              </w:tc>
              <w:tc>
                <w:tcPr>
                  <w:tcW w:w="931" w:type="dxa"/>
                  <w:vAlign w:val="center"/>
                </w:tcPr>
                <w:p w14:paraId="414DFC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w:t>
                  </w:r>
                </w:p>
              </w:tc>
              <w:tc>
                <w:tcPr>
                  <w:tcW w:w="981" w:type="dxa"/>
                  <w:vAlign w:val="center"/>
                </w:tcPr>
                <w:p w14:paraId="6986001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18"/>
                      <w:szCs w:val="18"/>
                      <w:lang w:val="en-US" w:eastAsia="zh-CN"/>
                    </w:rPr>
                  </w:pPr>
                  <w:r>
                    <w:rPr>
                      <w:rFonts w:hint="eastAsia" w:cs="Times New Roman"/>
                      <w:i w:val="0"/>
                      <w:iCs w:val="0"/>
                      <w:color w:val="000000"/>
                      <w:kern w:val="0"/>
                      <w:sz w:val="18"/>
                      <w:szCs w:val="18"/>
                      <w:u w:val="none"/>
                      <w:lang w:val="en-US" w:eastAsia="zh-CN" w:bidi="ar"/>
                    </w:rPr>
                    <w:t>-</w:t>
                  </w:r>
                </w:p>
              </w:tc>
              <w:tc>
                <w:tcPr>
                  <w:tcW w:w="656" w:type="dxa"/>
                  <w:vAlign w:val="center"/>
                </w:tcPr>
                <w:p w14:paraId="0C5F4CA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lang w:val="en-US" w:eastAsia="zh-CN"/>
                    </w:rPr>
                  </w:pPr>
                  <w:r>
                    <w:rPr>
                      <w:rFonts w:hint="eastAsia" w:ascii="Times New Roman" w:hAnsi="Times New Roman" w:cs="Times New Roman"/>
                      <w:color w:val="auto"/>
                      <w:sz w:val="18"/>
                      <w:szCs w:val="18"/>
                      <w:lang w:val="en-US" w:eastAsia="zh-CN"/>
                    </w:rPr>
                    <w:t>-</w:t>
                  </w:r>
                </w:p>
              </w:tc>
              <w:tc>
                <w:tcPr>
                  <w:tcW w:w="965" w:type="dxa"/>
                  <w:vAlign w:val="center"/>
                </w:tcPr>
                <w:p w14:paraId="4286367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939" w:type="dxa"/>
                  <w:vAlign w:val="center"/>
                </w:tcPr>
                <w:p w14:paraId="0F31C006">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50" w:type="dxa"/>
                  <w:vAlign w:val="center"/>
                </w:tcPr>
                <w:p w14:paraId="47913E7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5" w:type="dxa"/>
                  <w:vAlign w:val="center"/>
                </w:tcPr>
                <w:p w14:paraId="2F0ADFFB">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r>
                    <w:rPr>
                      <w:rFonts w:hint="eastAsia" w:cs="Times New Roman"/>
                      <w:i w:val="0"/>
                      <w:iCs w:val="0"/>
                      <w:color w:val="000000"/>
                      <w:kern w:val="0"/>
                      <w:sz w:val="18"/>
                      <w:szCs w:val="18"/>
                      <w:u w:val="none"/>
                      <w:lang w:val="en-US" w:eastAsia="zh-CN" w:bidi="ar"/>
                    </w:rPr>
                    <w:t>微量</w:t>
                  </w:r>
                </w:p>
              </w:tc>
            </w:tr>
            <w:tr w14:paraId="6C772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5" w:type="dxa"/>
                  <w:vMerge w:val="continue"/>
                  <w:vAlign w:val="center"/>
                </w:tcPr>
                <w:p w14:paraId="3DAF5E7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1011" w:type="dxa"/>
                  <w:vAlign w:val="center"/>
                </w:tcPr>
                <w:p w14:paraId="6D4438D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kern w:val="2"/>
                      <w:sz w:val="18"/>
                      <w:szCs w:val="18"/>
                      <w:vertAlign w:val="baseline"/>
                      <w:lang w:val="en-US" w:eastAsia="zh-CN" w:bidi="ar-SA"/>
                    </w:rPr>
                    <w:t>甲苯</w:t>
                  </w:r>
                </w:p>
              </w:tc>
              <w:tc>
                <w:tcPr>
                  <w:tcW w:w="931" w:type="dxa"/>
                  <w:vAlign w:val="center"/>
                </w:tcPr>
                <w:p w14:paraId="4CC7E65A">
                  <w:pPr>
                    <w:keepNext w:val="0"/>
                    <w:keepLines w:val="0"/>
                    <w:widowControl/>
                    <w:suppressLineNumbers w:val="0"/>
                    <w:jc w:val="center"/>
                    <w:textAlignment w:val="center"/>
                    <w:rPr>
                      <w:rFonts w:hint="default"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kern w:val="2"/>
                      <w:sz w:val="18"/>
                      <w:szCs w:val="18"/>
                      <w:vertAlign w:val="baseline"/>
                      <w:lang w:val="en-US" w:eastAsia="zh-CN" w:bidi="ar-SA"/>
                    </w:rPr>
                    <w:t>-</w:t>
                  </w:r>
                </w:p>
              </w:tc>
              <w:tc>
                <w:tcPr>
                  <w:tcW w:w="981" w:type="dxa"/>
                  <w:vAlign w:val="center"/>
                </w:tcPr>
                <w:p w14:paraId="71193C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56" w:type="dxa"/>
                  <w:vAlign w:val="center"/>
                </w:tcPr>
                <w:p w14:paraId="5F978C8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5" w:type="dxa"/>
                  <w:vAlign w:val="center"/>
                </w:tcPr>
                <w:p w14:paraId="51ADECC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939" w:type="dxa"/>
                  <w:vAlign w:val="center"/>
                </w:tcPr>
                <w:p w14:paraId="2EA4B0A2">
                  <w:pPr>
                    <w:keepNext w:val="0"/>
                    <w:keepLines w:val="0"/>
                    <w:widowControl/>
                    <w:suppressLineNumbers w:val="0"/>
                    <w:jc w:val="center"/>
                    <w:textAlignment w:val="center"/>
                    <w:rPr>
                      <w:rFonts w:hint="default"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kern w:val="2"/>
                      <w:sz w:val="18"/>
                      <w:szCs w:val="18"/>
                      <w:vertAlign w:val="baseline"/>
                      <w:lang w:val="en-US" w:eastAsia="zh-CN" w:bidi="ar-SA"/>
                    </w:rPr>
                    <w:t>-</w:t>
                  </w:r>
                </w:p>
              </w:tc>
              <w:tc>
                <w:tcPr>
                  <w:tcW w:w="950" w:type="dxa"/>
                  <w:vAlign w:val="center"/>
                </w:tcPr>
                <w:p w14:paraId="5BEBC6F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5" w:type="dxa"/>
                  <w:vAlign w:val="center"/>
                </w:tcPr>
                <w:p w14:paraId="3F47C49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r>
            <w:tr w14:paraId="5850E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5" w:type="dxa"/>
                  <w:vMerge w:val="continue"/>
                  <w:vAlign w:val="center"/>
                </w:tcPr>
                <w:p w14:paraId="3470896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1011" w:type="dxa"/>
                  <w:vAlign w:val="center"/>
                </w:tcPr>
                <w:p w14:paraId="6D63FB4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kern w:val="2"/>
                      <w:sz w:val="18"/>
                      <w:szCs w:val="18"/>
                      <w:vertAlign w:val="baseline"/>
                      <w:lang w:val="en-US" w:eastAsia="zh-CN" w:bidi="ar-SA"/>
                    </w:rPr>
                    <w:t>二甲苯</w:t>
                  </w:r>
                </w:p>
              </w:tc>
              <w:tc>
                <w:tcPr>
                  <w:tcW w:w="931" w:type="dxa"/>
                  <w:vAlign w:val="center"/>
                </w:tcPr>
                <w:p w14:paraId="413CC5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w:t>
                  </w:r>
                </w:p>
              </w:tc>
              <w:tc>
                <w:tcPr>
                  <w:tcW w:w="981" w:type="dxa"/>
                  <w:vAlign w:val="center"/>
                </w:tcPr>
                <w:p w14:paraId="6553212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Cs/>
                      <w:color w:val="000000"/>
                      <w:sz w:val="18"/>
                      <w:szCs w:val="18"/>
                      <w:vertAlign w:val="baseline"/>
                      <w:lang w:val="en-US" w:eastAsia="zh-CN"/>
                    </w:rPr>
                  </w:pPr>
                  <w:r>
                    <w:rPr>
                      <w:rFonts w:hint="eastAsia" w:cs="Times New Roman"/>
                      <w:i w:val="0"/>
                      <w:iCs w:val="0"/>
                      <w:color w:val="000000"/>
                      <w:kern w:val="0"/>
                      <w:sz w:val="18"/>
                      <w:szCs w:val="18"/>
                      <w:u w:val="none"/>
                      <w:lang w:val="en-US" w:eastAsia="zh-CN" w:bidi="ar"/>
                    </w:rPr>
                    <w:t>-</w:t>
                  </w:r>
                </w:p>
              </w:tc>
              <w:tc>
                <w:tcPr>
                  <w:tcW w:w="656" w:type="dxa"/>
                  <w:vAlign w:val="center"/>
                </w:tcPr>
                <w:p w14:paraId="4A8E3E5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color w:val="auto"/>
                      <w:sz w:val="18"/>
                      <w:szCs w:val="18"/>
                      <w:lang w:val="en-US" w:eastAsia="zh-CN"/>
                    </w:rPr>
                  </w:pPr>
                  <w:r>
                    <w:rPr>
                      <w:rFonts w:hint="eastAsia" w:ascii="Times New Roman" w:hAnsi="Times New Roman" w:cs="Times New Roman"/>
                      <w:bCs/>
                      <w:color w:val="000000"/>
                      <w:sz w:val="18"/>
                      <w:szCs w:val="18"/>
                      <w:vertAlign w:val="baseline"/>
                      <w:lang w:val="en-US" w:eastAsia="zh-CN"/>
                    </w:rPr>
                    <w:t>-</w:t>
                  </w:r>
                </w:p>
              </w:tc>
              <w:tc>
                <w:tcPr>
                  <w:tcW w:w="965" w:type="dxa"/>
                  <w:vAlign w:val="center"/>
                </w:tcPr>
                <w:p w14:paraId="76B971F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939" w:type="dxa"/>
                  <w:vAlign w:val="center"/>
                </w:tcPr>
                <w:p w14:paraId="1A3B980D">
                  <w:pPr>
                    <w:keepNext w:val="0"/>
                    <w:keepLines w:val="0"/>
                    <w:widowControl/>
                    <w:suppressLineNumbers w:val="0"/>
                    <w:jc w:val="center"/>
                    <w:textAlignment w:val="center"/>
                    <w:rPr>
                      <w:rFonts w:hint="eastAsia" w:ascii="Times New Roman" w:hAnsi="Times New Roman" w:cs="Times New Roman"/>
                      <w:bCs/>
                      <w:color w:val="000000"/>
                      <w:sz w:val="18"/>
                      <w:szCs w:val="18"/>
                      <w:vertAlign w:val="baseline"/>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50" w:type="dxa"/>
                  <w:vAlign w:val="center"/>
                </w:tcPr>
                <w:p w14:paraId="02FFF9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5" w:type="dxa"/>
                  <w:vAlign w:val="center"/>
                </w:tcPr>
                <w:p w14:paraId="5D40002A">
                  <w:pPr>
                    <w:keepNext w:val="0"/>
                    <w:keepLines w:val="0"/>
                    <w:widowControl/>
                    <w:suppressLineNumbers w:val="0"/>
                    <w:jc w:val="center"/>
                    <w:textAlignment w:val="center"/>
                    <w:rPr>
                      <w:rFonts w:hint="eastAsia" w:ascii="Times New Roman" w:hAnsi="Times New Roman" w:cs="Times New Roman"/>
                      <w:bCs/>
                      <w:color w:val="000000"/>
                      <w:sz w:val="18"/>
                      <w:szCs w:val="18"/>
                      <w:vertAlign w:val="baseline"/>
                      <w:lang w:val="en-US" w:eastAsia="zh-CN"/>
                    </w:rPr>
                  </w:pPr>
                  <w:r>
                    <w:rPr>
                      <w:rFonts w:hint="eastAsia" w:cs="Times New Roman"/>
                      <w:i w:val="0"/>
                      <w:iCs w:val="0"/>
                      <w:color w:val="000000"/>
                      <w:kern w:val="0"/>
                      <w:sz w:val="18"/>
                      <w:szCs w:val="18"/>
                      <w:u w:val="none"/>
                      <w:lang w:val="en-US" w:eastAsia="zh-CN" w:bidi="ar"/>
                    </w:rPr>
                    <w:t>微量</w:t>
                  </w:r>
                </w:p>
              </w:tc>
            </w:tr>
          </w:tbl>
          <w:p w14:paraId="39CF579A">
            <w:pPr>
              <w:spacing w:line="360" w:lineRule="auto"/>
              <w:ind w:firstLine="361" w:firstLineChars="200"/>
              <w:jc w:val="left"/>
              <w:rPr>
                <w:rFonts w:hint="eastAsia" w:ascii="Times New Roman" w:hAnsi="Times New Roman" w:cs="Times New Roman"/>
                <w:b/>
                <w:bCs w:val="0"/>
                <w:color w:val="000000"/>
                <w:sz w:val="18"/>
                <w:szCs w:val="18"/>
                <w:lang w:val="en-US" w:eastAsia="zh-CN"/>
              </w:rPr>
            </w:pPr>
            <w:r>
              <w:rPr>
                <w:rFonts w:hint="eastAsia" w:cs="Times New Roman"/>
                <w:b/>
                <w:bCs w:val="0"/>
                <w:color w:val="000000"/>
                <w:sz w:val="18"/>
                <w:szCs w:val="18"/>
                <w:lang w:val="en-US" w:eastAsia="zh-CN"/>
              </w:rPr>
              <w:t>注：部分浓度未检出污染物，排放浓度按检出限一半计算，检测时工况负荷为75%。</w:t>
            </w:r>
          </w:p>
          <w:p w14:paraId="05BB3826">
            <w:pPr>
              <w:pStyle w:val="3"/>
              <w:spacing w:after="0" w:line="360" w:lineRule="auto"/>
              <w:ind w:left="0" w:leftChars="0" w:firstLine="420" w:firstLineChars="200"/>
              <w:rPr>
                <w:sz w:val="21"/>
                <w:szCs w:val="16"/>
              </w:rPr>
            </w:pPr>
            <w:r>
              <w:rPr>
                <w:sz w:val="21"/>
                <w:szCs w:val="16"/>
              </w:rPr>
              <w:t>2、废水</w:t>
            </w:r>
          </w:p>
          <w:p w14:paraId="518DA439">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jc w:val="both"/>
              <w:textAlignment w:val="auto"/>
              <w:outlineLvl w:val="9"/>
              <w:rPr>
                <w:rFonts w:hint="default"/>
                <w:color w:val="auto"/>
                <w:sz w:val="21"/>
                <w:szCs w:val="21"/>
                <w:highlight w:val="none"/>
              </w:rPr>
            </w:pPr>
            <w:r>
              <w:rPr>
                <w:rFonts w:hint="eastAsia"/>
                <w:sz w:val="21"/>
                <w:szCs w:val="21"/>
                <w:highlight w:val="none"/>
                <w:lang w:eastAsia="zh-CN"/>
              </w:rPr>
              <w:t>现有</w:t>
            </w:r>
            <w:r>
              <w:rPr>
                <w:rFonts w:hint="eastAsia"/>
                <w:sz w:val="21"/>
                <w:szCs w:val="21"/>
                <w:highlight w:val="none"/>
              </w:rPr>
              <w:t>项目生产</w:t>
            </w:r>
            <w:r>
              <w:rPr>
                <w:rFonts w:hint="eastAsia"/>
                <w:sz w:val="21"/>
                <w:szCs w:val="21"/>
                <w:highlight w:val="none"/>
                <w:lang w:eastAsia="zh-CN"/>
              </w:rPr>
              <w:t>过程</w:t>
            </w:r>
            <w:r>
              <w:rPr>
                <w:rFonts w:hint="eastAsia"/>
                <w:sz w:val="21"/>
                <w:szCs w:val="21"/>
                <w:highlight w:val="none"/>
              </w:rPr>
              <w:t>无废水产生</w:t>
            </w:r>
            <w:r>
              <w:rPr>
                <w:rFonts w:hint="eastAsia"/>
                <w:color w:val="000000"/>
                <w:sz w:val="21"/>
                <w:szCs w:val="21"/>
                <w:highlight w:val="none"/>
                <w:lang w:eastAsia="zh-CN"/>
              </w:rPr>
              <w:t>；根据现有项目建设项目环境影响后评价报告，现有项目生活污水</w:t>
            </w:r>
            <w:r>
              <w:rPr>
                <w:rFonts w:hint="eastAsia"/>
                <w:color w:val="000000"/>
                <w:sz w:val="21"/>
                <w:szCs w:val="21"/>
                <w:highlight w:val="none"/>
                <w:lang w:val="en-US" w:eastAsia="zh-CN"/>
              </w:rPr>
              <w:t>产生量为151</w:t>
            </w:r>
            <w:r>
              <w:rPr>
                <w:color w:val="000000"/>
                <w:sz w:val="21"/>
                <w:szCs w:val="21"/>
                <w:highlight w:val="none"/>
              </w:rPr>
              <w:t>m</w:t>
            </w:r>
            <w:r>
              <w:rPr>
                <w:color w:val="000000"/>
                <w:sz w:val="21"/>
                <w:szCs w:val="21"/>
                <w:highlight w:val="none"/>
                <w:vertAlign w:val="superscript"/>
              </w:rPr>
              <w:t>3</w:t>
            </w:r>
            <w:r>
              <w:rPr>
                <w:rFonts w:hint="eastAsia"/>
                <w:color w:val="000000"/>
                <w:sz w:val="21"/>
                <w:szCs w:val="21"/>
                <w:highlight w:val="none"/>
              </w:rPr>
              <w:t>/a</w:t>
            </w:r>
            <w:r>
              <w:rPr>
                <w:rFonts w:hint="eastAsia"/>
                <w:color w:val="000000"/>
                <w:sz w:val="21"/>
                <w:szCs w:val="21"/>
                <w:highlight w:val="none"/>
                <w:lang w:eastAsia="zh-CN"/>
              </w:rPr>
              <w:t>，</w:t>
            </w:r>
            <w:r>
              <w:rPr>
                <w:rFonts w:hint="default"/>
                <w:color w:val="auto"/>
                <w:sz w:val="21"/>
                <w:szCs w:val="21"/>
                <w:highlight w:val="none"/>
              </w:rPr>
              <w:t>经</w:t>
            </w:r>
            <w:r>
              <w:rPr>
                <w:rFonts w:hint="eastAsia"/>
                <w:color w:val="auto"/>
                <w:sz w:val="21"/>
                <w:szCs w:val="21"/>
                <w:highlight w:val="none"/>
                <w:lang w:eastAsia="zh-CN"/>
              </w:rPr>
              <w:t>化粪池处理后排入淄川经济开发区污水管网，进入淄博市利民净化水有限公司深度处理达标后外排孝妇河</w:t>
            </w:r>
            <w:r>
              <w:rPr>
                <w:rFonts w:hint="default"/>
                <w:color w:val="auto"/>
                <w:sz w:val="21"/>
                <w:szCs w:val="21"/>
                <w:highlight w:val="none"/>
              </w:rPr>
              <w:t>。</w:t>
            </w:r>
          </w:p>
          <w:p w14:paraId="3B410645">
            <w:pPr>
              <w:spacing w:line="360" w:lineRule="auto"/>
              <w:ind w:firstLine="420" w:firstLineChars="200"/>
              <w:rPr>
                <w:color w:val="000000"/>
                <w:sz w:val="21"/>
                <w:szCs w:val="21"/>
              </w:rPr>
            </w:pPr>
            <w:r>
              <w:rPr>
                <w:rFonts w:hint="eastAsia"/>
                <w:color w:val="auto"/>
                <w:sz w:val="21"/>
                <w:szCs w:val="21"/>
                <w:lang w:val="en-US" w:eastAsia="zh-CN"/>
              </w:rPr>
              <w:t>根据山东泰熙安环咨询服务有限公司2025年6月15日出具</w:t>
            </w:r>
            <w:r>
              <w:rPr>
                <w:rFonts w:hint="eastAsia" w:ascii="Times New Roman" w:hAnsi="Times New Roman" w:eastAsia="宋体" w:cs="Times New Roman"/>
                <w:color w:val="auto"/>
                <w:sz w:val="21"/>
                <w:szCs w:val="21"/>
                <w:lang w:val="en-US" w:eastAsia="zh-CN"/>
              </w:rPr>
              <w:t>的</w:t>
            </w:r>
            <w:r>
              <w:rPr>
                <w:rFonts w:hint="eastAsia" w:cs="Times New Roman"/>
                <w:color w:val="auto"/>
                <w:sz w:val="21"/>
                <w:szCs w:val="21"/>
                <w:lang w:val="en-US" w:eastAsia="zh-CN"/>
              </w:rPr>
              <w:t>淄博华鲁供水设备有限公司</w:t>
            </w:r>
            <w:r>
              <w:rPr>
                <w:rFonts w:hint="eastAsia"/>
                <w:color w:val="auto"/>
                <w:sz w:val="21"/>
                <w:szCs w:val="21"/>
                <w:lang w:val="en-US" w:eastAsia="zh-CN"/>
              </w:rPr>
              <w:t>例行检测报告（</w:t>
            </w:r>
            <w:r>
              <w:rPr>
                <w:rFonts w:hint="eastAsia" w:ascii="Times New Roman" w:hAnsi="Times New Roman" w:eastAsia="宋体" w:cs="Times New Roman"/>
                <w:color w:val="auto"/>
                <w:sz w:val="21"/>
                <w:szCs w:val="21"/>
                <w:lang w:val="en-US" w:eastAsia="zh-CN"/>
              </w:rPr>
              <w:t>编号：</w:t>
            </w:r>
            <w:r>
              <w:rPr>
                <w:rFonts w:hint="eastAsia" w:cs="Times New Roman"/>
                <w:color w:val="auto"/>
                <w:sz w:val="21"/>
                <w:szCs w:val="21"/>
                <w:lang w:val="en-US" w:eastAsia="zh-CN"/>
              </w:rPr>
              <w:t>泰熙安环（检）字：2025053006</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数据</w:t>
            </w:r>
            <w:r>
              <w:rPr>
                <w:color w:val="000000"/>
                <w:kern w:val="24"/>
                <w:sz w:val="21"/>
                <w:szCs w:val="21"/>
              </w:rPr>
              <w:t>，</w:t>
            </w:r>
            <w:r>
              <w:rPr>
                <w:color w:val="000000"/>
                <w:sz w:val="21"/>
                <w:szCs w:val="21"/>
              </w:rPr>
              <w:t>废水监测结果见</w:t>
            </w:r>
            <w:r>
              <w:rPr>
                <w:rFonts w:hint="eastAsia"/>
                <w:color w:val="000000"/>
                <w:sz w:val="21"/>
                <w:szCs w:val="21"/>
                <w:lang w:eastAsia="zh-CN"/>
              </w:rPr>
              <w:t>下表</w:t>
            </w:r>
            <w:r>
              <w:rPr>
                <w:color w:val="000000"/>
                <w:sz w:val="21"/>
                <w:szCs w:val="21"/>
              </w:rPr>
              <w:t>。</w:t>
            </w:r>
          </w:p>
          <w:p w14:paraId="15885641">
            <w:pPr>
              <w:jc w:val="center"/>
              <w:rPr>
                <w:color w:val="000000"/>
                <w:sz w:val="21"/>
                <w:szCs w:val="21"/>
              </w:rPr>
            </w:pPr>
            <w:r>
              <w:rPr>
                <w:b/>
                <w:bCs/>
                <w:color w:val="000000"/>
                <w:sz w:val="21"/>
                <w:szCs w:val="21"/>
              </w:rPr>
              <w:t>表</w:t>
            </w:r>
            <w:r>
              <w:rPr>
                <w:rFonts w:hint="eastAsia"/>
                <w:b/>
                <w:bCs/>
                <w:color w:val="000000"/>
                <w:sz w:val="21"/>
                <w:szCs w:val="21"/>
                <w:lang w:val="en-US" w:eastAsia="zh-CN"/>
              </w:rPr>
              <w:t>2</w:t>
            </w:r>
            <w:r>
              <w:rPr>
                <w:b/>
                <w:bCs/>
                <w:color w:val="000000"/>
                <w:sz w:val="21"/>
                <w:szCs w:val="21"/>
              </w:rPr>
              <w:t>-</w:t>
            </w:r>
            <w:r>
              <w:rPr>
                <w:rFonts w:hint="eastAsia"/>
                <w:b/>
                <w:bCs/>
                <w:color w:val="000000"/>
                <w:sz w:val="21"/>
                <w:szCs w:val="21"/>
                <w:lang w:val="en-US" w:eastAsia="zh-CN"/>
              </w:rPr>
              <w:t>24现有项目</w:t>
            </w:r>
            <w:r>
              <w:rPr>
                <w:b/>
                <w:bCs/>
                <w:color w:val="000000"/>
                <w:sz w:val="21"/>
                <w:szCs w:val="21"/>
              </w:rPr>
              <w:t>废水监测结果</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46"/>
              <w:gridCol w:w="1948"/>
              <w:gridCol w:w="2078"/>
              <w:gridCol w:w="1234"/>
              <w:gridCol w:w="8"/>
            </w:tblGrid>
            <w:tr w14:paraId="3DBF6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149" w:type="dxa"/>
                  <w:vMerge w:val="restart"/>
                  <w:tcBorders>
                    <w:top w:val="single" w:color="auto" w:sz="4" w:space="0"/>
                    <w:left w:val="single" w:color="auto" w:sz="4" w:space="0"/>
                    <w:bottom w:val="single" w:color="auto" w:sz="4" w:space="0"/>
                    <w:right w:val="single" w:color="auto" w:sz="4" w:space="0"/>
                  </w:tcBorders>
                  <w:noWrap w:val="0"/>
                  <w:vAlign w:val="center"/>
                </w:tcPr>
                <w:p w14:paraId="3B05E16C">
                  <w:pPr>
                    <w:shd w:val="clear" w:color="auto" w:fill="FFFFFF"/>
                    <w:spacing w:line="360" w:lineRule="auto"/>
                    <w:jc w:val="right"/>
                    <w:rPr>
                      <w:color w:val="000000"/>
                      <w:sz w:val="18"/>
                      <w:szCs w:val="18"/>
                    </w:rPr>
                  </w:pPr>
                  <w:r>
                    <w:rPr>
                      <w:color w:val="000000"/>
                      <w:sz w:val="18"/>
                      <w:szCs w:val="18"/>
                    </w:rPr>
                    <mc:AlternateContent>
                      <mc:Choice Requires="wps">
                        <w:drawing>
                          <wp:anchor distT="0" distB="0" distL="114300" distR="114300" simplePos="0" relativeHeight="251669504" behindDoc="0" locked="0" layoutInCell="1" allowOverlap="1">
                            <wp:simplePos x="0" y="0"/>
                            <wp:positionH relativeFrom="column">
                              <wp:posOffset>-53975</wp:posOffset>
                            </wp:positionH>
                            <wp:positionV relativeFrom="paragraph">
                              <wp:posOffset>12065</wp:posOffset>
                            </wp:positionV>
                            <wp:extent cx="1983105" cy="756285"/>
                            <wp:effectExtent l="1905" t="4445" r="15240" b="20320"/>
                            <wp:wrapNone/>
                            <wp:docPr id="5" name="直接箭头连接符 5"/>
                            <wp:cNvGraphicFramePr/>
                            <a:graphic xmlns:a="http://schemas.openxmlformats.org/drawingml/2006/main">
                              <a:graphicData uri="http://schemas.microsoft.com/office/word/2010/wordprocessingShape">
                                <wps:wsp>
                                  <wps:cNvCnPr/>
                                  <wps:spPr>
                                    <a:xfrm>
                                      <a:off x="0" y="0"/>
                                      <a:ext cx="1983105" cy="756285"/>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4.25pt;margin-top:0.95pt;height:59.55pt;width:156.15pt;z-index:251669504;mso-width-relative:page;mso-height-relative:page;" filled="f" stroked="t" coordsize="21600,21600" o:gfxdata="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TTf731gAAAAgBAAAPAAAAAAAAAAEAIAAAACIAAABkcnMvZG93&#10;bnJldi54bWxQSwECFAAUAAAACACHTuJA4aPcSAICAADxAwAADgAAAAAAAAABACAAAAAlAQAAZHJz&#10;L2Uyb0RvYy54bWxQSwUGAAAAAAYABgBZAQAAmQUAAAAA&#10;">
                            <v:fill on="f" focussize="0,0"/>
                            <v:stroke color="#000000" joinstyle="round"/>
                            <v:imagedata o:title=""/>
                            <o:lock v:ext="edit" aspectratio="f"/>
                          </v:shape>
                        </w:pict>
                      </mc:Fallback>
                    </mc:AlternateContent>
                  </w:r>
                  <w:r>
                    <w:rPr>
                      <w:color w:val="000000"/>
                      <w:sz w:val="18"/>
                      <w:szCs w:val="18"/>
                    </w:rPr>
                    <mc:AlternateContent>
                      <mc:Choice Requires="wps">
                        <w:drawing>
                          <wp:anchor distT="0" distB="0" distL="114300" distR="114300" simplePos="0" relativeHeight="251668480" behindDoc="0" locked="0" layoutInCell="1" allowOverlap="1">
                            <wp:simplePos x="0" y="0"/>
                            <wp:positionH relativeFrom="column">
                              <wp:posOffset>-62230</wp:posOffset>
                            </wp:positionH>
                            <wp:positionV relativeFrom="paragraph">
                              <wp:posOffset>6350</wp:posOffset>
                            </wp:positionV>
                            <wp:extent cx="1991360" cy="254000"/>
                            <wp:effectExtent l="635" t="4445" r="8255" b="8255"/>
                            <wp:wrapNone/>
                            <wp:docPr id="6" name="直接箭头连接符 6"/>
                            <wp:cNvGraphicFramePr/>
                            <a:graphic xmlns:a="http://schemas.openxmlformats.org/drawingml/2006/main">
                              <a:graphicData uri="http://schemas.microsoft.com/office/word/2010/wordprocessingShape">
                                <wps:wsp>
                                  <wps:cNvCnPr/>
                                  <wps:spPr>
                                    <a:xfrm>
                                      <a:off x="0" y="0"/>
                                      <a:ext cx="1991360" cy="254000"/>
                                    </a:xfrm>
                                    <a:prstGeom prst="straightConnector1">
                                      <a:avLst/>
                                    </a:prstGeom>
                                    <a:ln w="9525" cap="flat" cmpd="sng">
                                      <a:solidFill>
                                        <a:srgbClr val="000000"/>
                                      </a:solidFill>
                                      <a:prstDash val="solid"/>
                                      <a:headEnd type="none" w="med" len="med"/>
                                      <a:tailEnd type="none" w="med" len="med"/>
                                    </a:ln>
                                  </wps:spPr>
                                  <wps:bodyPr/>
                                </wps:wsp>
                              </a:graphicData>
                            </a:graphic>
                          </wp:anchor>
                        </w:drawing>
                      </mc:Choice>
                      <mc:Fallback>
                        <w:pict>
                          <v:shape id="_x0000_s1026" o:spid="_x0000_s1026" o:spt="32" type="#_x0000_t32" style="position:absolute;left:0pt;margin-left:-4.9pt;margin-top:0.5pt;height:20pt;width:156.8pt;z-index:251668480;mso-width-relative:page;mso-height-relative:page;" filled="f" stroked="t" coordsize="21600,21600" o:gfxdata="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GD6HpvUAAAABwEAAA8AAAAAAAAAAQAgAAAAIgAAAGRycy9kb3du&#10;cmV2LnhtbFBLAQIUABQAAAAIAIdO4kBMtQEPAwIAAPEDAAAOAAAAAAAAAAEAIAAAACMBAABkcnMv&#10;ZTJvRG9jLnhtbFBLBQYAAAAABgAGAFkBAACYBQAAAAA=&#10;">
                            <v:fill on="f" focussize="0,0"/>
                            <v:stroke color="#000000" joinstyle="round"/>
                            <v:imagedata o:title=""/>
                            <o:lock v:ext="edit" aspectratio="f"/>
                          </v:shape>
                        </w:pict>
                      </mc:Fallback>
                    </mc:AlternateContent>
                  </w:r>
                  <w:r>
                    <w:rPr>
                      <w:color w:val="000000"/>
                      <w:sz w:val="18"/>
                      <w:szCs w:val="18"/>
                    </w:rPr>
                    <w:t>检测点位</w:t>
                  </w:r>
                </w:p>
                <w:p w14:paraId="589EAD38">
                  <w:pPr>
                    <w:shd w:val="clear" w:color="auto" w:fill="FFFFFF"/>
                    <w:spacing w:line="360" w:lineRule="auto"/>
                    <w:jc w:val="center"/>
                    <w:rPr>
                      <w:color w:val="000000"/>
                      <w:sz w:val="18"/>
                      <w:szCs w:val="18"/>
                    </w:rPr>
                  </w:pPr>
                  <w:r>
                    <w:rPr>
                      <w:rFonts w:hint="eastAsia"/>
                      <w:color w:val="000000"/>
                      <w:sz w:val="18"/>
                      <w:szCs w:val="18"/>
                    </w:rPr>
                    <w:t xml:space="preserve">             </w:t>
                  </w:r>
                  <w:r>
                    <w:rPr>
                      <w:color w:val="000000"/>
                      <w:sz w:val="18"/>
                      <w:szCs w:val="18"/>
                    </w:rPr>
                    <w:t>采样时间</w:t>
                  </w:r>
                </w:p>
                <w:p w14:paraId="13BD1CB6">
                  <w:pPr>
                    <w:ind w:firstLine="540" w:firstLineChars="300"/>
                    <w:rPr>
                      <w:b/>
                      <w:bCs/>
                      <w:color w:val="000000"/>
                      <w:sz w:val="18"/>
                      <w:szCs w:val="18"/>
                    </w:rPr>
                  </w:pPr>
                  <w:r>
                    <w:rPr>
                      <w:color w:val="000000"/>
                      <w:sz w:val="18"/>
                      <w:szCs w:val="18"/>
                    </w:rPr>
                    <w:t>检测项目</w:t>
                  </w:r>
                </w:p>
              </w:tc>
              <w:tc>
                <w:tcPr>
                  <w:tcW w:w="5272" w:type="dxa"/>
                  <w:gridSpan w:val="4"/>
                  <w:tcBorders>
                    <w:top w:val="single" w:color="auto" w:sz="4" w:space="0"/>
                    <w:left w:val="nil"/>
                    <w:bottom w:val="single" w:color="auto" w:sz="4" w:space="0"/>
                    <w:right w:val="single" w:color="auto" w:sz="4" w:space="0"/>
                  </w:tcBorders>
                  <w:noWrap w:val="0"/>
                  <w:vAlign w:val="center"/>
                </w:tcPr>
                <w:p w14:paraId="44464D2F">
                  <w:pPr>
                    <w:jc w:val="center"/>
                    <w:rPr>
                      <w:b/>
                      <w:bCs/>
                      <w:color w:val="000000"/>
                      <w:sz w:val="18"/>
                      <w:szCs w:val="18"/>
                    </w:rPr>
                  </w:pPr>
                  <w:r>
                    <w:rPr>
                      <w:color w:val="000000"/>
                      <w:sz w:val="18"/>
                      <w:szCs w:val="18"/>
                    </w:rPr>
                    <w:t>废水总排放口                   单位：mg/L</w:t>
                  </w:r>
                </w:p>
              </w:tc>
            </w:tr>
            <w:tr w14:paraId="49A92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397" w:hRule="atLeast"/>
                <w:jc w:val="center"/>
              </w:trPr>
              <w:tc>
                <w:tcPr>
                  <w:tcW w:w="3149" w:type="dxa"/>
                  <w:vMerge w:val="continue"/>
                  <w:tcBorders>
                    <w:top w:val="single" w:color="auto" w:sz="4" w:space="0"/>
                    <w:left w:val="single" w:color="auto" w:sz="4" w:space="0"/>
                    <w:bottom w:val="single" w:color="auto" w:sz="4" w:space="0"/>
                    <w:right w:val="single" w:color="auto" w:sz="4" w:space="0"/>
                  </w:tcBorders>
                  <w:noWrap w:val="0"/>
                  <w:vAlign w:val="center"/>
                </w:tcPr>
                <w:p w14:paraId="00A430E9">
                  <w:pPr>
                    <w:jc w:val="center"/>
                    <w:rPr>
                      <w:b/>
                      <w:bCs/>
                      <w:color w:val="000000"/>
                      <w:sz w:val="18"/>
                      <w:szCs w:val="18"/>
                    </w:rPr>
                  </w:pPr>
                </w:p>
              </w:tc>
              <w:tc>
                <w:tcPr>
                  <w:tcW w:w="5265" w:type="dxa"/>
                  <w:gridSpan w:val="3"/>
                  <w:tcBorders>
                    <w:top w:val="single" w:color="auto" w:sz="4" w:space="0"/>
                    <w:left w:val="nil"/>
                    <w:bottom w:val="single" w:color="auto" w:sz="4" w:space="0"/>
                    <w:right w:val="single" w:color="auto" w:sz="4" w:space="0"/>
                  </w:tcBorders>
                  <w:noWrap w:val="0"/>
                  <w:vAlign w:val="center"/>
                </w:tcPr>
                <w:p w14:paraId="49A59432">
                  <w:pPr>
                    <w:shd w:val="clear" w:color="auto" w:fill="FFFFFF"/>
                    <w:jc w:val="center"/>
                    <w:rPr>
                      <w:color w:val="000000"/>
                      <w:sz w:val="18"/>
                      <w:szCs w:val="18"/>
                    </w:rPr>
                  </w:pPr>
                  <w:r>
                    <w:rPr>
                      <w:color w:val="000000"/>
                      <w:sz w:val="18"/>
                      <w:szCs w:val="18"/>
                    </w:rPr>
                    <w:t>20</w:t>
                  </w:r>
                  <w:r>
                    <w:rPr>
                      <w:rFonts w:hint="eastAsia"/>
                      <w:color w:val="000000"/>
                      <w:sz w:val="18"/>
                      <w:szCs w:val="18"/>
                    </w:rPr>
                    <w:t>2</w:t>
                  </w:r>
                  <w:r>
                    <w:rPr>
                      <w:rFonts w:hint="eastAsia"/>
                      <w:color w:val="000000"/>
                      <w:sz w:val="18"/>
                      <w:szCs w:val="18"/>
                      <w:lang w:val="en-US" w:eastAsia="zh-CN"/>
                    </w:rPr>
                    <w:t>5</w:t>
                  </w:r>
                  <w:r>
                    <w:rPr>
                      <w:color w:val="000000"/>
                      <w:sz w:val="18"/>
                      <w:szCs w:val="18"/>
                    </w:rPr>
                    <w:t>年</w:t>
                  </w:r>
                  <w:r>
                    <w:rPr>
                      <w:rFonts w:hint="eastAsia"/>
                      <w:color w:val="000000"/>
                      <w:sz w:val="18"/>
                      <w:szCs w:val="18"/>
                      <w:lang w:val="en-US" w:eastAsia="zh-CN"/>
                    </w:rPr>
                    <w:t>6</w:t>
                  </w:r>
                  <w:r>
                    <w:rPr>
                      <w:color w:val="000000"/>
                      <w:sz w:val="18"/>
                      <w:szCs w:val="18"/>
                    </w:rPr>
                    <w:t>月</w:t>
                  </w:r>
                  <w:r>
                    <w:rPr>
                      <w:rFonts w:hint="eastAsia"/>
                      <w:color w:val="000000"/>
                      <w:sz w:val="18"/>
                      <w:szCs w:val="18"/>
                      <w:lang w:val="en-US" w:eastAsia="zh-CN"/>
                    </w:rPr>
                    <w:t>6</w:t>
                  </w:r>
                  <w:r>
                    <w:rPr>
                      <w:color w:val="000000"/>
                      <w:sz w:val="18"/>
                      <w:szCs w:val="18"/>
                    </w:rPr>
                    <w:t>日</w:t>
                  </w:r>
                </w:p>
              </w:tc>
            </w:tr>
            <w:tr w14:paraId="1C385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397" w:hRule="atLeast"/>
                <w:jc w:val="center"/>
              </w:trPr>
              <w:tc>
                <w:tcPr>
                  <w:tcW w:w="3149" w:type="dxa"/>
                  <w:vMerge w:val="continue"/>
                  <w:tcBorders>
                    <w:top w:val="single" w:color="auto" w:sz="4" w:space="0"/>
                    <w:left w:val="single" w:color="auto" w:sz="4" w:space="0"/>
                    <w:bottom w:val="single" w:color="auto" w:sz="4" w:space="0"/>
                    <w:right w:val="single" w:color="auto" w:sz="4" w:space="0"/>
                  </w:tcBorders>
                  <w:noWrap w:val="0"/>
                  <w:vAlign w:val="center"/>
                </w:tcPr>
                <w:p w14:paraId="14B3F027">
                  <w:pPr>
                    <w:jc w:val="center"/>
                    <w:rPr>
                      <w:b/>
                      <w:bCs/>
                      <w:color w:val="000000"/>
                      <w:sz w:val="18"/>
                      <w:szCs w:val="18"/>
                    </w:rPr>
                  </w:pPr>
                </w:p>
              </w:tc>
              <w:tc>
                <w:tcPr>
                  <w:tcW w:w="1950" w:type="dxa"/>
                  <w:tcBorders>
                    <w:top w:val="single" w:color="auto" w:sz="4" w:space="0"/>
                    <w:left w:val="nil"/>
                    <w:bottom w:val="single" w:color="auto" w:sz="4" w:space="0"/>
                    <w:right w:val="single" w:color="auto" w:sz="4" w:space="0"/>
                  </w:tcBorders>
                  <w:noWrap w:val="0"/>
                  <w:vAlign w:val="center"/>
                </w:tcPr>
                <w:p w14:paraId="7EBAA961">
                  <w:pPr>
                    <w:shd w:val="clear" w:color="auto" w:fill="FFFFFF"/>
                    <w:jc w:val="center"/>
                    <w:rPr>
                      <w:color w:val="000000"/>
                      <w:sz w:val="18"/>
                      <w:szCs w:val="18"/>
                    </w:rPr>
                  </w:pPr>
                  <w:r>
                    <w:rPr>
                      <w:color w:val="000000"/>
                      <w:sz w:val="18"/>
                      <w:szCs w:val="18"/>
                    </w:rPr>
                    <w:t>1</w:t>
                  </w:r>
                </w:p>
              </w:tc>
              <w:tc>
                <w:tcPr>
                  <w:tcW w:w="2080" w:type="dxa"/>
                  <w:tcBorders>
                    <w:top w:val="single" w:color="auto" w:sz="4" w:space="0"/>
                    <w:left w:val="nil"/>
                    <w:bottom w:val="single" w:color="auto" w:sz="4" w:space="0"/>
                    <w:right w:val="single" w:color="auto" w:sz="4" w:space="0"/>
                  </w:tcBorders>
                  <w:noWrap w:val="0"/>
                  <w:vAlign w:val="center"/>
                </w:tcPr>
                <w:p w14:paraId="5A065DC6">
                  <w:pPr>
                    <w:shd w:val="clear" w:color="auto" w:fill="FFFFFF"/>
                    <w:jc w:val="center"/>
                    <w:rPr>
                      <w:color w:val="000000"/>
                      <w:sz w:val="18"/>
                      <w:szCs w:val="18"/>
                    </w:rPr>
                  </w:pPr>
                  <w:r>
                    <w:rPr>
                      <w:color w:val="000000"/>
                      <w:sz w:val="18"/>
                      <w:szCs w:val="18"/>
                    </w:rPr>
                    <w:t>2</w:t>
                  </w:r>
                </w:p>
              </w:tc>
              <w:tc>
                <w:tcPr>
                  <w:tcW w:w="1235" w:type="dxa"/>
                  <w:tcBorders>
                    <w:top w:val="single" w:color="auto" w:sz="4" w:space="0"/>
                    <w:left w:val="single" w:color="auto" w:sz="4" w:space="0"/>
                    <w:bottom w:val="single" w:color="auto" w:sz="4" w:space="0"/>
                    <w:right w:val="single" w:color="auto" w:sz="4" w:space="0"/>
                  </w:tcBorders>
                  <w:noWrap w:val="0"/>
                  <w:vAlign w:val="center"/>
                </w:tcPr>
                <w:p w14:paraId="01E1E753">
                  <w:pPr>
                    <w:shd w:val="clear" w:color="auto" w:fill="FFFFFF"/>
                    <w:jc w:val="center"/>
                    <w:rPr>
                      <w:rFonts w:hint="eastAsia" w:eastAsia="宋体"/>
                      <w:color w:val="000000"/>
                      <w:sz w:val="18"/>
                      <w:szCs w:val="18"/>
                      <w:lang w:val="en-US" w:eastAsia="zh-CN"/>
                    </w:rPr>
                  </w:pPr>
                  <w:r>
                    <w:rPr>
                      <w:rFonts w:hint="eastAsia"/>
                      <w:color w:val="000000"/>
                      <w:sz w:val="18"/>
                      <w:szCs w:val="18"/>
                      <w:lang w:val="en-US" w:eastAsia="zh-CN"/>
                    </w:rPr>
                    <w:t>3</w:t>
                  </w:r>
                </w:p>
              </w:tc>
            </w:tr>
            <w:tr w14:paraId="3D6613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397" w:hRule="atLeast"/>
                <w:jc w:val="center"/>
              </w:trPr>
              <w:tc>
                <w:tcPr>
                  <w:tcW w:w="3149" w:type="dxa"/>
                  <w:tcBorders>
                    <w:top w:val="single" w:color="auto" w:sz="4" w:space="0"/>
                    <w:left w:val="single" w:color="auto" w:sz="4" w:space="0"/>
                    <w:bottom w:val="single" w:color="auto" w:sz="4" w:space="0"/>
                    <w:right w:val="single" w:color="auto" w:sz="4" w:space="0"/>
                  </w:tcBorders>
                  <w:noWrap w:val="0"/>
                  <w:vAlign w:val="center"/>
                </w:tcPr>
                <w:p w14:paraId="6C4B8CAC">
                  <w:pPr>
                    <w:shd w:val="clear" w:color="auto" w:fill="FFFFFF"/>
                    <w:jc w:val="center"/>
                    <w:rPr>
                      <w:color w:val="000000"/>
                      <w:sz w:val="18"/>
                      <w:szCs w:val="18"/>
                    </w:rPr>
                  </w:pPr>
                  <w:r>
                    <w:rPr>
                      <w:color w:val="000000"/>
                      <w:sz w:val="18"/>
                      <w:szCs w:val="18"/>
                    </w:rPr>
                    <w:t>pH（无量纲）</w:t>
                  </w:r>
                </w:p>
              </w:tc>
              <w:tc>
                <w:tcPr>
                  <w:tcW w:w="1950" w:type="dxa"/>
                  <w:tcBorders>
                    <w:top w:val="single" w:color="auto" w:sz="4" w:space="0"/>
                    <w:left w:val="nil"/>
                    <w:bottom w:val="single" w:color="auto" w:sz="4" w:space="0"/>
                    <w:right w:val="single" w:color="auto" w:sz="4" w:space="0"/>
                  </w:tcBorders>
                  <w:noWrap w:val="0"/>
                  <w:vAlign w:val="center"/>
                </w:tcPr>
                <w:p w14:paraId="17352580">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7.2</w:t>
                  </w:r>
                </w:p>
              </w:tc>
              <w:tc>
                <w:tcPr>
                  <w:tcW w:w="2080" w:type="dxa"/>
                  <w:tcBorders>
                    <w:top w:val="single" w:color="auto" w:sz="4" w:space="0"/>
                    <w:left w:val="nil"/>
                    <w:bottom w:val="single" w:color="auto" w:sz="4" w:space="0"/>
                    <w:right w:val="single" w:color="auto" w:sz="4" w:space="0"/>
                  </w:tcBorders>
                  <w:noWrap w:val="0"/>
                  <w:vAlign w:val="center"/>
                </w:tcPr>
                <w:p w14:paraId="4618AF2B">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7.1</w:t>
                  </w:r>
                </w:p>
              </w:tc>
              <w:tc>
                <w:tcPr>
                  <w:tcW w:w="1235" w:type="dxa"/>
                  <w:tcBorders>
                    <w:top w:val="single" w:color="auto" w:sz="4" w:space="0"/>
                    <w:left w:val="single" w:color="auto" w:sz="4" w:space="0"/>
                    <w:bottom w:val="single" w:color="auto" w:sz="4" w:space="0"/>
                    <w:right w:val="single" w:color="auto" w:sz="4" w:space="0"/>
                  </w:tcBorders>
                  <w:noWrap w:val="0"/>
                  <w:vAlign w:val="center"/>
                </w:tcPr>
                <w:p w14:paraId="0B6642E2">
                  <w:pPr>
                    <w:spacing w:line="360" w:lineRule="auto"/>
                    <w:jc w:val="center"/>
                    <w:rPr>
                      <w:rFonts w:hint="default" w:eastAsia="宋体"/>
                      <w:sz w:val="18"/>
                      <w:szCs w:val="18"/>
                      <w:lang w:val="en-US" w:eastAsia="zh-CN"/>
                    </w:rPr>
                  </w:pPr>
                  <w:r>
                    <w:rPr>
                      <w:rFonts w:hint="eastAsia"/>
                      <w:sz w:val="18"/>
                      <w:szCs w:val="18"/>
                      <w:lang w:val="en-US" w:eastAsia="zh-CN"/>
                    </w:rPr>
                    <w:t>7.2</w:t>
                  </w:r>
                </w:p>
              </w:tc>
            </w:tr>
            <w:tr w14:paraId="3120E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397" w:hRule="atLeast"/>
                <w:jc w:val="center"/>
              </w:trPr>
              <w:tc>
                <w:tcPr>
                  <w:tcW w:w="3149" w:type="dxa"/>
                  <w:tcBorders>
                    <w:top w:val="single" w:color="auto" w:sz="4" w:space="0"/>
                    <w:left w:val="single" w:color="auto" w:sz="4" w:space="0"/>
                    <w:bottom w:val="single" w:color="auto" w:sz="4" w:space="0"/>
                    <w:right w:val="single" w:color="auto" w:sz="4" w:space="0"/>
                  </w:tcBorders>
                  <w:noWrap w:val="0"/>
                  <w:vAlign w:val="center"/>
                </w:tcPr>
                <w:p w14:paraId="528E9738">
                  <w:pPr>
                    <w:shd w:val="clear" w:color="auto" w:fill="FFFFFF"/>
                    <w:jc w:val="center"/>
                    <w:rPr>
                      <w:color w:val="000000"/>
                      <w:sz w:val="18"/>
                      <w:szCs w:val="18"/>
                    </w:rPr>
                  </w:pPr>
                  <w:r>
                    <w:rPr>
                      <w:color w:val="000000"/>
                      <w:sz w:val="18"/>
                      <w:szCs w:val="18"/>
                    </w:rPr>
                    <w:t>化学需氧量</w:t>
                  </w:r>
                </w:p>
              </w:tc>
              <w:tc>
                <w:tcPr>
                  <w:tcW w:w="1950" w:type="dxa"/>
                  <w:tcBorders>
                    <w:top w:val="single" w:color="auto" w:sz="4" w:space="0"/>
                    <w:left w:val="nil"/>
                    <w:bottom w:val="single" w:color="auto" w:sz="4" w:space="0"/>
                    <w:right w:val="single" w:color="auto" w:sz="4" w:space="0"/>
                  </w:tcBorders>
                  <w:noWrap w:val="0"/>
                  <w:vAlign w:val="center"/>
                </w:tcPr>
                <w:p w14:paraId="31D03EE1">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62</w:t>
                  </w:r>
                </w:p>
              </w:tc>
              <w:tc>
                <w:tcPr>
                  <w:tcW w:w="2080" w:type="dxa"/>
                  <w:tcBorders>
                    <w:top w:val="single" w:color="auto" w:sz="4" w:space="0"/>
                    <w:left w:val="nil"/>
                    <w:bottom w:val="single" w:color="auto" w:sz="4" w:space="0"/>
                    <w:right w:val="single" w:color="auto" w:sz="4" w:space="0"/>
                  </w:tcBorders>
                  <w:noWrap w:val="0"/>
                  <w:vAlign w:val="center"/>
                </w:tcPr>
                <w:p w14:paraId="02F9BE03">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82</w:t>
                  </w:r>
                </w:p>
              </w:tc>
              <w:tc>
                <w:tcPr>
                  <w:tcW w:w="1235" w:type="dxa"/>
                  <w:tcBorders>
                    <w:top w:val="single" w:color="auto" w:sz="4" w:space="0"/>
                    <w:left w:val="single" w:color="auto" w:sz="4" w:space="0"/>
                    <w:bottom w:val="single" w:color="auto" w:sz="4" w:space="0"/>
                    <w:right w:val="single" w:color="auto" w:sz="4" w:space="0"/>
                  </w:tcBorders>
                  <w:noWrap w:val="0"/>
                  <w:vAlign w:val="center"/>
                </w:tcPr>
                <w:p w14:paraId="2BCABC0E">
                  <w:pPr>
                    <w:spacing w:line="360" w:lineRule="auto"/>
                    <w:jc w:val="center"/>
                    <w:rPr>
                      <w:rFonts w:hint="default" w:eastAsia="宋体"/>
                      <w:sz w:val="18"/>
                      <w:szCs w:val="18"/>
                      <w:lang w:val="en-US" w:eastAsia="zh-CN"/>
                    </w:rPr>
                  </w:pPr>
                  <w:r>
                    <w:rPr>
                      <w:rFonts w:hint="eastAsia"/>
                      <w:sz w:val="18"/>
                      <w:szCs w:val="18"/>
                      <w:lang w:val="en-US" w:eastAsia="zh-CN"/>
                    </w:rPr>
                    <w:t>75</w:t>
                  </w:r>
                </w:p>
              </w:tc>
            </w:tr>
            <w:tr w14:paraId="73425F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397" w:hRule="atLeast"/>
                <w:jc w:val="center"/>
              </w:trPr>
              <w:tc>
                <w:tcPr>
                  <w:tcW w:w="3149" w:type="dxa"/>
                  <w:tcBorders>
                    <w:top w:val="single" w:color="auto" w:sz="4" w:space="0"/>
                    <w:left w:val="single" w:color="auto" w:sz="4" w:space="0"/>
                    <w:bottom w:val="single" w:color="auto" w:sz="4" w:space="0"/>
                    <w:right w:val="single" w:color="auto" w:sz="4" w:space="0"/>
                  </w:tcBorders>
                  <w:noWrap w:val="0"/>
                  <w:vAlign w:val="center"/>
                </w:tcPr>
                <w:p w14:paraId="7345D654">
                  <w:pPr>
                    <w:shd w:val="clear" w:color="auto" w:fill="FFFFFF"/>
                    <w:jc w:val="center"/>
                    <w:rPr>
                      <w:color w:val="000000"/>
                      <w:sz w:val="18"/>
                      <w:szCs w:val="18"/>
                    </w:rPr>
                  </w:pPr>
                  <w:r>
                    <w:rPr>
                      <w:color w:val="000000"/>
                      <w:sz w:val="18"/>
                      <w:szCs w:val="18"/>
                    </w:rPr>
                    <w:t>五日生化需氧量</w:t>
                  </w:r>
                </w:p>
              </w:tc>
              <w:tc>
                <w:tcPr>
                  <w:tcW w:w="1950" w:type="dxa"/>
                  <w:tcBorders>
                    <w:top w:val="single" w:color="auto" w:sz="4" w:space="0"/>
                    <w:left w:val="nil"/>
                    <w:bottom w:val="single" w:color="auto" w:sz="4" w:space="0"/>
                    <w:right w:val="single" w:color="auto" w:sz="4" w:space="0"/>
                  </w:tcBorders>
                  <w:noWrap w:val="0"/>
                  <w:vAlign w:val="center"/>
                </w:tcPr>
                <w:p w14:paraId="33255FB2">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28.2</w:t>
                  </w:r>
                </w:p>
              </w:tc>
              <w:tc>
                <w:tcPr>
                  <w:tcW w:w="2080" w:type="dxa"/>
                  <w:tcBorders>
                    <w:top w:val="single" w:color="auto" w:sz="4" w:space="0"/>
                    <w:left w:val="nil"/>
                    <w:bottom w:val="single" w:color="auto" w:sz="4" w:space="0"/>
                    <w:right w:val="single" w:color="auto" w:sz="4" w:space="0"/>
                  </w:tcBorders>
                  <w:noWrap w:val="0"/>
                  <w:vAlign w:val="center"/>
                </w:tcPr>
                <w:p w14:paraId="6C9F54DE">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22.5</w:t>
                  </w:r>
                </w:p>
              </w:tc>
              <w:tc>
                <w:tcPr>
                  <w:tcW w:w="1235" w:type="dxa"/>
                  <w:tcBorders>
                    <w:top w:val="single" w:color="auto" w:sz="4" w:space="0"/>
                    <w:left w:val="single" w:color="auto" w:sz="4" w:space="0"/>
                    <w:bottom w:val="single" w:color="auto" w:sz="4" w:space="0"/>
                    <w:right w:val="single" w:color="auto" w:sz="4" w:space="0"/>
                  </w:tcBorders>
                  <w:noWrap w:val="0"/>
                  <w:vAlign w:val="center"/>
                </w:tcPr>
                <w:p w14:paraId="680F2940">
                  <w:pPr>
                    <w:spacing w:line="360" w:lineRule="auto"/>
                    <w:jc w:val="center"/>
                    <w:rPr>
                      <w:rFonts w:hint="default" w:eastAsia="宋体"/>
                      <w:sz w:val="18"/>
                      <w:szCs w:val="18"/>
                      <w:lang w:val="en-US" w:eastAsia="zh-CN"/>
                    </w:rPr>
                  </w:pPr>
                  <w:r>
                    <w:rPr>
                      <w:rFonts w:hint="eastAsia"/>
                      <w:sz w:val="18"/>
                      <w:szCs w:val="18"/>
                      <w:lang w:val="en-US" w:eastAsia="zh-CN"/>
                    </w:rPr>
                    <w:t>26.3</w:t>
                  </w:r>
                </w:p>
              </w:tc>
            </w:tr>
            <w:tr w14:paraId="41942F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397" w:hRule="atLeast"/>
                <w:jc w:val="center"/>
              </w:trPr>
              <w:tc>
                <w:tcPr>
                  <w:tcW w:w="3149" w:type="dxa"/>
                  <w:tcBorders>
                    <w:top w:val="single" w:color="auto" w:sz="4" w:space="0"/>
                    <w:left w:val="single" w:color="auto" w:sz="4" w:space="0"/>
                    <w:bottom w:val="single" w:color="auto" w:sz="4" w:space="0"/>
                    <w:right w:val="single" w:color="auto" w:sz="4" w:space="0"/>
                  </w:tcBorders>
                  <w:noWrap w:val="0"/>
                  <w:vAlign w:val="center"/>
                </w:tcPr>
                <w:p w14:paraId="459369BD">
                  <w:pPr>
                    <w:shd w:val="clear" w:color="auto" w:fill="FFFFFF"/>
                    <w:jc w:val="center"/>
                    <w:rPr>
                      <w:color w:val="000000"/>
                      <w:sz w:val="18"/>
                      <w:szCs w:val="18"/>
                    </w:rPr>
                  </w:pPr>
                  <w:r>
                    <w:rPr>
                      <w:color w:val="000000"/>
                      <w:sz w:val="18"/>
                      <w:szCs w:val="18"/>
                    </w:rPr>
                    <w:t>悬浮物</w:t>
                  </w:r>
                </w:p>
              </w:tc>
              <w:tc>
                <w:tcPr>
                  <w:tcW w:w="1950" w:type="dxa"/>
                  <w:tcBorders>
                    <w:top w:val="single" w:color="auto" w:sz="4" w:space="0"/>
                    <w:left w:val="nil"/>
                    <w:bottom w:val="single" w:color="auto" w:sz="4" w:space="0"/>
                    <w:right w:val="single" w:color="auto" w:sz="4" w:space="0"/>
                  </w:tcBorders>
                  <w:noWrap w:val="0"/>
                  <w:vAlign w:val="center"/>
                </w:tcPr>
                <w:p w14:paraId="7F0AC275">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54</w:t>
                  </w:r>
                </w:p>
              </w:tc>
              <w:tc>
                <w:tcPr>
                  <w:tcW w:w="2080" w:type="dxa"/>
                  <w:tcBorders>
                    <w:top w:val="single" w:color="auto" w:sz="4" w:space="0"/>
                    <w:left w:val="nil"/>
                    <w:bottom w:val="single" w:color="auto" w:sz="4" w:space="0"/>
                    <w:right w:val="single" w:color="auto" w:sz="4" w:space="0"/>
                  </w:tcBorders>
                  <w:noWrap w:val="0"/>
                  <w:vAlign w:val="center"/>
                </w:tcPr>
                <w:p w14:paraId="2C3102DD">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75</w:t>
                  </w:r>
                </w:p>
              </w:tc>
              <w:tc>
                <w:tcPr>
                  <w:tcW w:w="1235" w:type="dxa"/>
                  <w:tcBorders>
                    <w:top w:val="single" w:color="auto" w:sz="4" w:space="0"/>
                    <w:left w:val="single" w:color="auto" w:sz="4" w:space="0"/>
                    <w:bottom w:val="single" w:color="auto" w:sz="4" w:space="0"/>
                    <w:right w:val="single" w:color="auto" w:sz="4" w:space="0"/>
                  </w:tcBorders>
                  <w:noWrap w:val="0"/>
                  <w:vAlign w:val="center"/>
                </w:tcPr>
                <w:p w14:paraId="0988F79E">
                  <w:pPr>
                    <w:spacing w:line="360" w:lineRule="auto"/>
                    <w:jc w:val="center"/>
                    <w:rPr>
                      <w:rFonts w:hint="default" w:eastAsia="宋体"/>
                      <w:sz w:val="18"/>
                      <w:szCs w:val="18"/>
                      <w:lang w:val="en-US" w:eastAsia="zh-CN"/>
                    </w:rPr>
                  </w:pPr>
                  <w:r>
                    <w:rPr>
                      <w:rFonts w:hint="eastAsia"/>
                      <w:sz w:val="18"/>
                      <w:szCs w:val="18"/>
                      <w:lang w:val="en-US" w:eastAsia="zh-CN"/>
                    </w:rPr>
                    <w:t>66</w:t>
                  </w:r>
                </w:p>
              </w:tc>
            </w:tr>
            <w:tr w14:paraId="38773F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7" w:type="dxa"/>
                <w:trHeight w:val="397" w:hRule="atLeast"/>
                <w:jc w:val="center"/>
              </w:trPr>
              <w:tc>
                <w:tcPr>
                  <w:tcW w:w="3149" w:type="dxa"/>
                  <w:tcBorders>
                    <w:top w:val="single" w:color="auto" w:sz="4" w:space="0"/>
                    <w:left w:val="single" w:color="auto" w:sz="4" w:space="0"/>
                    <w:bottom w:val="single" w:color="auto" w:sz="4" w:space="0"/>
                    <w:right w:val="single" w:color="auto" w:sz="4" w:space="0"/>
                  </w:tcBorders>
                  <w:noWrap w:val="0"/>
                  <w:vAlign w:val="center"/>
                </w:tcPr>
                <w:p w14:paraId="688D9AAB">
                  <w:pPr>
                    <w:shd w:val="clear" w:color="auto" w:fill="FFFFFF"/>
                    <w:jc w:val="center"/>
                    <w:rPr>
                      <w:color w:val="000000"/>
                      <w:sz w:val="18"/>
                      <w:szCs w:val="18"/>
                    </w:rPr>
                  </w:pPr>
                  <w:r>
                    <w:rPr>
                      <w:color w:val="000000"/>
                      <w:sz w:val="18"/>
                      <w:szCs w:val="18"/>
                    </w:rPr>
                    <w:t>氨氮</w:t>
                  </w:r>
                </w:p>
              </w:tc>
              <w:tc>
                <w:tcPr>
                  <w:tcW w:w="1950" w:type="dxa"/>
                  <w:tcBorders>
                    <w:top w:val="single" w:color="auto" w:sz="4" w:space="0"/>
                    <w:left w:val="nil"/>
                    <w:bottom w:val="single" w:color="auto" w:sz="4" w:space="0"/>
                    <w:right w:val="single" w:color="auto" w:sz="4" w:space="0"/>
                  </w:tcBorders>
                  <w:noWrap w:val="0"/>
                  <w:vAlign w:val="center"/>
                </w:tcPr>
                <w:p w14:paraId="4A7638E0">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2.52</w:t>
                  </w:r>
                </w:p>
              </w:tc>
              <w:tc>
                <w:tcPr>
                  <w:tcW w:w="2080" w:type="dxa"/>
                  <w:tcBorders>
                    <w:top w:val="single" w:color="auto" w:sz="4" w:space="0"/>
                    <w:left w:val="nil"/>
                    <w:bottom w:val="single" w:color="auto" w:sz="4" w:space="0"/>
                    <w:right w:val="single" w:color="auto" w:sz="4" w:space="0"/>
                  </w:tcBorders>
                  <w:noWrap w:val="0"/>
                  <w:vAlign w:val="center"/>
                </w:tcPr>
                <w:p w14:paraId="1483C9FB">
                  <w:pPr>
                    <w:spacing w:line="360" w:lineRule="auto"/>
                    <w:jc w:val="center"/>
                    <w:rPr>
                      <w:rFonts w:hint="default" w:eastAsia="宋体"/>
                      <w:color w:val="000000"/>
                      <w:sz w:val="18"/>
                      <w:szCs w:val="18"/>
                      <w:lang w:val="en-US" w:eastAsia="zh-CN"/>
                    </w:rPr>
                  </w:pPr>
                  <w:r>
                    <w:rPr>
                      <w:rFonts w:hint="eastAsia"/>
                      <w:color w:val="000000"/>
                      <w:sz w:val="18"/>
                      <w:szCs w:val="18"/>
                      <w:lang w:val="en-US" w:eastAsia="zh-CN"/>
                    </w:rPr>
                    <w:t>3.02</w:t>
                  </w:r>
                </w:p>
              </w:tc>
              <w:tc>
                <w:tcPr>
                  <w:tcW w:w="1235" w:type="dxa"/>
                  <w:tcBorders>
                    <w:top w:val="single" w:color="auto" w:sz="4" w:space="0"/>
                    <w:left w:val="single" w:color="auto" w:sz="4" w:space="0"/>
                    <w:bottom w:val="single" w:color="auto" w:sz="4" w:space="0"/>
                    <w:right w:val="single" w:color="auto" w:sz="4" w:space="0"/>
                  </w:tcBorders>
                  <w:noWrap w:val="0"/>
                  <w:vAlign w:val="center"/>
                </w:tcPr>
                <w:p w14:paraId="01417C46">
                  <w:pPr>
                    <w:spacing w:line="360" w:lineRule="auto"/>
                    <w:jc w:val="center"/>
                    <w:rPr>
                      <w:rFonts w:hint="default" w:eastAsia="宋体"/>
                      <w:sz w:val="18"/>
                      <w:szCs w:val="18"/>
                      <w:lang w:val="en-US" w:eastAsia="zh-CN"/>
                    </w:rPr>
                  </w:pPr>
                  <w:r>
                    <w:rPr>
                      <w:rFonts w:hint="eastAsia"/>
                      <w:sz w:val="18"/>
                      <w:szCs w:val="18"/>
                      <w:lang w:val="en-US" w:eastAsia="zh-CN"/>
                    </w:rPr>
                    <w:t>2.12</w:t>
                  </w:r>
                </w:p>
              </w:tc>
            </w:tr>
          </w:tbl>
          <w:p w14:paraId="571A932C">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sz w:val="21"/>
                <w:szCs w:val="21"/>
              </w:rPr>
            </w:pPr>
            <w:r>
              <w:rPr>
                <w:color w:val="000000"/>
                <w:sz w:val="21"/>
                <w:szCs w:val="21"/>
                <w:lang w:val="zh-CN"/>
              </w:rPr>
              <w:t>监测期间，废水中pH值在</w:t>
            </w:r>
            <w:r>
              <w:rPr>
                <w:rFonts w:hint="eastAsia"/>
                <w:color w:val="000000"/>
                <w:sz w:val="21"/>
                <w:szCs w:val="21"/>
                <w:lang w:val="en-US" w:eastAsia="zh-CN"/>
              </w:rPr>
              <w:t>7.1~7.2</w:t>
            </w:r>
            <w:r>
              <w:rPr>
                <w:color w:val="000000"/>
                <w:sz w:val="21"/>
                <w:szCs w:val="21"/>
                <w:lang w:val="zh-CN"/>
              </w:rPr>
              <w:t>之间，化学需氧量最大</w:t>
            </w:r>
            <w:r>
              <w:rPr>
                <w:rFonts w:hint="eastAsia"/>
                <w:color w:val="000000"/>
                <w:sz w:val="21"/>
                <w:szCs w:val="21"/>
                <w:lang w:val="en-US" w:eastAsia="zh-CN"/>
              </w:rPr>
              <w:t>82</w:t>
            </w:r>
            <w:r>
              <w:rPr>
                <w:color w:val="000000"/>
                <w:sz w:val="21"/>
                <w:szCs w:val="21"/>
                <w:lang w:val="zh-CN"/>
              </w:rPr>
              <w:t>mg/L，五日生化需氧量最大</w:t>
            </w:r>
            <w:r>
              <w:rPr>
                <w:rFonts w:hint="eastAsia"/>
                <w:color w:val="000000"/>
                <w:sz w:val="21"/>
                <w:szCs w:val="21"/>
                <w:lang w:val="en-US" w:eastAsia="zh-CN"/>
              </w:rPr>
              <w:t>28.2</w:t>
            </w:r>
            <w:r>
              <w:rPr>
                <w:color w:val="000000"/>
                <w:sz w:val="21"/>
                <w:szCs w:val="21"/>
                <w:lang w:val="zh-CN"/>
              </w:rPr>
              <w:t>mg/L，悬浮物最大</w:t>
            </w:r>
            <w:r>
              <w:rPr>
                <w:rFonts w:hint="eastAsia"/>
                <w:color w:val="000000"/>
                <w:sz w:val="21"/>
                <w:szCs w:val="21"/>
                <w:lang w:val="en-US" w:eastAsia="zh-CN"/>
              </w:rPr>
              <w:t>75</w:t>
            </w:r>
            <w:r>
              <w:rPr>
                <w:color w:val="000000"/>
                <w:sz w:val="21"/>
                <w:szCs w:val="21"/>
                <w:lang w:val="zh-CN"/>
              </w:rPr>
              <w:t>mg/L，氨氮最大</w:t>
            </w:r>
            <w:r>
              <w:rPr>
                <w:rFonts w:hint="eastAsia"/>
                <w:color w:val="000000"/>
                <w:sz w:val="21"/>
                <w:szCs w:val="21"/>
                <w:lang w:val="en-US" w:eastAsia="zh-CN"/>
              </w:rPr>
              <w:t>3.02</w:t>
            </w:r>
            <w:r>
              <w:rPr>
                <w:color w:val="000000"/>
                <w:sz w:val="21"/>
                <w:szCs w:val="21"/>
                <w:lang w:val="zh-CN"/>
              </w:rPr>
              <w:t>mg/L，满足《污水排入城镇下水道水质标准》（GB/T31962-2015）表1中B等级标准。则排入</w:t>
            </w:r>
            <w:r>
              <w:rPr>
                <w:sz w:val="21"/>
                <w:szCs w:val="21"/>
              </w:rPr>
              <w:t>淄博市利民净化水处理有限公司的废水中COD含量为0.</w:t>
            </w:r>
            <w:r>
              <w:rPr>
                <w:rFonts w:hint="eastAsia"/>
                <w:sz w:val="21"/>
                <w:szCs w:val="21"/>
                <w:lang w:val="en-US" w:eastAsia="zh-CN"/>
              </w:rPr>
              <w:t>0124</w:t>
            </w:r>
            <w:r>
              <w:rPr>
                <w:sz w:val="21"/>
                <w:szCs w:val="21"/>
              </w:rPr>
              <w:t>t/a，氨氮为0.0</w:t>
            </w:r>
            <w:r>
              <w:rPr>
                <w:rFonts w:hint="eastAsia"/>
                <w:sz w:val="21"/>
                <w:szCs w:val="21"/>
              </w:rPr>
              <w:t>0</w:t>
            </w:r>
            <w:r>
              <w:rPr>
                <w:rFonts w:hint="eastAsia"/>
                <w:sz w:val="21"/>
                <w:szCs w:val="21"/>
                <w:lang w:val="en-US" w:eastAsia="zh-CN"/>
              </w:rPr>
              <w:t>05</w:t>
            </w:r>
            <w:r>
              <w:rPr>
                <w:sz w:val="21"/>
                <w:szCs w:val="21"/>
              </w:rPr>
              <w:t>t/a</w:t>
            </w:r>
            <w:r>
              <w:rPr>
                <w:rFonts w:hint="eastAsia"/>
                <w:sz w:val="21"/>
                <w:szCs w:val="21"/>
                <w:lang w:eastAsia="zh-CN"/>
              </w:rPr>
              <w:t>，</w:t>
            </w:r>
            <w:r>
              <w:rPr>
                <w:sz w:val="21"/>
                <w:szCs w:val="21"/>
              </w:rPr>
              <w:t>经淄博市利民净化水处理有限公司深度处理</w:t>
            </w:r>
            <w:r>
              <w:rPr>
                <w:rFonts w:hint="eastAsia"/>
                <w:sz w:val="21"/>
                <w:szCs w:val="21"/>
                <w:lang w:val="en-US" w:eastAsia="zh-CN"/>
              </w:rPr>
              <w:t>,</w:t>
            </w:r>
            <w:r>
              <w:rPr>
                <w:sz w:val="21"/>
                <w:szCs w:val="21"/>
              </w:rPr>
              <w:t>后，排入孝妇河。</w:t>
            </w:r>
          </w:p>
          <w:p w14:paraId="2D920C2C">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sz w:val="21"/>
                <w:szCs w:val="21"/>
              </w:rPr>
            </w:pPr>
            <w:r>
              <w:rPr>
                <w:sz w:val="21"/>
                <w:szCs w:val="21"/>
              </w:rPr>
              <w:t>3、噪声</w:t>
            </w:r>
          </w:p>
          <w:p w14:paraId="15C04D09">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现有</w:t>
            </w:r>
            <w:r>
              <w:rPr>
                <w:rFonts w:hint="default" w:ascii="Times New Roman" w:hAnsi="Times New Roman" w:eastAsia="宋体" w:cs="Times New Roman"/>
                <w:color w:val="auto"/>
                <w:sz w:val="21"/>
                <w:szCs w:val="21"/>
              </w:rPr>
              <w:t>项目噪声主要为</w:t>
            </w:r>
            <w:r>
              <w:rPr>
                <w:rFonts w:hint="eastAsia" w:cs="Times New Roman"/>
                <w:color w:val="auto"/>
                <w:sz w:val="21"/>
                <w:szCs w:val="21"/>
                <w:lang w:eastAsia="zh-CN"/>
              </w:rPr>
              <w:t>剪板机、卷板机、压机</w:t>
            </w:r>
            <w:r>
              <w:rPr>
                <w:rFonts w:hint="default" w:ascii="Times New Roman" w:hAnsi="Times New Roman" w:eastAsia="宋体" w:cs="Times New Roman"/>
                <w:color w:val="auto"/>
                <w:sz w:val="21"/>
                <w:szCs w:val="21"/>
              </w:rPr>
              <w:t>及环保设备配套风机等机械设备所产生的噪声。项目</w:t>
            </w:r>
            <w:r>
              <w:rPr>
                <w:rFonts w:hint="eastAsia" w:ascii="Times New Roman" w:hAnsi="Times New Roman" w:cs="Times New Roman"/>
                <w:color w:val="auto"/>
                <w:sz w:val="21"/>
                <w:szCs w:val="21"/>
                <w:lang w:eastAsia="zh-CN"/>
              </w:rPr>
              <w:t>大部分</w:t>
            </w:r>
            <w:r>
              <w:rPr>
                <w:rFonts w:hint="default" w:ascii="Times New Roman" w:hAnsi="Times New Roman" w:eastAsia="宋体" w:cs="Times New Roman"/>
                <w:color w:val="auto"/>
                <w:sz w:val="21"/>
                <w:szCs w:val="21"/>
              </w:rPr>
              <w:t>机械设备均安装在室内，车间通过采取减震及加强厂区厂界绿化、加强车间管理等措施，可以有效地降低设备噪声对周围环境的影响</w:t>
            </w:r>
            <w:r>
              <w:rPr>
                <w:rFonts w:hint="default" w:ascii="Times New Roman" w:hAnsi="Times New Roman" w:eastAsia="宋体" w:cs="Times New Roman"/>
                <w:color w:val="auto"/>
                <w:sz w:val="21"/>
                <w:szCs w:val="21"/>
                <w:lang w:eastAsia="zh-CN"/>
              </w:rPr>
              <w:t>。</w:t>
            </w:r>
          </w:p>
          <w:p w14:paraId="28347321">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eastAsia="宋体" w:cs="Times New Roman"/>
                <w:color w:val="auto"/>
                <w:sz w:val="21"/>
                <w:szCs w:val="21"/>
                <w:lang w:eastAsia="zh-CN"/>
              </w:rPr>
            </w:pPr>
            <w:r>
              <w:rPr>
                <w:rFonts w:hint="eastAsia"/>
                <w:color w:val="auto"/>
                <w:sz w:val="21"/>
                <w:szCs w:val="21"/>
                <w:lang w:val="en-US" w:eastAsia="zh-CN"/>
              </w:rPr>
              <w:t>根据山东泰熙安环咨询服务有限公司2025年6月15日出具</w:t>
            </w:r>
            <w:r>
              <w:rPr>
                <w:rFonts w:hint="eastAsia" w:ascii="Times New Roman" w:hAnsi="Times New Roman" w:eastAsia="宋体" w:cs="Times New Roman"/>
                <w:color w:val="auto"/>
                <w:sz w:val="21"/>
                <w:szCs w:val="21"/>
                <w:lang w:val="en-US" w:eastAsia="zh-CN"/>
              </w:rPr>
              <w:t>的</w:t>
            </w:r>
            <w:r>
              <w:rPr>
                <w:rFonts w:hint="eastAsia" w:cs="Times New Roman"/>
                <w:color w:val="auto"/>
                <w:sz w:val="21"/>
                <w:szCs w:val="21"/>
                <w:lang w:val="en-US" w:eastAsia="zh-CN"/>
              </w:rPr>
              <w:t>淄博华鲁供水设备有限公司</w:t>
            </w:r>
            <w:r>
              <w:rPr>
                <w:rFonts w:hint="eastAsia"/>
                <w:color w:val="auto"/>
                <w:sz w:val="21"/>
                <w:szCs w:val="21"/>
                <w:lang w:val="en-US" w:eastAsia="zh-CN"/>
              </w:rPr>
              <w:t>例行检测报告（</w:t>
            </w:r>
            <w:r>
              <w:rPr>
                <w:rFonts w:hint="eastAsia" w:ascii="Times New Roman" w:hAnsi="Times New Roman" w:eastAsia="宋体" w:cs="Times New Roman"/>
                <w:color w:val="auto"/>
                <w:sz w:val="21"/>
                <w:szCs w:val="21"/>
                <w:lang w:val="en-US" w:eastAsia="zh-CN"/>
              </w:rPr>
              <w:t>编号：</w:t>
            </w:r>
            <w:r>
              <w:rPr>
                <w:rFonts w:hint="eastAsia" w:cs="Times New Roman"/>
                <w:color w:val="auto"/>
                <w:sz w:val="21"/>
                <w:szCs w:val="21"/>
                <w:lang w:val="en-US" w:eastAsia="zh-CN"/>
              </w:rPr>
              <w:t>泰熙安环（检）字：2025053006</w:t>
            </w:r>
            <w:r>
              <w:rPr>
                <w:rFonts w:hint="eastAsia" w:ascii="Times New Roman" w:hAnsi="Times New Roman" w:eastAsia="宋体" w:cs="Times New Roman"/>
                <w:color w:val="auto"/>
                <w:sz w:val="21"/>
                <w:szCs w:val="21"/>
                <w:lang w:val="en-US" w:eastAsia="zh-CN"/>
              </w:rPr>
              <w:t>）</w:t>
            </w:r>
            <w:r>
              <w:rPr>
                <w:rFonts w:hint="eastAsia" w:cs="Times New Roman"/>
                <w:color w:val="auto"/>
                <w:sz w:val="21"/>
                <w:szCs w:val="21"/>
                <w:lang w:val="en-US" w:eastAsia="zh-CN"/>
              </w:rPr>
              <w:t>数据</w:t>
            </w:r>
            <w:r>
              <w:rPr>
                <w:rFonts w:hint="eastAsia" w:eastAsia="宋体"/>
                <w:color w:val="auto"/>
                <w:sz w:val="21"/>
                <w:szCs w:val="21"/>
                <w:highlight w:val="none"/>
                <w:lang w:val="en-US" w:eastAsia="zh-CN"/>
              </w:rPr>
              <w:t>，监测期间，</w:t>
            </w:r>
            <w:r>
              <w:rPr>
                <w:rFonts w:hint="eastAsia"/>
                <w:color w:val="auto"/>
                <w:sz w:val="21"/>
                <w:szCs w:val="21"/>
                <w:lang w:val="en-US" w:eastAsia="zh-CN"/>
              </w:rPr>
              <w:t>现</w:t>
            </w:r>
            <w:r>
              <w:rPr>
                <w:rFonts w:hint="eastAsia" w:eastAsia="宋体"/>
                <w:color w:val="auto"/>
                <w:sz w:val="21"/>
                <w:szCs w:val="21"/>
                <w:lang w:eastAsia="zh-CN"/>
              </w:rPr>
              <w:t>有</w:t>
            </w:r>
            <w:r>
              <w:rPr>
                <w:rFonts w:hint="default"/>
                <w:color w:val="auto"/>
                <w:sz w:val="21"/>
                <w:szCs w:val="21"/>
              </w:rPr>
              <w:t>项目</w:t>
            </w:r>
            <w:r>
              <w:rPr>
                <w:rFonts w:hint="eastAsia"/>
                <w:color w:val="auto"/>
                <w:sz w:val="21"/>
                <w:szCs w:val="21"/>
                <w:lang w:eastAsia="zh-CN"/>
              </w:rPr>
              <w:t>生产负荷为</w:t>
            </w:r>
            <w:r>
              <w:rPr>
                <w:rFonts w:hint="eastAsia"/>
                <w:color w:val="auto"/>
                <w:sz w:val="21"/>
                <w:szCs w:val="21"/>
                <w:lang w:val="en-US" w:eastAsia="zh-CN"/>
              </w:rPr>
              <w:t>75%</w:t>
            </w:r>
            <w:r>
              <w:rPr>
                <w:rFonts w:hint="default"/>
                <w:color w:val="auto"/>
                <w:sz w:val="21"/>
                <w:szCs w:val="21"/>
              </w:rPr>
              <w:t>。</w:t>
            </w:r>
            <w:r>
              <w:rPr>
                <w:rFonts w:hint="default" w:ascii="Times New Roman" w:hAnsi="Times New Roman" w:eastAsia="宋体" w:cs="Times New Roman"/>
                <w:color w:val="auto"/>
                <w:sz w:val="21"/>
                <w:szCs w:val="21"/>
              </w:rPr>
              <w:t>监测结果如下</w:t>
            </w:r>
            <w:r>
              <w:rPr>
                <w:rFonts w:hint="default" w:ascii="Times New Roman" w:hAnsi="Times New Roman" w:eastAsia="宋体" w:cs="Times New Roman"/>
                <w:color w:val="auto"/>
                <w:sz w:val="21"/>
                <w:szCs w:val="21"/>
                <w:lang w:eastAsia="zh-CN"/>
              </w:rPr>
              <w:t>：</w:t>
            </w:r>
          </w:p>
          <w:p w14:paraId="061CC451">
            <w:pPr>
              <w:pStyle w:val="102"/>
              <w:keepNext w:val="0"/>
              <w:keepLines w:val="0"/>
              <w:pageBreakBefore w:val="0"/>
              <w:widowControl w:val="0"/>
              <w:kinsoku/>
              <w:wordWrap/>
              <w:overflowPunct/>
              <w:topLinePunct w:val="0"/>
              <w:autoSpaceDE w:val="0"/>
              <w:autoSpaceDN w:val="0"/>
              <w:bidi w:val="0"/>
              <w:adjustRightInd w:val="0"/>
              <w:snapToGrid/>
              <w:spacing w:line="36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eastAsia="zh-CN"/>
              </w:rPr>
              <w:t>表</w:t>
            </w:r>
            <w:r>
              <w:rPr>
                <w:rFonts w:hint="default" w:ascii="Times New Roman" w:hAnsi="Times New Roman" w:eastAsia="宋体" w:cs="Times New Roman"/>
                <w:b/>
                <w:bCs/>
                <w:color w:val="auto"/>
                <w:sz w:val="21"/>
                <w:szCs w:val="21"/>
                <w:lang w:val="en-US" w:eastAsia="zh-CN"/>
              </w:rPr>
              <w:t>2-25  厂界噪声现状监测结果</w:t>
            </w:r>
          </w:p>
          <w:tbl>
            <w:tblPr>
              <w:tblStyle w:val="8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9"/>
              <w:gridCol w:w="1659"/>
              <w:gridCol w:w="1659"/>
              <w:gridCol w:w="3319"/>
            </w:tblGrid>
            <w:tr w14:paraId="506D0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9" w:type="dxa"/>
                  <w:vMerge w:val="restart"/>
                  <w:noWrap w:val="0"/>
                  <w:vAlign w:val="center"/>
                </w:tcPr>
                <w:p w14:paraId="1A020E7E">
                  <w:pPr>
                    <w:jc w:val="center"/>
                    <w:rPr>
                      <w:bCs/>
                      <w:color w:val="auto"/>
                      <w:sz w:val="18"/>
                      <w:szCs w:val="18"/>
                    </w:rPr>
                  </w:pPr>
                  <w:r>
                    <w:rPr>
                      <w:bCs/>
                      <w:color w:val="auto"/>
                      <w:sz w:val="18"/>
                      <w:szCs w:val="18"/>
                    </w:rPr>
                    <w:t>检测日期</w:t>
                  </w:r>
                </w:p>
              </w:tc>
              <w:tc>
                <w:tcPr>
                  <w:tcW w:w="1659" w:type="dxa"/>
                  <w:vMerge w:val="restart"/>
                  <w:noWrap w:val="0"/>
                  <w:vAlign w:val="center"/>
                </w:tcPr>
                <w:p w14:paraId="50532FD4">
                  <w:pPr>
                    <w:jc w:val="center"/>
                    <w:rPr>
                      <w:bCs/>
                      <w:color w:val="auto"/>
                      <w:sz w:val="18"/>
                      <w:szCs w:val="18"/>
                    </w:rPr>
                  </w:pPr>
                  <w:r>
                    <w:rPr>
                      <w:bCs/>
                      <w:color w:val="auto"/>
                      <w:sz w:val="18"/>
                      <w:szCs w:val="18"/>
                    </w:rPr>
                    <w:t>点位编号</w:t>
                  </w:r>
                </w:p>
              </w:tc>
              <w:tc>
                <w:tcPr>
                  <w:tcW w:w="1659" w:type="dxa"/>
                  <w:vMerge w:val="restart"/>
                  <w:noWrap w:val="0"/>
                  <w:vAlign w:val="center"/>
                </w:tcPr>
                <w:p w14:paraId="2D30B22C">
                  <w:pPr>
                    <w:jc w:val="center"/>
                    <w:rPr>
                      <w:bCs/>
                      <w:color w:val="auto"/>
                      <w:sz w:val="18"/>
                      <w:szCs w:val="18"/>
                    </w:rPr>
                  </w:pPr>
                  <w:r>
                    <w:rPr>
                      <w:bCs/>
                      <w:color w:val="auto"/>
                      <w:sz w:val="18"/>
                      <w:szCs w:val="18"/>
                    </w:rPr>
                    <w:t>检测点位</w:t>
                  </w:r>
                </w:p>
              </w:tc>
              <w:tc>
                <w:tcPr>
                  <w:tcW w:w="3319" w:type="dxa"/>
                  <w:noWrap w:val="0"/>
                  <w:vAlign w:val="center"/>
                </w:tcPr>
                <w:p w14:paraId="4F6DB116">
                  <w:pPr>
                    <w:jc w:val="center"/>
                    <w:rPr>
                      <w:bCs/>
                      <w:color w:val="auto"/>
                      <w:sz w:val="18"/>
                      <w:szCs w:val="18"/>
                    </w:rPr>
                  </w:pPr>
                  <w:r>
                    <w:rPr>
                      <w:bCs/>
                      <w:color w:val="auto"/>
                      <w:sz w:val="18"/>
                      <w:szCs w:val="18"/>
                    </w:rPr>
                    <w:t>检测结果</w:t>
                  </w:r>
                  <w:r>
                    <w:rPr>
                      <w:rFonts w:ascii="Times New Roman" w:hAnsi="Times New Roman"/>
                      <w:bCs/>
                      <w:color w:val="auto"/>
                      <w:sz w:val="18"/>
                      <w:szCs w:val="18"/>
                    </w:rPr>
                    <w:t>Leq</w:t>
                  </w:r>
                  <w:r>
                    <w:rPr>
                      <w:bCs/>
                      <w:color w:val="auto"/>
                      <w:sz w:val="18"/>
                      <w:szCs w:val="18"/>
                    </w:rPr>
                    <w:t xml:space="preserve">  </w:t>
                  </w:r>
                  <w:r>
                    <w:rPr>
                      <w:rFonts w:ascii="Times New Roman" w:hAnsi="Times New Roman"/>
                      <w:bCs/>
                      <w:color w:val="auto"/>
                      <w:sz w:val="18"/>
                      <w:szCs w:val="18"/>
                    </w:rPr>
                    <w:t>dB</w:t>
                  </w:r>
                  <w:r>
                    <w:rPr>
                      <w:bCs/>
                      <w:color w:val="auto"/>
                      <w:sz w:val="18"/>
                      <w:szCs w:val="18"/>
                    </w:rPr>
                    <w:t>（</w:t>
                  </w:r>
                  <w:r>
                    <w:rPr>
                      <w:rFonts w:ascii="Times New Roman" w:hAnsi="Times New Roman"/>
                      <w:bCs/>
                      <w:color w:val="auto"/>
                      <w:sz w:val="18"/>
                      <w:szCs w:val="18"/>
                    </w:rPr>
                    <w:t>A</w:t>
                  </w:r>
                  <w:r>
                    <w:rPr>
                      <w:bCs/>
                      <w:color w:val="auto"/>
                      <w:sz w:val="18"/>
                      <w:szCs w:val="18"/>
                    </w:rPr>
                    <w:t>）</w:t>
                  </w:r>
                </w:p>
              </w:tc>
            </w:tr>
            <w:tr w14:paraId="44897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9" w:type="dxa"/>
                  <w:vMerge w:val="continue"/>
                  <w:noWrap w:val="0"/>
                  <w:vAlign w:val="center"/>
                </w:tcPr>
                <w:p w14:paraId="3D4FEA6A">
                  <w:pPr>
                    <w:jc w:val="center"/>
                    <w:rPr>
                      <w:bCs/>
                      <w:color w:val="auto"/>
                      <w:sz w:val="18"/>
                      <w:szCs w:val="18"/>
                    </w:rPr>
                  </w:pPr>
                </w:p>
              </w:tc>
              <w:tc>
                <w:tcPr>
                  <w:tcW w:w="1659" w:type="dxa"/>
                  <w:vMerge w:val="continue"/>
                  <w:noWrap w:val="0"/>
                  <w:vAlign w:val="center"/>
                </w:tcPr>
                <w:p w14:paraId="0BC87743">
                  <w:pPr>
                    <w:jc w:val="center"/>
                    <w:rPr>
                      <w:bCs/>
                      <w:color w:val="auto"/>
                      <w:sz w:val="18"/>
                      <w:szCs w:val="18"/>
                    </w:rPr>
                  </w:pPr>
                </w:p>
              </w:tc>
              <w:tc>
                <w:tcPr>
                  <w:tcW w:w="1659" w:type="dxa"/>
                  <w:vMerge w:val="continue"/>
                  <w:noWrap w:val="0"/>
                  <w:vAlign w:val="center"/>
                </w:tcPr>
                <w:p w14:paraId="03DB415D">
                  <w:pPr>
                    <w:jc w:val="center"/>
                    <w:rPr>
                      <w:bCs/>
                      <w:color w:val="auto"/>
                      <w:sz w:val="18"/>
                      <w:szCs w:val="18"/>
                    </w:rPr>
                  </w:pPr>
                </w:p>
              </w:tc>
              <w:tc>
                <w:tcPr>
                  <w:tcW w:w="3319" w:type="dxa"/>
                  <w:noWrap w:val="0"/>
                  <w:vAlign w:val="center"/>
                </w:tcPr>
                <w:p w14:paraId="147F9145">
                  <w:pPr>
                    <w:jc w:val="center"/>
                    <w:rPr>
                      <w:rFonts w:hint="eastAsia" w:eastAsia="宋体"/>
                      <w:bCs/>
                      <w:color w:val="auto"/>
                      <w:sz w:val="18"/>
                      <w:szCs w:val="18"/>
                      <w:lang w:eastAsia="zh-CN"/>
                    </w:rPr>
                  </w:pPr>
                  <w:r>
                    <w:rPr>
                      <w:bCs/>
                      <w:color w:val="auto"/>
                      <w:sz w:val="18"/>
                      <w:szCs w:val="18"/>
                    </w:rPr>
                    <w:t>昼间</w:t>
                  </w:r>
                </w:p>
              </w:tc>
            </w:tr>
            <w:tr w14:paraId="7BD4EA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9" w:type="dxa"/>
                  <w:vMerge w:val="restart"/>
                  <w:noWrap w:val="0"/>
                  <w:vAlign w:val="center"/>
                </w:tcPr>
                <w:p w14:paraId="41E5D33A">
                  <w:pPr>
                    <w:jc w:val="center"/>
                    <w:rPr>
                      <w:rFonts w:hint="default" w:eastAsia="宋体"/>
                      <w:bCs/>
                      <w:color w:val="auto"/>
                      <w:sz w:val="18"/>
                      <w:szCs w:val="18"/>
                      <w:lang w:val="en-US" w:eastAsia="zh-CN"/>
                    </w:rPr>
                  </w:pPr>
                  <w:r>
                    <w:rPr>
                      <w:rFonts w:hint="eastAsia" w:ascii="Times New Roman" w:hAnsi="Times New Roman"/>
                      <w:color w:val="auto"/>
                      <w:sz w:val="18"/>
                      <w:szCs w:val="18"/>
                    </w:rPr>
                    <w:t>202</w:t>
                  </w:r>
                  <w:r>
                    <w:rPr>
                      <w:rFonts w:hint="eastAsia"/>
                      <w:color w:val="auto"/>
                      <w:sz w:val="18"/>
                      <w:szCs w:val="18"/>
                      <w:lang w:val="en-US" w:eastAsia="zh-CN"/>
                    </w:rPr>
                    <w:t>5.6.6</w:t>
                  </w:r>
                </w:p>
              </w:tc>
              <w:tc>
                <w:tcPr>
                  <w:tcW w:w="1659" w:type="dxa"/>
                  <w:noWrap w:val="0"/>
                  <w:vAlign w:val="center"/>
                </w:tcPr>
                <w:p w14:paraId="2B982F24">
                  <w:pPr>
                    <w:jc w:val="center"/>
                    <w:rPr>
                      <w:color w:val="auto"/>
                      <w:sz w:val="18"/>
                      <w:szCs w:val="18"/>
                    </w:rPr>
                  </w:pPr>
                  <w:r>
                    <w:rPr>
                      <w:rFonts w:ascii="Times New Roman" w:hAnsi="Times New Roman"/>
                      <w:color w:val="auto"/>
                      <w:sz w:val="18"/>
                      <w:szCs w:val="18"/>
                    </w:rPr>
                    <w:t>1</w:t>
                  </w:r>
                  <w:r>
                    <w:rPr>
                      <w:color w:val="auto"/>
                      <w:sz w:val="18"/>
                      <w:szCs w:val="18"/>
                    </w:rPr>
                    <w:t>#</w:t>
                  </w:r>
                </w:p>
              </w:tc>
              <w:tc>
                <w:tcPr>
                  <w:tcW w:w="1659" w:type="dxa"/>
                  <w:noWrap w:val="0"/>
                  <w:vAlign w:val="center"/>
                </w:tcPr>
                <w:p w14:paraId="1955D13E">
                  <w:pPr>
                    <w:jc w:val="center"/>
                    <w:rPr>
                      <w:color w:val="auto"/>
                      <w:sz w:val="18"/>
                      <w:szCs w:val="18"/>
                    </w:rPr>
                  </w:pPr>
                  <w:r>
                    <w:rPr>
                      <w:rFonts w:hint="eastAsia"/>
                      <w:color w:val="auto"/>
                      <w:sz w:val="18"/>
                      <w:szCs w:val="18"/>
                      <w:lang w:eastAsia="zh-CN"/>
                    </w:rPr>
                    <w:t>东</w:t>
                  </w:r>
                  <w:r>
                    <w:rPr>
                      <w:color w:val="auto"/>
                      <w:sz w:val="18"/>
                      <w:szCs w:val="18"/>
                    </w:rPr>
                    <w:t>厂界外</w:t>
                  </w:r>
                  <w:r>
                    <w:rPr>
                      <w:rFonts w:ascii="Times New Roman" w:hAnsi="Times New Roman"/>
                      <w:color w:val="auto"/>
                      <w:sz w:val="18"/>
                      <w:szCs w:val="18"/>
                    </w:rPr>
                    <w:t>1m</w:t>
                  </w:r>
                </w:p>
              </w:tc>
              <w:tc>
                <w:tcPr>
                  <w:tcW w:w="3319" w:type="dxa"/>
                  <w:noWrap w:val="0"/>
                  <w:vAlign w:val="center"/>
                </w:tcPr>
                <w:p w14:paraId="467BA48A">
                  <w:pPr>
                    <w:spacing w:line="240" w:lineRule="auto"/>
                    <w:jc w:val="center"/>
                    <w:rPr>
                      <w:rFonts w:hint="default" w:ascii="Times New Roman" w:hAnsi="Times New Roman"/>
                      <w:bCs/>
                      <w:color w:val="auto"/>
                      <w:sz w:val="18"/>
                      <w:szCs w:val="18"/>
                      <w:lang w:val="en-US" w:eastAsia="zh-CN"/>
                    </w:rPr>
                  </w:pPr>
                  <w:r>
                    <w:rPr>
                      <w:rFonts w:hint="eastAsia"/>
                      <w:bCs/>
                      <w:color w:val="auto"/>
                      <w:sz w:val="18"/>
                      <w:szCs w:val="18"/>
                      <w:lang w:val="en-US" w:eastAsia="zh-CN"/>
                    </w:rPr>
                    <w:t>54.0</w:t>
                  </w:r>
                </w:p>
              </w:tc>
            </w:tr>
            <w:tr w14:paraId="4D93EF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9" w:type="dxa"/>
                  <w:vMerge w:val="continue"/>
                  <w:noWrap w:val="0"/>
                  <w:vAlign w:val="center"/>
                </w:tcPr>
                <w:p w14:paraId="0E695B49">
                  <w:pPr>
                    <w:jc w:val="center"/>
                    <w:rPr>
                      <w:bCs/>
                      <w:color w:val="auto"/>
                      <w:sz w:val="18"/>
                      <w:szCs w:val="18"/>
                    </w:rPr>
                  </w:pPr>
                </w:p>
              </w:tc>
              <w:tc>
                <w:tcPr>
                  <w:tcW w:w="1659" w:type="dxa"/>
                  <w:noWrap w:val="0"/>
                  <w:vAlign w:val="center"/>
                </w:tcPr>
                <w:p w14:paraId="381155B3">
                  <w:pPr>
                    <w:jc w:val="center"/>
                    <w:rPr>
                      <w:color w:val="auto"/>
                      <w:sz w:val="18"/>
                      <w:szCs w:val="18"/>
                    </w:rPr>
                  </w:pPr>
                  <w:r>
                    <w:rPr>
                      <w:rFonts w:ascii="Times New Roman" w:hAnsi="Times New Roman"/>
                      <w:color w:val="auto"/>
                      <w:sz w:val="18"/>
                      <w:szCs w:val="18"/>
                    </w:rPr>
                    <w:t>2</w:t>
                  </w:r>
                  <w:r>
                    <w:rPr>
                      <w:color w:val="auto"/>
                      <w:sz w:val="18"/>
                      <w:szCs w:val="18"/>
                    </w:rPr>
                    <w:t>#</w:t>
                  </w:r>
                </w:p>
              </w:tc>
              <w:tc>
                <w:tcPr>
                  <w:tcW w:w="1659" w:type="dxa"/>
                  <w:noWrap w:val="0"/>
                  <w:vAlign w:val="center"/>
                </w:tcPr>
                <w:p w14:paraId="7B3DCA76">
                  <w:pPr>
                    <w:jc w:val="center"/>
                    <w:rPr>
                      <w:color w:val="auto"/>
                      <w:sz w:val="18"/>
                      <w:szCs w:val="18"/>
                    </w:rPr>
                  </w:pPr>
                  <w:r>
                    <w:rPr>
                      <w:rFonts w:hint="eastAsia"/>
                      <w:color w:val="auto"/>
                      <w:sz w:val="18"/>
                      <w:szCs w:val="18"/>
                      <w:lang w:eastAsia="zh-CN"/>
                    </w:rPr>
                    <w:t>南</w:t>
                  </w:r>
                  <w:r>
                    <w:rPr>
                      <w:color w:val="auto"/>
                      <w:sz w:val="18"/>
                      <w:szCs w:val="18"/>
                    </w:rPr>
                    <w:t>厂界外</w:t>
                  </w:r>
                  <w:r>
                    <w:rPr>
                      <w:rFonts w:ascii="Times New Roman" w:hAnsi="Times New Roman"/>
                      <w:color w:val="auto"/>
                      <w:sz w:val="18"/>
                      <w:szCs w:val="18"/>
                    </w:rPr>
                    <w:t>1m</w:t>
                  </w:r>
                </w:p>
              </w:tc>
              <w:tc>
                <w:tcPr>
                  <w:tcW w:w="3319" w:type="dxa"/>
                  <w:noWrap w:val="0"/>
                  <w:vAlign w:val="center"/>
                </w:tcPr>
                <w:p w14:paraId="061A1506">
                  <w:pPr>
                    <w:spacing w:line="240" w:lineRule="auto"/>
                    <w:jc w:val="center"/>
                    <w:rPr>
                      <w:rFonts w:hint="default" w:ascii="Times New Roman" w:hAnsi="Times New Roman"/>
                      <w:bCs/>
                      <w:color w:val="auto"/>
                      <w:sz w:val="18"/>
                      <w:szCs w:val="18"/>
                      <w:lang w:val="en-US" w:eastAsia="zh-CN"/>
                    </w:rPr>
                  </w:pPr>
                  <w:r>
                    <w:rPr>
                      <w:rFonts w:hint="eastAsia"/>
                      <w:bCs/>
                      <w:color w:val="auto"/>
                      <w:sz w:val="18"/>
                      <w:szCs w:val="18"/>
                      <w:lang w:val="en-US" w:eastAsia="zh-CN"/>
                    </w:rPr>
                    <w:t>55.2</w:t>
                  </w:r>
                </w:p>
              </w:tc>
            </w:tr>
            <w:tr w14:paraId="7D2643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9" w:type="dxa"/>
                  <w:vMerge w:val="continue"/>
                  <w:noWrap w:val="0"/>
                  <w:vAlign w:val="center"/>
                </w:tcPr>
                <w:p w14:paraId="326A21E9">
                  <w:pPr>
                    <w:jc w:val="center"/>
                    <w:rPr>
                      <w:bCs/>
                      <w:color w:val="auto"/>
                      <w:sz w:val="18"/>
                      <w:szCs w:val="18"/>
                    </w:rPr>
                  </w:pPr>
                </w:p>
              </w:tc>
              <w:tc>
                <w:tcPr>
                  <w:tcW w:w="1659" w:type="dxa"/>
                  <w:noWrap w:val="0"/>
                  <w:vAlign w:val="center"/>
                </w:tcPr>
                <w:p w14:paraId="71427528">
                  <w:pPr>
                    <w:jc w:val="center"/>
                    <w:rPr>
                      <w:color w:val="auto"/>
                      <w:sz w:val="18"/>
                      <w:szCs w:val="18"/>
                    </w:rPr>
                  </w:pPr>
                  <w:r>
                    <w:rPr>
                      <w:rFonts w:ascii="Times New Roman" w:hAnsi="Times New Roman"/>
                      <w:color w:val="auto"/>
                      <w:sz w:val="18"/>
                      <w:szCs w:val="18"/>
                    </w:rPr>
                    <w:t>3</w:t>
                  </w:r>
                  <w:r>
                    <w:rPr>
                      <w:color w:val="auto"/>
                      <w:sz w:val="18"/>
                      <w:szCs w:val="18"/>
                    </w:rPr>
                    <w:t>#</w:t>
                  </w:r>
                </w:p>
              </w:tc>
              <w:tc>
                <w:tcPr>
                  <w:tcW w:w="1659" w:type="dxa"/>
                  <w:noWrap w:val="0"/>
                  <w:vAlign w:val="center"/>
                </w:tcPr>
                <w:p w14:paraId="3FA74C9B">
                  <w:pPr>
                    <w:jc w:val="center"/>
                    <w:rPr>
                      <w:color w:val="auto"/>
                      <w:sz w:val="18"/>
                      <w:szCs w:val="18"/>
                    </w:rPr>
                  </w:pPr>
                  <w:r>
                    <w:rPr>
                      <w:rFonts w:hint="eastAsia"/>
                      <w:color w:val="auto"/>
                      <w:sz w:val="18"/>
                      <w:szCs w:val="18"/>
                      <w:lang w:eastAsia="zh-CN"/>
                    </w:rPr>
                    <w:t>西</w:t>
                  </w:r>
                  <w:r>
                    <w:rPr>
                      <w:color w:val="auto"/>
                      <w:sz w:val="18"/>
                      <w:szCs w:val="18"/>
                    </w:rPr>
                    <w:t>厂界外</w:t>
                  </w:r>
                  <w:r>
                    <w:rPr>
                      <w:rFonts w:ascii="Times New Roman" w:hAnsi="Times New Roman"/>
                      <w:color w:val="auto"/>
                      <w:sz w:val="18"/>
                      <w:szCs w:val="18"/>
                    </w:rPr>
                    <w:t>1m</w:t>
                  </w:r>
                </w:p>
              </w:tc>
              <w:tc>
                <w:tcPr>
                  <w:tcW w:w="3319" w:type="dxa"/>
                  <w:noWrap w:val="0"/>
                  <w:vAlign w:val="center"/>
                </w:tcPr>
                <w:p w14:paraId="040F4D5D">
                  <w:pPr>
                    <w:spacing w:line="240" w:lineRule="auto"/>
                    <w:jc w:val="center"/>
                    <w:rPr>
                      <w:rFonts w:hint="default" w:ascii="Times New Roman" w:hAnsi="Times New Roman"/>
                      <w:bCs/>
                      <w:color w:val="auto"/>
                      <w:sz w:val="18"/>
                      <w:szCs w:val="18"/>
                      <w:lang w:val="en-US" w:eastAsia="zh-CN"/>
                    </w:rPr>
                  </w:pPr>
                  <w:r>
                    <w:rPr>
                      <w:rFonts w:hint="eastAsia"/>
                      <w:bCs/>
                      <w:color w:val="auto"/>
                      <w:sz w:val="18"/>
                      <w:szCs w:val="18"/>
                      <w:lang w:val="en-US" w:eastAsia="zh-CN"/>
                    </w:rPr>
                    <w:t>54.6</w:t>
                  </w:r>
                </w:p>
              </w:tc>
            </w:tr>
            <w:tr w14:paraId="327203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659" w:type="dxa"/>
                  <w:vMerge w:val="continue"/>
                  <w:noWrap w:val="0"/>
                  <w:vAlign w:val="center"/>
                </w:tcPr>
                <w:p w14:paraId="0C1A871D">
                  <w:pPr>
                    <w:jc w:val="center"/>
                    <w:rPr>
                      <w:bCs/>
                      <w:color w:val="auto"/>
                      <w:sz w:val="18"/>
                      <w:szCs w:val="18"/>
                    </w:rPr>
                  </w:pPr>
                </w:p>
              </w:tc>
              <w:tc>
                <w:tcPr>
                  <w:tcW w:w="1659" w:type="dxa"/>
                  <w:noWrap w:val="0"/>
                  <w:vAlign w:val="center"/>
                </w:tcPr>
                <w:p w14:paraId="261ED4D6">
                  <w:pPr>
                    <w:jc w:val="center"/>
                    <w:rPr>
                      <w:color w:val="auto"/>
                      <w:sz w:val="18"/>
                      <w:szCs w:val="18"/>
                    </w:rPr>
                  </w:pPr>
                  <w:r>
                    <w:rPr>
                      <w:rFonts w:ascii="Times New Roman" w:hAnsi="Times New Roman"/>
                      <w:color w:val="auto"/>
                      <w:sz w:val="18"/>
                      <w:szCs w:val="18"/>
                    </w:rPr>
                    <w:t>4</w:t>
                  </w:r>
                  <w:r>
                    <w:rPr>
                      <w:color w:val="auto"/>
                      <w:sz w:val="18"/>
                      <w:szCs w:val="18"/>
                    </w:rPr>
                    <w:t>#</w:t>
                  </w:r>
                </w:p>
              </w:tc>
              <w:tc>
                <w:tcPr>
                  <w:tcW w:w="1659" w:type="dxa"/>
                  <w:noWrap w:val="0"/>
                  <w:vAlign w:val="center"/>
                </w:tcPr>
                <w:p w14:paraId="148A97B4">
                  <w:pPr>
                    <w:jc w:val="center"/>
                    <w:rPr>
                      <w:color w:val="auto"/>
                      <w:sz w:val="18"/>
                      <w:szCs w:val="18"/>
                    </w:rPr>
                  </w:pPr>
                  <w:r>
                    <w:rPr>
                      <w:rFonts w:hint="eastAsia"/>
                      <w:color w:val="auto"/>
                      <w:sz w:val="18"/>
                      <w:szCs w:val="18"/>
                      <w:lang w:eastAsia="zh-CN"/>
                    </w:rPr>
                    <w:t>北</w:t>
                  </w:r>
                  <w:r>
                    <w:rPr>
                      <w:color w:val="auto"/>
                      <w:sz w:val="18"/>
                      <w:szCs w:val="18"/>
                    </w:rPr>
                    <w:t>厂界外</w:t>
                  </w:r>
                  <w:r>
                    <w:rPr>
                      <w:rFonts w:ascii="Times New Roman" w:hAnsi="Times New Roman"/>
                      <w:color w:val="auto"/>
                      <w:sz w:val="18"/>
                      <w:szCs w:val="18"/>
                    </w:rPr>
                    <w:t>1m</w:t>
                  </w:r>
                </w:p>
              </w:tc>
              <w:tc>
                <w:tcPr>
                  <w:tcW w:w="3319" w:type="dxa"/>
                  <w:noWrap w:val="0"/>
                  <w:vAlign w:val="center"/>
                </w:tcPr>
                <w:p w14:paraId="1308745A">
                  <w:pPr>
                    <w:spacing w:line="240" w:lineRule="auto"/>
                    <w:jc w:val="center"/>
                    <w:rPr>
                      <w:rFonts w:hint="default" w:ascii="Times New Roman" w:hAnsi="Times New Roman"/>
                      <w:bCs/>
                      <w:color w:val="auto"/>
                      <w:sz w:val="18"/>
                      <w:szCs w:val="18"/>
                      <w:lang w:val="en-US" w:eastAsia="zh-CN"/>
                    </w:rPr>
                  </w:pPr>
                  <w:r>
                    <w:rPr>
                      <w:rFonts w:hint="eastAsia"/>
                      <w:bCs/>
                      <w:color w:val="auto"/>
                      <w:sz w:val="18"/>
                      <w:szCs w:val="18"/>
                      <w:lang w:val="en-US" w:eastAsia="zh-CN"/>
                    </w:rPr>
                    <w:t>56.5</w:t>
                  </w:r>
                </w:p>
              </w:tc>
            </w:tr>
          </w:tbl>
          <w:p w14:paraId="0641EA7A">
            <w:pPr>
              <w:pStyle w:val="102"/>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eastAsia" w:ascii="黑体" w:hAnsi="黑体" w:eastAsia="黑体" w:cs="黑体"/>
                <w:color w:val="auto"/>
                <w:sz w:val="21"/>
                <w:szCs w:val="21"/>
                <w:lang w:val="en-US" w:eastAsia="zh-CN"/>
              </w:rPr>
            </w:pPr>
            <w:r>
              <w:rPr>
                <w:rFonts w:hint="eastAsia" w:cs="Times New Roman"/>
                <w:color w:val="auto"/>
                <w:sz w:val="21"/>
                <w:szCs w:val="21"/>
                <w:lang w:eastAsia="zh-CN"/>
              </w:rPr>
              <w:t>现有项目夜间不生产，</w:t>
            </w:r>
            <w:r>
              <w:rPr>
                <w:rFonts w:hint="default" w:ascii="Times New Roman" w:hAnsi="Times New Roman" w:eastAsia="宋体" w:cs="Times New Roman"/>
                <w:color w:val="auto"/>
                <w:sz w:val="21"/>
                <w:szCs w:val="21"/>
                <w:lang w:eastAsia="zh-CN"/>
              </w:rPr>
              <w:t>根据</w:t>
            </w:r>
            <w:r>
              <w:rPr>
                <w:rFonts w:hint="default" w:ascii="Times New Roman" w:hAnsi="Times New Roman" w:eastAsia="宋体" w:cs="Times New Roman"/>
                <w:color w:val="auto"/>
                <w:sz w:val="21"/>
                <w:szCs w:val="21"/>
              </w:rPr>
              <w:t>监</w:t>
            </w:r>
            <w:r>
              <w:rPr>
                <w:rFonts w:hint="default" w:ascii="Times New Roman" w:hAnsi="Times New Roman" w:eastAsia="宋体" w:cs="Times New Roman"/>
                <w:color w:val="auto"/>
                <w:sz w:val="21"/>
                <w:szCs w:val="21"/>
                <w:lang w:eastAsia="zh-CN"/>
              </w:rPr>
              <w:t>测</w:t>
            </w:r>
            <w:r>
              <w:rPr>
                <w:rFonts w:hint="default" w:ascii="Times New Roman" w:hAnsi="Times New Roman" w:eastAsia="宋体" w:cs="Times New Roman"/>
                <w:color w:val="auto"/>
                <w:sz w:val="21"/>
                <w:szCs w:val="21"/>
              </w:rPr>
              <w:t>结果</w:t>
            </w:r>
            <w:r>
              <w:rPr>
                <w:rFonts w:hint="default" w:ascii="Times New Roman" w:hAnsi="Times New Roman" w:eastAsia="宋体" w:cs="Times New Roman"/>
                <w:color w:val="auto"/>
                <w:sz w:val="21"/>
                <w:szCs w:val="21"/>
                <w:lang w:eastAsia="zh-CN"/>
              </w:rPr>
              <w:t>，</w:t>
            </w:r>
            <w:r>
              <w:rPr>
                <w:rFonts w:hint="eastAsia" w:ascii="Times New Roman" w:hAnsi="Times New Roman" w:cs="Times New Roman"/>
                <w:color w:val="auto"/>
                <w:sz w:val="21"/>
                <w:szCs w:val="21"/>
                <w:lang w:eastAsia="zh-CN"/>
              </w:rPr>
              <w:t>现有项目</w:t>
            </w:r>
            <w:r>
              <w:rPr>
                <w:rFonts w:hint="default" w:ascii="Times New Roman" w:hAnsi="Times New Roman" w:eastAsia="宋体" w:cs="Times New Roman"/>
                <w:color w:val="auto"/>
                <w:sz w:val="21"/>
                <w:szCs w:val="21"/>
              </w:rPr>
              <w:t>厂界</w:t>
            </w:r>
            <w:r>
              <w:rPr>
                <w:rFonts w:hint="eastAsia" w:ascii="Times New Roman" w:hAnsi="Times New Roman" w:eastAsia="宋体" w:cs="Times New Roman"/>
                <w:color w:val="auto"/>
                <w:sz w:val="21"/>
                <w:szCs w:val="21"/>
                <w:lang w:eastAsia="zh-CN"/>
              </w:rPr>
              <w:t>昼</w:t>
            </w:r>
            <w:r>
              <w:rPr>
                <w:rFonts w:hint="default" w:ascii="Times New Roman" w:hAnsi="Times New Roman" w:eastAsia="宋体" w:cs="Times New Roman"/>
                <w:color w:val="auto"/>
                <w:sz w:val="21"/>
                <w:szCs w:val="21"/>
              </w:rPr>
              <w:t>噪声能够满足《工业企业厂界环境噪声</w:t>
            </w:r>
            <w:r>
              <w:rPr>
                <w:rFonts w:hint="default" w:ascii="Times New Roman" w:hAnsi="Times New Roman" w:eastAsia="宋体" w:cs="Times New Roman"/>
                <w:color w:val="auto"/>
                <w:sz w:val="21"/>
                <w:szCs w:val="21"/>
                <w:lang w:eastAsia="zh-CN"/>
              </w:rPr>
              <w:t>排放</w:t>
            </w:r>
            <w:r>
              <w:rPr>
                <w:rFonts w:hint="default" w:ascii="Times New Roman" w:hAnsi="Times New Roman" w:eastAsia="宋体" w:cs="Times New Roman"/>
                <w:color w:val="auto"/>
                <w:sz w:val="21"/>
                <w:szCs w:val="21"/>
              </w:rPr>
              <w:t>标准》（</w:t>
            </w:r>
            <w:r>
              <w:rPr>
                <w:rFonts w:hint="default" w:ascii="Times New Roman" w:hAnsi="Times New Roman" w:eastAsia="宋体" w:cs="Times New Roman"/>
                <w:color w:val="auto"/>
                <w:sz w:val="21"/>
                <w:szCs w:val="21"/>
                <w:lang w:val="en-US" w:eastAsia="zh-CN"/>
              </w:rPr>
              <w:t>GB</w:t>
            </w:r>
            <w:r>
              <w:rPr>
                <w:rFonts w:hint="default" w:ascii="Times New Roman" w:hAnsi="Times New Roman" w:eastAsia="宋体" w:cs="Times New Roman"/>
                <w:color w:val="auto"/>
                <w:sz w:val="21"/>
                <w:szCs w:val="21"/>
              </w:rPr>
              <w:t>12348－</w:t>
            </w:r>
            <w:r>
              <w:rPr>
                <w:rFonts w:hint="default" w:ascii="Times New Roman" w:hAnsi="Times New Roman" w:eastAsia="宋体" w:cs="Times New Roman"/>
                <w:color w:val="auto"/>
                <w:sz w:val="21"/>
                <w:szCs w:val="21"/>
                <w:lang w:val="en-US" w:eastAsia="zh-CN"/>
              </w:rPr>
              <w:t>200</w:t>
            </w:r>
            <w:r>
              <w:rPr>
                <w:rFonts w:hint="eastAsia" w:cs="Times New Roman"/>
                <w:color w:val="auto"/>
                <w:sz w:val="21"/>
                <w:szCs w:val="21"/>
                <w:lang w:val="en-US" w:eastAsia="zh-CN"/>
              </w:rPr>
              <w:t>8</w:t>
            </w:r>
            <w:r>
              <w:rPr>
                <w:rFonts w:hint="default" w:ascii="Times New Roman" w:hAnsi="Times New Roman" w:eastAsia="宋体" w:cs="Times New Roman"/>
                <w:color w:val="auto"/>
                <w:sz w:val="21"/>
                <w:szCs w:val="21"/>
                <w:lang w:val="en-US" w:eastAsia="zh-CN"/>
              </w:rPr>
              <w:t>）</w:t>
            </w:r>
            <w:r>
              <w:rPr>
                <w:rFonts w:hint="default" w:ascii="Times New Roman" w:hAnsi="Times New Roman" w:eastAsia="宋体" w:cs="Times New Roman"/>
                <w:color w:val="auto"/>
                <w:sz w:val="21"/>
                <w:szCs w:val="21"/>
              </w:rPr>
              <w:t>2类标准要求</w:t>
            </w:r>
            <w:r>
              <w:rPr>
                <w:rFonts w:hint="default" w:ascii="Times New Roman" w:hAnsi="Times New Roman" w:eastAsia="宋体" w:cs="Times New Roman"/>
                <w:color w:val="auto"/>
                <w:sz w:val="21"/>
                <w:szCs w:val="21"/>
                <w:lang w:eastAsia="zh-CN"/>
              </w:rPr>
              <w:t>。项目噪声</w:t>
            </w:r>
            <w:r>
              <w:rPr>
                <w:rFonts w:hint="default" w:ascii="Times New Roman" w:hAnsi="Times New Roman" w:eastAsia="宋体" w:cs="Times New Roman"/>
                <w:color w:val="auto"/>
                <w:sz w:val="21"/>
                <w:szCs w:val="21"/>
              </w:rPr>
              <w:t>达标排放，对周围</w:t>
            </w:r>
            <w:r>
              <w:rPr>
                <w:rFonts w:hint="default" w:ascii="Times New Roman" w:hAnsi="Times New Roman" w:eastAsia="宋体" w:cs="Times New Roman"/>
                <w:color w:val="auto"/>
                <w:sz w:val="21"/>
                <w:szCs w:val="21"/>
                <w:lang w:eastAsia="zh-CN"/>
              </w:rPr>
              <w:t>环境</w:t>
            </w:r>
            <w:r>
              <w:rPr>
                <w:rFonts w:hint="default" w:ascii="Times New Roman" w:hAnsi="Times New Roman" w:eastAsia="宋体" w:cs="Times New Roman"/>
                <w:color w:val="auto"/>
                <w:sz w:val="21"/>
                <w:szCs w:val="21"/>
              </w:rPr>
              <w:t>影响很小。</w:t>
            </w:r>
          </w:p>
          <w:p w14:paraId="45CEE6A7">
            <w:pPr>
              <w:pStyle w:val="11"/>
              <w:adjustRightInd w:val="0"/>
              <w:snapToGrid w:val="0"/>
              <w:spacing w:line="360" w:lineRule="auto"/>
            </w:pPr>
            <w:r>
              <w:t>4、固废</w:t>
            </w:r>
          </w:p>
          <w:p w14:paraId="4155335E">
            <w:pPr>
              <w:pStyle w:val="2"/>
              <w:keepNext w:val="0"/>
              <w:keepLines w:val="0"/>
              <w:pageBreakBefore w:val="0"/>
              <w:kinsoku/>
              <w:wordWrap/>
              <w:overflowPunct/>
              <w:topLinePunct w:val="0"/>
              <w:autoSpaceDE w:val="0"/>
              <w:autoSpaceDN/>
              <w:bidi w:val="0"/>
              <w:spacing w:after="0" w:line="360" w:lineRule="auto"/>
              <w:ind w:left="0" w:leftChars="0" w:firstLine="480"/>
              <w:jc w:val="both"/>
              <w:textAlignment w:val="auto"/>
              <w:rPr>
                <w:rFonts w:ascii="Times New Roman" w:hAnsi="Times New Roman"/>
                <w:sz w:val="28"/>
                <w:szCs w:val="28"/>
                <w:highlight w:val="none"/>
                <w:lang w:eastAsia="zh-CN"/>
              </w:rPr>
            </w:pPr>
            <w:r>
              <w:rPr>
                <w:rFonts w:hint="eastAsia" w:cs="Times New Roman"/>
                <w:color w:val="0C0C0C"/>
                <w:spacing w:val="0"/>
                <w:kern w:val="2"/>
                <w:sz w:val="21"/>
                <w:szCs w:val="21"/>
                <w:lang w:val="en-US" w:eastAsia="zh-CN" w:bidi="ar"/>
              </w:rPr>
              <w:t>根据现有项目实际情况，</w:t>
            </w:r>
            <w:r>
              <w:rPr>
                <w:rFonts w:hint="default" w:ascii="Times New Roman" w:hAnsi="Times New Roman" w:eastAsia="宋体" w:cs="Times New Roman"/>
                <w:color w:val="0C0C0C"/>
                <w:spacing w:val="0"/>
                <w:kern w:val="2"/>
                <w:sz w:val="21"/>
                <w:szCs w:val="21"/>
                <w:lang w:val="en-US" w:eastAsia="zh-CN" w:bidi="ar"/>
              </w:rPr>
              <w:t>现有项目固废主要为</w:t>
            </w:r>
            <w:r>
              <w:rPr>
                <w:rFonts w:hint="default" w:ascii="Times New Roman" w:hAnsi="Times New Roman" w:eastAsia="宋体" w:cs="Times New Roman"/>
                <w:caps w:val="0"/>
                <w:snapToGrid w:val="0"/>
                <w:color w:val="0C0C0C"/>
                <w:spacing w:val="0"/>
                <w:position w:val="0"/>
                <w:sz w:val="21"/>
                <w:szCs w:val="21"/>
                <w:highlight w:val="none"/>
                <w:lang w:eastAsia="zh-CN"/>
              </w:rPr>
              <w:t>生活垃圾</w:t>
            </w:r>
            <w:r>
              <w:rPr>
                <w:rFonts w:hint="default" w:ascii="Times New Roman" w:hAnsi="Times New Roman" w:eastAsia="宋体" w:cs="Times New Roman"/>
                <w:spacing w:val="0"/>
                <w:sz w:val="21"/>
                <w:szCs w:val="21"/>
                <w:lang w:eastAsia="zh-CN"/>
              </w:rPr>
              <w:t>、</w:t>
            </w:r>
            <w:r>
              <w:rPr>
                <w:rFonts w:hint="default" w:ascii="Times New Roman" w:hAnsi="Times New Roman" w:eastAsia="宋体" w:cs="Times New Roman"/>
                <w:caps w:val="0"/>
                <w:snapToGrid w:val="0"/>
                <w:color w:val="0C0C0C"/>
                <w:spacing w:val="0"/>
                <w:position w:val="0"/>
                <w:sz w:val="21"/>
                <w:szCs w:val="21"/>
                <w:highlight w:val="none"/>
                <w:lang w:val="en-US" w:eastAsia="zh-CN"/>
              </w:rPr>
              <w:t>一般工业固废</w:t>
            </w:r>
            <w:r>
              <w:rPr>
                <w:rFonts w:hint="eastAsia" w:cs="Times New Roman"/>
                <w:caps w:val="0"/>
                <w:snapToGrid w:val="0"/>
                <w:color w:val="0C0C0C"/>
                <w:spacing w:val="0"/>
                <w:position w:val="0"/>
                <w:sz w:val="21"/>
                <w:szCs w:val="21"/>
                <w:highlight w:val="none"/>
                <w:lang w:val="en-US" w:eastAsia="zh-CN"/>
              </w:rPr>
              <w:t>及危险废物</w:t>
            </w:r>
            <w:r>
              <w:rPr>
                <w:rFonts w:hint="default" w:ascii="Times New Roman" w:hAnsi="Times New Roman" w:eastAsia="宋体" w:cs="Times New Roman"/>
                <w:caps w:val="0"/>
                <w:snapToGrid w:val="0"/>
                <w:color w:val="0C0C0C"/>
                <w:spacing w:val="0"/>
                <w:position w:val="0"/>
                <w:sz w:val="21"/>
                <w:szCs w:val="21"/>
                <w:highlight w:val="none"/>
                <w:lang w:eastAsia="zh-CN"/>
              </w:rPr>
              <w:t>。</w:t>
            </w:r>
            <w:r>
              <w:rPr>
                <w:rFonts w:hint="default" w:ascii="Times New Roman" w:hAnsi="Times New Roman" w:eastAsia="宋体" w:cs="Times New Roman"/>
                <w:caps w:val="0"/>
                <w:snapToGrid w:val="0"/>
                <w:color w:val="0C0C0C"/>
                <w:spacing w:val="0"/>
                <w:position w:val="0"/>
                <w:sz w:val="21"/>
                <w:szCs w:val="21"/>
                <w:highlight w:val="none"/>
                <w:lang w:val="en-US" w:eastAsia="zh-CN"/>
              </w:rPr>
              <w:t>一般工业固废</w:t>
            </w:r>
            <w:r>
              <w:rPr>
                <w:rFonts w:hint="eastAsia" w:cs="Times New Roman"/>
                <w:caps w:val="0"/>
                <w:snapToGrid w:val="0"/>
                <w:color w:val="0C0C0C"/>
                <w:spacing w:val="0"/>
                <w:position w:val="0"/>
                <w:sz w:val="21"/>
                <w:szCs w:val="21"/>
                <w:highlight w:val="none"/>
                <w:lang w:val="en-US" w:eastAsia="zh-CN"/>
              </w:rPr>
              <w:t>主要</w:t>
            </w:r>
            <w:r>
              <w:rPr>
                <w:rFonts w:hint="default" w:ascii="Times New Roman" w:hAnsi="Times New Roman" w:eastAsia="宋体" w:cs="Times New Roman"/>
                <w:caps w:val="0"/>
                <w:snapToGrid w:val="0"/>
                <w:color w:val="0C0C0C"/>
                <w:spacing w:val="0"/>
                <w:position w:val="0"/>
                <w:sz w:val="21"/>
                <w:szCs w:val="21"/>
                <w:highlight w:val="none"/>
                <w:lang w:val="en-US" w:eastAsia="zh-CN"/>
              </w:rPr>
              <w:t>为</w:t>
            </w:r>
            <w:r>
              <w:rPr>
                <w:rFonts w:hint="eastAsia" w:cs="Times New Roman"/>
                <w:caps w:val="0"/>
                <w:snapToGrid w:val="0"/>
                <w:color w:val="0C0C0C"/>
                <w:spacing w:val="0"/>
                <w:position w:val="0"/>
                <w:sz w:val="21"/>
                <w:szCs w:val="21"/>
                <w:highlight w:val="none"/>
                <w:lang w:val="en-US" w:eastAsia="zh-CN"/>
              </w:rPr>
              <w:t>下料、开孔工序产生的金属边角料，产生量为1.9t/a，收集后外卖处理；焊接工序产生的废焊渣，产生量0.1t/a，收集后外卖处理；焊烟净化器收集的粉尘，产生量为0.1t/a，收集后外卖处理；危险废物主要有刷漆工序产生的废油漆桶、稀释剂桶（危废代码</w:t>
            </w:r>
            <w:r>
              <w:rPr>
                <w:rFonts w:hint="default" w:ascii="Times New Roman" w:hAnsi="Times New Roman" w:eastAsia="宋体" w:cs="Times New Roman"/>
                <w:caps w:val="0"/>
                <w:snapToGrid w:val="0"/>
                <w:color w:val="0C0C0C"/>
                <w:spacing w:val="0"/>
                <w:position w:val="0"/>
                <w:sz w:val="21"/>
                <w:szCs w:val="21"/>
                <w:highlight w:val="none"/>
                <w:lang w:val="en-US" w:eastAsia="zh-CN"/>
              </w:rPr>
              <w:t>900-252-12</w:t>
            </w:r>
            <w:r>
              <w:rPr>
                <w:rFonts w:hint="eastAsia" w:cs="Times New Roman"/>
                <w:caps w:val="0"/>
                <w:snapToGrid w:val="0"/>
                <w:color w:val="0C0C0C"/>
                <w:spacing w:val="0"/>
                <w:position w:val="0"/>
                <w:sz w:val="21"/>
                <w:szCs w:val="21"/>
                <w:highlight w:val="none"/>
                <w:lang w:val="en-US" w:eastAsia="zh-CN"/>
              </w:rPr>
              <w:t>），产生量为20个/a，约0.03t/a；废气处理过程产生的废活性炭（危废代码900-039-49），产生量0.06t/a，以上所有危险废物</w:t>
            </w:r>
            <w:r>
              <w:rPr>
                <w:rFonts w:hint="eastAsia" w:ascii="Times New Roman" w:hAnsi="Times New Roman"/>
                <w:sz w:val="21"/>
                <w:szCs w:val="21"/>
                <w:highlight w:val="none"/>
                <w:lang w:eastAsia="zh-CN"/>
              </w:rPr>
              <w:t>产生后暂存危废间</w:t>
            </w:r>
            <w:r>
              <w:rPr>
                <w:rFonts w:hint="eastAsia"/>
                <w:sz w:val="21"/>
                <w:szCs w:val="21"/>
                <w:highlight w:val="none"/>
                <w:lang w:eastAsia="zh-CN"/>
              </w:rPr>
              <w:t>内</w:t>
            </w:r>
            <w:r>
              <w:rPr>
                <w:rFonts w:hint="eastAsia" w:ascii="Times New Roman" w:hAnsi="Times New Roman"/>
                <w:sz w:val="21"/>
                <w:szCs w:val="21"/>
                <w:highlight w:val="none"/>
                <w:lang w:eastAsia="zh-CN"/>
              </w:rPr>
              <w:t>，委托危废处置</w:t>
            </w:r>
            <w:r>
              <w:rPr>
                <w:rFonts w:ascii="Times New Roman" w:hAnsi="Times New Roman"/>
                <w:sz w:val="21"/>
                <w:szCs w:val="21"/>
                <w:highlight w:val="none"/>
                <w:lang w:eastAsia="zh-CN"/>
              </w:rPr>
              <w:t>资质单位进行</w:t>
            </w:r>
            <w:r>
              <w:rPr>
                <w:rFonts w:hint="eastAsia" w:ascii="Times New Roman" w:hAnsi="Times New Roman"/>
                <w:sz w:val="21"/>
                <w:szCs w:val="21"/>
                <w:highlight w:val="none"/>
                <w:lang w:eastAsia="zh-CN"/>
              </w:rPr>
              <w:t>处置；职工生活垃圾</w:t>
            </w:r>
            <w:r>
              <w:rPr>
                <w:rFonts w:hint="eastAsia" w:ascii="宋体" w:hAnsi="宋体"/>
                <w:sz w:val="21"/>
                <w:szCs w:val="21"/>
                <w:highlight w:val="none"/>
              </w:rPr>
              <w:t>产生量为</w:t>
            </w:r>
            <w:r>
              <w:rPr>
                <w:rFonts w:hint="eastAsia"/>
                <w:sz w:val="21"/>
                <w:szCs w:val="21"/>
                <w:highlight w:val="none"/>
                <w:lang w:val="en-US" w:eastAsia="zh-CN"/>
              </w:rPr>
              <w:t>2.7</w:t>
            </w:r>
            <w:r>
              <w:rPr>
                <w:rFonts w:hint="eastAsia" w:ascii="Times New Roman" w:hAnsi="Times New Roman"/>
                <w:sz w:val="21"/>
                <w:szCs w:val="21"/>
                <w:highlight w:val="none"/>
              </w:rPr>
              <w:t>t/a</w:t>
            </w:r>
            <w:r>
              <w:rPr>
                <w:rFonts w:hint="eastAsia" w:ascii="宋体" w:hAnsi="宋体"/>
                <w:sz w:val="21"/>
                <w:szCs w:val="21"/>
                <w:highlight w:val="none"/>
              </w:rPr>
              <w:t>，由环卫部门定期清运。</w:t>
            </w:r>
          </w:p>
          <w:p w14:paraId="4ECCC8AA">
            <w:pPr>
              <w:pStyle w:val="102"/>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项目</w:t>
            </w:r>
            <w:r>
              <w:rPr>
                <w:rFonts w:hint="eastAsia" w:ascii="Times New Roman" w:hAnsi="Times New Roman" w:cs="Times New Roman"/>
                <w:color w:val="auto"/>
                <w:sz w:val="21"/>
                <w:szCs w:val="21"/>
                <w:lang w:eastAsia="zh-CN"/>
              </w:rPr>
              <w:t>固</w:t>
            </w:r>
            <w:r>
              <w:rPr>
                <w:rFonts w:hint="default" w:ascii="Times New Roman" w:hAnsi="Times New Roman" w:eastAsia="宋体" w:cs="Times New Roman"/>
                <w:color w:val="auto"/>
                <w:sz w:val="21"/>
                <w:szCs w:val="21"/>
                <w:lang w:eastAsia="zh-CN"/>
              </w:rPr>
              <w:t>废</w:t>
            </w:r>
            <w:r>
              <w:rPr>
                <w:rFonts w:hint="default" w:ascii="Times New Roman" w:hAnsi="Times New Roman" w:eastAsia="宋体" w:cs="Times New Roman"/>
                <w:color w:val="auto"/>
                <w:sz w:val="21"/>
                <w:szCs w:val="21"/>
              </w:rPr>
              <w:t>去向明确，不会产生二次污染，对</w:t>
            </w:r>
            <w:r>
              <w:rPr>
                <w:rFonts w:hint="default" w:ascii="Times New Roman" w:hAnsi="Times New Roman" w:eastAsia="宋体" w:cs="Times New Roman"/>
                <w:color w:val="auto"/>
                <w:sz w:val="21"/>
                <w:szCs w:val="21"/>
                <w:lang w:eastAsia="zh-CN"/>
              </w:rPr>
              <w:t>周围</w:t>
            </w:r>
            <w:r>
              <w:rPr>
                <w:rFonts w:hint="default" w:ascii="Times New Roman" w:hAnsi="Times New Roman" w:eastAsia="宋体" w:cs="Times New Roman"/>
                <w:color w:val="auto"/>
                <w:sz w:val="21"/>
                <w:szCs w:val="21"/>
              </w:rPr>
              <w:t>环境</w:t>
            </w:r>
            <w:r>
              <w:rPr>
                <w:rFonts w:hint="default" w:ascii="Times New Roman" w:hAnsi="Times New Roman" w:eastAsia="宋体" w:cs="Times New Roman"/>
                <w:color w:val="auto"/>
                <w:sz w:val="21"/>
                <w:szCs w:val="21"/>
                <w:lang w:eastAsia="zh-CN"/>
              </w:rPr>
              <w:t>影响</w:t>
            </w:r>
            <w:r>
              <w:rPr>
                <w:rFonts w:hint="default" w:ascii="Times New Roman" w:hAnsi="Times New Roman" w:eastAsia="宋体" w:cs="Times New Roman"/>
                <w:color w:val="auto"/>
                <w:sz w:val="21"/>
                <w:szCs w:val="21"/>
              </w:rPr>
              <w:t>很小。</w:t>
            </w:r>
          </w:p>
          <w:p w14:paraId="033C4ACA">
            <w:pPr>
              <w:pStyle w:val="102"/>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left"/>
              <w:textAlignment w:val="auto"/>
              <w:rPr>
                <w:rFonts w:hint="eastAsia" w:ascii="黑体" w:hAnsi="黑体" w:eastAsia="黑体" w:cs="黑体"/>
                <w:b w:val="0"/>
                <w:bCs w:val="0"/>
                <w:color w:val="auto"/>
                <w:sz w:val="21"/>
                <w:szCs w:val="21"/>
                <w:highlight w:val="none"/>
                <w:lang w:eastAsia="zh-CN"/>
              </w:rPr>
            </w:pPr>
            <w:r>
              <w:rPr>
                <w:rFonts w:hint="eastAsia"/>
                <w:b w:val="0"/>
                <w:bCs w:val="0"/>
                <w:color w:val="auto"/>
                <w:sz w:val="21"/>
                <w:szCs w:val="21"/>
                <w:lang w:eastAsia="zh-CN"/>
              </w:rPr>
              <w:t>现有项目产污情况见下</w:t>
            </w:r>
            <w:r>
              <w:rPr>
                <w:rFonts w:hint="eastAsia"/>
                <w:b w:val="0"/>
                <w:bCs w:val="0"/>
                <w:color w:val="auto"/>
                <w:sz w:val="21"/>
                <w:szCs w:val="21"/>
                <w:highlight w:val="none"/>
                <w:lang w:eastAsia="zh-CN"/>
              </w:rPr>
              <w:t>表。</w:t>
            </w:r>
          </w:p>
          <w:p w14:paraId="720B211A">
            <w:pPr>
              <w:pStyle w:val="102"/>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黑体" w:cs="Times New Roman"/>
                <w:b/>
                <w:bCs/>
                <w:color w:val="auto"/>
                <w:sz w:val="21"/>
                <w:szCs w:val="21"/>
                <w:highlight w:val="none"/>
                <w:lang w:eastAsia="zh-CN"/>
              </w:rPr>
            </w:pPr>
          </w:p>
          <w:p w14:paraId="2C6613AB">
            <w:pPr>
              <w:pStyle w:val="102"/>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黑体" w:cs="Times New Roman"/>
                <w:b/>
                <w:bCs/>
                <w:color w:val="auto"/>
                <w:sz w:val="21"/>
                <w:szCs w:val="21"/>
                <w:highlight w:val="none"/>
                <w:lang w:eastAsia="zh-CN"/>
              </w:rPr>
            </w:pPr>
          </w:p>
          <w:p w14:paraId="5F310EE9">
            <w:pPr>
              <w:pStyle w:val="102"/>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黑体" w:cs="Times New Roman"/>
                <w:b/>
                <w:bCs/>
                <w:color w:val="auto"/>
                <w:sz w:val="21"/>
                <w:szCs w:val="21"/>
                <w:highlight w:val="none"/>
                <w:lang w:eastAsia="zh-CN"/>
              </w:rPr>
            </w:pPr>
          </w:p>
          <w:p w14:paraId="2489CB39">
            <w:pPr>
              <w:pStyle w:val="102"/>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b/>
                <w:bCs/>
                <w:color w:val="auto"/>
                <w:sz w:val="21"/>
                <w:szCs w:val="21"/>
                <w:highlight w:val="none"/>
                <w:lang w:val="en-US" w:eastAsia="zh-CN"/>
              </w:rPr>
            </w:pPr>
            <w:r>
              <w:rPr>
                <w:rFonts w:hint="default" w:ascii="Times New Roman" w:hAnsi="Times New Roman" w:eastAsia="宋体" w:cs="Times New Roman"/>
                <w:b/>
                <w:bCs/>
                <w:color w:val="auto"/>
                <w:sz w:val="21"/>
                <w:szCs w:val="21"/>
                <w:highlight w:val="none"/>
                <w:lang w:eastAsia="zh-CN"/>
              </w:rPr>
              <w:t>表</w:t>
            </w:r>
            <w:r>
              <w:rPr>
                <w:rFonts w:hint="default" w:ascii="Times New Roman" w:hAnsi="Times New Roman" w:eastAsia="宋体" w:cs="Times New Roman"/>
                <w:b/>
                <w:bCs/>
                <w:color w:val="auto"/>
                <w:sz w:val="21"/>
                <w:szCs w:val="21"/>
                <w:highlight w:val="none"/>
                <w:lang w:val="en-US" w:eastAsia="zh-CN"/>
              </w:rPr>
              <w:t>2-26 现有项目产污汇总表</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4"/>
              <w:gridCol w:w="975"/>
              <w:gridCol w:w="1740"/>
              <w:gridCol w:w="970"/>
              <w:gridCol w:w="1663"/>
              <w:gridCol w:w="985"/>
              <w:gridCol w:w="743"/>
            </w:tblGrid>
            <w:tr w14:paraId="5795C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1144" w:type="dxa"/>
                  <w:tcBorders>
                    <w:top w:val="single" w:color="auto" w:sz="4" w:space="0"/>
                    <w:left w:val="single" w:color="auto" w:sz="4" w:space="0"/>
                    <w:bottom w:val="single" w:color="auto" w:sz="4" w:space="0"/>
                    <w:right w:val="single" w:color="auto" w:sz="4" w:space="0"/>
                  </w:tcBorders>
                  <w:noWrap w:val="0"/>
                  <w:vAlign w:val="center"/>
                </w:tcPr>
                <w:p w14:paraId="1CCA137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right="0" w:rightChars="0" w:firstLine="180" w:firstLineChars="100"/>
                    <w:jc w:val="both"/>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类</w:t>
                  </w:r>
                  <w:r>
                    <w:rPr>
                      <w:rFonts w:hint="eastAsia" w:cs="Times New Roman"/>
                      <w:b w:val="0"/>
                      <w:bCs/>
                      <w:color w:val="0C0C0C"/>
                      <w:spacing w:val="0"/>
                      <w:kern w:val="2"/>
                      <w:sz w:val="18"/>
                      <w:szCs w:val="18"/>
                      <w:lang w:val="en-US" w:eastAsia="zh-CN" w:bidi="ar"/>
                    </w:rPr>
                    <w:t>别</w:t>
                  </w:r>
                </w:p>
              </w:tc>
              <w:tc>
                <w:tcPr>
                  <w:tcW w:w="975" w:type="dxa"/>
                  <w:tcBorders>
                    <w:top w:val="single" w:color="auto" w:sz="4" w:space="0"/>
                    <w:left w:val="nil"/>
                    <w:bottom w:val="single" w:color="auto" w:sz="4" w:space="0"/>
                    <w:right w:val="single" w:color="auto" w:sz="4" w:space="0"/>
                  </w:tcBorders>
                  <w:noWrap w:val="0"/>
                  <w:vAlign w:val="center"/>
                </w:tcPr>
                <w:p w14:paraId="188841D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排放源</w:t>
                  </w:r>
                </w:p>
                <w:p w14:paraId="356B8BC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（编号）</w:t>
                  </w:r>
                </w:p>
              </w:tc>
              <w:tc>
                <w:tcPr>
                  <w:tcW w:w="1740" w:type="dxa"/>
                  <w:tcBorders>
                    <w:top w:val="single" w:color="auto" w:sz="4" w:space="0"/>
                    <w:left w:val="nil"/>
                    <w:bottom w:val="single" w:color="auto" w:sz="4" w:space="0"/>
                    <w:right w:val="single" w:color="auto" w:sz="4" w:space="0"/>
                  </w:tcBorders>
                  <w:noWrap w:val="0"/>
                  <w:vAlign w:val="center"/>
                </w:tcPr>
                <w:p w14:paraId="6340622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污染物名称</w:t>
                  </w:r>
                </w:p>
              </w:tc>
              <w:tc>
                <w:tcPr>
                  <w:tcW w:w="2633" w:type="dxa"/>
                  <w:gridSpan w:val="2"/>
                  <w:tcBorders>
                    <w:top w:val="single" w:color="auto" w:sz="4" w:space="0"/>
                    <w:left w:val="nil"/>
                    <w:bottom w:val="single" w:color="auto" w:sz="4" w:space="0"/>
                    <w:right w:val="single" w:color="auto" w:sz="4" w:space="0"/>
                  </w:tcBorders>
                  <w:noWrap w:val="0"/>
                  <w:vAlign w:val="center"/>
                </w:tcPr>
                <w:p w14:paraId="2ED28DB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18"/>
                      <w:szCs w:val="18"/>
                      <w:lang w:val="en-US" w:eastAsia="zh-CN" w:bidi="ar"/>
                    </w:rPr>
                  </w:pPr>
                  <w:r>
                    <w:rPr>
                      <w:rFonts w:hint="default" w:ascii="Times New Roman" w:hAnsi="Times New Roman" w:eastAsia="宋体" w:cs="Times New Roman"/>
                      <w:b w:val="0"/>
                      <w:bCs/>
                      <w:color w:val="0C0C0C"/>
                      <w:spacing w:val="0"/>
                      <w:kern w:val="2"/>
                      <w:sz w:val="18"/>
                      <w:szCs w:val="18"/>
                      <w:lang w:val="en-US" w:eastAsia="zh-CN" w:bidi="ar"/>
                    </w:rPr>
                    <w:t>污染物排放量</w:t>
                  </w:r>
                </w:p>
                <w:p w14:paraId="74D6243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18"/>
                      <w:szCs w:val="18"/>
                    </w:rPr>
                  </w:pPr>
                  <w:r>
                    <w:rPr>
                      <w:rFonts w:hint="eastAsia" w:cs="Times New Roman"/>
                      <w:b w:val="0"/>
                      <w:bCs/>
                      <w:color w:val="0C0C0C"/>
                      <w:spacing w:val="0"/>
                      <w:kern w:val="2"/>
                      <w:sz w:val="18"/>
                      <w:szCs w:val="18"/>
                      <w:lang w:val="en-US" w:eastAsia="zh-CN" w:bidi="ar"/>
                    </w:rPr>
                    <w:t>（固废为产生量）</w:t>
                  </w:r>
                  <w:r>
                    <w:rPr>
                      <w:rFonts w:hint="default" w:ascii="Times New Roman" w:hAnsi="Times New Roman" w:eastAsia="宋体" w:cs="Times New Roman"/>
                      <w:b w:val="0"/>
                      <w:bCs/>
                      <w:color w:val="0C0C0C"/>
                      <w:spacing w:val="0"/>
                      <w:kern w:val="2"/>
                      <w:sz w:val="18"/>
                      <w:szCs w:val="18"/>
                      <w:lang w:val="en-US" w:eastAsia="zh-CN" w:bidi="ar"/>
                    </w:rPr>
                    <w:t>（</w:t>
                  </w:r>
                  <w:r>
                    <w:rPr>
                      <w:rFonts w:hint="default" w:ascii="Times New Roman" w:hAnsi="Times New Roman" w:eastAsia="宋体" w:cs="Times New Roman"/>
                      <w:b w:val="0"/>
                      <w:bCs/>
                      <w:snapToGrid w:val="0"/>
                      <w:spacing w:val="0"/>
                      <w:kern w:val="2"/>
                      <w:sz w:val="18"/>
                      <w:szCs w:val="18"/>
                      <w:lang w:val="en-US" w:eastAsia="zh-CN" w:bidi="ar-SA"/>
                    </w:rPr>
                    <w:t>t/a</w:t>
                  </w:r>
                  <w:r>
                    <w:rPr>
                      <w:rFonts w:hint="default" w:ascii="Times New Roman" w:hAnsi="Times New Roman" w:eastAsia="宋体" w:cs="Times New Roman"/>
                      <w:b w:val="0"/>
                      <w:bCs/>
                      <w:color w:val="0C0C0C"/>
                      <w:spacing w:val="0"/>
                      <w:kern w:val="2"/>
                      <w:sz w:val="18"/>
                      <w:szCs w:val="18"/>
                      <w:lang w:val="en-US" w:eastAsia="zh-CN" w:bidi="ar"/>
                    </w:rPr>
                    <w:t>）</w:t>
                  </w:r>
                </w:p>
              </w:tc>
              <w:tc>
                <w:tcPr>
                  <w:tcW w:w="985" w:type="dxa"/>
                  <w:tcBorders>
                    <w:top w:val="single" w:color="auto" w:sz="4" w:space="0"/>
                    <w:left w:val="nil"/>
                    <w:bottom w:val="single" w:color="auto" w:sz="4" w:space="0"/>
                    <w:right w:val="single" w:color="auto" w:sz="4" w:space="0"/>
                  </w:tcBorders>
                  <w:noWrap w:val="0"/>
                  <w:vAlign w:val="center"/>
                </w:tcPr>
                <w:p w14:paraId="58C014D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18"/>
                      <w:szCs w:val="18"/>
                      <w:highlight w:val="none"/>
                      <w:lang w:val="en-US" w:eastAsia="zh-CN" w:bidi="ar"/>
                    </w:rPr>
                  </w:pPr>
                  <w:r>
                    <w:rPr>
                      <w:rFonts w:hint="eastAsia" w:cs="Times New Roman"/>
                      <w:b w:val="0"/>
                      <w:bCs/>
                      <w:color w:val="0C0C0C"/>
                      <w:spacing w:val="0"/>
                      <w:kern w:val="2"/>
                      <w:sz w:val="18"/>
                      <w:szCs w:val="18"/>
                      <w:highlight w:val="none"/>
                      <w:lang w:val="en-US" w:eastAsia="zh-CN" w:bidi="ar"/>
                    </w:rPr>
                    <w:t>总量控制指标</w:t>
                  </w:r>
                  <w:r>
                    <w:rPr>
                      <w:rFonts w:hint="default" w:ascii="Times New Roman" w:hAnsi="Times New Roman" w:eastAsia="宋体" w:cs="Times New Roman"/>
                      <w:b w:val="0"/>
                      <w:bCs/>
                      <w:color w:val="0C0C0C"/>
                      <w:spacing w:val="0"/>
                      <w:kern w:val="2"/>
                      <w:sz w:val="18"/>
                      <w:szCs w:val="18"/>
                      <w:highlight w:val="none"/>
                      <w:lang w:val="en-US" w:eastAsia="zh-CN" w:bidi="ar"/>
                    </w:rPr>
                    <w:t>（</w:t>
                  </w:r>
                  <w:r>
                    <w:rPr>
                      <w:rFonts w:hint="default" w:ascii="Times New Roman" w:hAnsi="Times New Roman" w:eastAsia="宋体" w:cs="Times New Roman"/>
                      <w:b w:val="0"/>
                      <w:bCs/>
                      <w:snapToGrid w:val="0"/>
                      <w:spacing w:val="0"/>
                      <w:kern w:val="2"/>
                      <w:sz w:val="18"/>
                      <w:szCs w:val="18"/>
                      <w:highlight w:val="none"/>
                      <w:lang w:val="en-US" w:eastAsia="zh-CN" w:bidi="ar-SA"/>
                    </w:rPr>
                    <w:t>t/a</w:t>
                  </w:r>
                  <w:r>
                    <w:rPr>
                      <w:rFonts w:hint="default" w:ascii="Times New Roman" w:hAnsi="Times New Roman" w:eastAsia="宋体" w:cs="Times New Roman"/>
                      <w:b w:val="0"/>
                      <w:bCs/>
                      <w:color w:val="0C0C0C"/>
                      <w:spacing w:val="0"/>
                      <w:kern w:val="2"/>
                      <w:sz w:val="18"/>
                      <w:szCs w:val="18"/>
                      <w:highlight w:val="none"/>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2E1E834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是否满足</w:t>
                  </w:r>
                </w:p>
              </w:tc>
            </w:tr>
            <w:tr w14:paraId="18DD10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4" w:type="dxa"/>
                  <w:vMerge w:val="restart"/>
                  <w:tcBorders>
                    <w:top w:val="nil"/>
                    <w:left w:val="single" w:color="auto" w:sz="4" w:space="0"/>
                    <w:right w:val="single" w:color="auto" w:sz="4" w:space="0"/>
                  </w:tcBorders>
                  <w:noWrap w:val="0"/>
                  <w:vAlign w:val="center"/>
                </w:tcPr>
                <w:p w14:paraId="5A870CA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废气</w:t>
                  </w:r>
                </w:p>
              </w:tc>
              <w:tc>
                <w:tcPr>
                  <w:tcW w:w="975" w:type="dxa"/>
                  <w:vMerge w:val="restart"/>
                  <w:tcBorders>
                    <w:top w:val="nil"/>
                    <w:left w:val="nil"/>
                    <w:right w:val="single" w:color="auto" w:sz="4" w:space="0"/>
                  </w:tcBorders>
                  <w:noWrap w:val="0"/>
                  <w:vAlign w:val="center"/>
                </w:tcPr>
                <w:p w14:paraId="42DBEFA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0C0C0C"/>
                      <w:spacing w:val="0"/>
                      <w:kern w:val="2"/>
                      <w:sz w:val="18"/>
                      <w:szCs w:val="18"/>
                      <w:vertAlign w:val="baseline"/>
                    </w:rPr>
                  </w:pPr>
                  <w:r>
                    <w:rPr>
                      <w:rFonts w:hint="default" w:ascii="Times New Roman" w:hAnsi="Times New Roman" w:eastAsia="宋体" w:cs="Times New Roman"/>
                      <w:b w:val="0"/>
                      <w:bCs/>
                      <w:color w:val="0C0C0C"/>
                      <w:spacing w:val="0"/>
                      <w:kern w:val="2"/>
                      <w:sz w:val="18"/>
                      <w:szCs w:val="18"/>
                      <w:lang w:val="en-US" w:eastAsia="zh-CN" w:bidi="ar"/>
                    </w:rPr>
                    <w:t>生产过程</w:t>
                  </w:r>
                </w:p>
              </w:tc>
              <w:tc>
                <w:tcPr>
                  <w:tcW w:w="1740" w:type="dxa"/>
                  <w:tcBorders>
                    <w:top w:val="single" w:color="auto" w:sz="4" w:space="0"/>
                    <w:left w:val="nil"/>
                    <w:bottom w:val="single" w:color="auto" w:sz="4" w:space="0"/>
                    <w:right w:val="single" w:color="auto" w:sz="4" w:space="0"/>
                  </w:tcBorders>
                  <w:noWrap w:val="0"/>
                  <w:vAlign w:val="center"/>
                </w:tcPr>
                <w:p w14:paraId="1C71C57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0C0C0C"/>
                      <w:spacing w:val="0"/>
                      <w:kern w:val="2"/>
                      <w:sz w:val="18"/>
                      <w:szCs w:val="18"/>
                      <w:highlight w:val="none"/>
                      <w:vertAlign w:val="baseline"/>
                    </w:rPr>
                  </w:pPr>
                  <w:r>
                    <w:rPr>
                      <w:rFonts w:hint="default" w:ascii="Times New Roman" w:hAnsi="Times New Roman" w:eastAsia="宋体" w:cs="Times New Roman"/>
                      <w:b w:val="0"/>
                      <w:bCs/>
                      <w:color w:val="0C0C0C"/>
                      <w:spacing w:val="0"/>
                      <w:sz w:val="18"/>
                      <w:szCs w:val="18"/>
                      <w:highlight w:val="none"/>
                      <w:lang w:eastAsia="zh-CN"/>
                    </w:rPr>
                    <w:t>颗粒物</w:t>
                  </w:r>
                </w:p>
              </w:tc>
              <w:tc>
                <w:tcPr>
                  <w:tcW w:w="970" w:type="dxa"/>
                  <w:tcBorders>
                    <w:top w:val="single" w:color="auto" w:sz="4" w:space="0"/>
                    <w:left w:val="nil"/>
                    <w:bottom w:val="single" w:color="auto" w:sz="4" w:space="0"/>
                    <w:right w:val="single" w:color="auto" w:sz="4" w:space="0"/>
                  </w:tcBorders>
                  <w:noWrap w:val="0"/>
                  <w:vAlign w:val="center"/>
                </w:tcPr>
                <w:p w14:paraId="577557E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color w:val="0C0C0C"/>
                      <w:spacing w:val="0"/>
                      <w:kern w:val="2"/>
                      <w:sz w:val="18"/>
                      <w:szCs w:val="18"/>
                      <w:highlight w:val="none"/>
                      <w:lang w:val="en-US" w:eastAsia="zh-CN"/>
                    </w:rPr>
                  </w:pPr>
                  <w:r>
                    <w:rPr>
                      <w:rFonts w:hint="eastAsia" w:cs="Times New Roman"/>
                      <w:b w:val="0"/>
                      <w:bCs/>
                      <w:color w:val="0C0C0C"/>
                      <w:spacing w:val="0"/>
                      <w:kern w:val="2"/>
                      <w:sz w:val="18"/>
                      <w:szCs w:val="18"/>
                      <w:highlight w:val="none"/>
                      <w:lang w:val="en-US" w:eastAsia="zh-CN"/>
                    </w:rPr>
                    <w:t>0.008</w:t>
                  </w:r>
                </w:p>
              </w:tc>
              <w:tc>
                <w:tcPr>
                  <w:tcW w:w="1663" w:type="dxa"/>
                  <w:tcBorders>
                    <w:top w:val="single" w:color="auto" w:sz="4" w:space="0"/>
                    <w:left w:val="nil"/>
                    <w:bottom w:val="single" w:color="auto" w:sz="4" w:space="0"/>
                    <w:right w:val="single" w:color="auto" w:sz="4" w:space="0"/>
                  </w:tcBorders>
                  <w:noWrap w:val="0"/>
                  <w:vAlign w:val="center"/>
                </w:tcPr>
                <w:p w14:paraId="74A4129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right="0"/>
                    <w:jc w:val="center"/>
                    <w:outlineLvl w:val="9"/>
                    <w:rPr>
                      <w:rFonts w:hint="default" w:cs="Times New Roman"/>
                      <w:b w:val="0"/>
                      <w:bCs/>
                      <w:color w:val="0C0C0C"/>
                      <w:spacing w:val="0"/>
                      <w:kern w:val="2"/>
                      <w:sz w:val="18"/>
                      <w:szCs w:val="18"/>
                      <w:highlight w:val="none"/>
                      <w:lang w:val="en-US" w:eastAsia="zh-CN" w:bidi="ar"/>
                    </w:rPr>
                  </w:pPr>
                  <w:r>
                    <w:rPr>
                      <w:rFonts w:hint="eastAsia" w:cs="Times New Roman"/>
                      <w:b w:val="0"/>
                      <w:bCs/>
                      <w:color w:val="0C0C0C"/>
                      <w:spacing w:val="0"/>
                      <w:kern w:val="2"/>
                      <w:sz w:val="18"/>
                      <w:szCs w:val="18"/>
                      <w:highlight w:val="none"/>
                      <w:lang w:val="en-US" w:eastAsia="zh-CN" w:bidi="ar"/>
                    </w:rPr>
                    <w:t>无组织0.008</w:t>
                  </w:r>
                </w:p>
              </w:tc>
              <w:tc>
                <w:tcPr>
                  <w:tcW w:w="985" w:type="dxa"/>
                  <w:tcBorders>
                    <w:top w:val="single" w:color="auto" w:sz="4" w:space="0"/>
                    <w:left w:val="nil"/>
                    <w:bottom w:val="single" w:color="auto" w:sz="4" w:space="0"/>
                    <w:right w:val="single" w:color="auto" w:sz="4" w:space="0"/>
                  </w:tcBorders>
                  <w:noWrap w:val="0"/>
                  <w:vAlign w:val="center"/>
                </w:tcPr>
                <w:p w14:paraId="7451668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cs="Times New Roman"/>
                      <w:b w:val="0"/>
                      <w:bCs/>
                      <w:color w:val="0C0C0C"/>
                      <w:spacing w:val="0"/>
                      <w:kern w:val="2"/>
                      <w:sz w:val="18"/>
                      <w:szCs w:val="18"/>
                      <w:highlight w:val="none"/>
                      <w:lang w:val="en-US" w:eastAsia="zh-CN" w:bidi="ar"/>
                    </w:rPr>
                  </w:pPr>
                  <w:r>
                    <w:rPr>
                      <w:rFonts w:hint="eastAsia" w:cs="Times New Roman"/>
                      <w:b w:val="0"/>
                      <w:bCs/>
                      <w:color w:val="0C0C0C"/>
                      <w:spacing w:val="0"/>
                      <w:kern w:val="2"/>
                      <w:sz w:val="18"/>
                      <w:szCs w:val="18"/>
                      <w:highlight w:val="none"/>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300753C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是</w:t>
                  </w:r>
                </w:p>
              </w:tc>
            </w:tr>
            <w:tr w14:paraId="5B205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4" w:type="dxa"/>
                  <w:vMerge w:val="continue"/>
                  <w:tcBorders>
                    <w:left w:val="single" w:color="auto" w:sz="4" w:space="0"/>
                    <w:right w:val="single" w:color="auto" w:sz="4" w:space="0"/>
                  </w:tcBorders>
                  <w:noWrap w:val="0"/>
                  <w:vAlign w:val="center"/>
                </w:tcPr>
                <w:p w14:paraId="1F8AA4D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lang w:val="en-US" w:eastAsia="zh-CN" w:bidi="ar"/>
                    </w:rPr>
                  </w:pPr>
                </w:p>
              </w:tc>
              <w:tc>
                <w:tcPr>
                  <w:tcW w:w="975" w:type="dxa"/>
                  <w:vMerge w:val="continue"/>
                  <w:tcBorders>
                    <w:left w:val="nil"/>
                    <w:right w:val="single" w:color="auto" w:sz="4" w:space="0"/>
                  </w:tcBorders>
                  <w:noWrap w:val="0"/>
                  <w:vAlign w:val="center"/>
                </w:tcPr>
                <w:p w14:paraId="696B572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0C0C0C"/>
                      <w:spacing w:val="0"/>
                      <w:kern w:val="2"/>
                      <w:sz w:val="18"/>
                      <w:szCs w:val="18"/>
                      <w:lang w:val="en-US" w:eastAsia="zh-CN" w:bidi="ar"/>
                    </w:rPr>
                  </w:pPr>
                </w:p>
              </w:tc>
              <w:tc>
                <w:tcPr>
                  <w:tcW w:w="1740" w:type="dxa"/>
                  <w:tcBorders>
                    <w:top w:val="single" w:color="auto" w:sz="4" w:space="0"/>
                    <w:left w:val="nil"/>
                    <w:bottom w:val="single" w:color="auto" w:sz="4" w:space="0"/>
                    <w:right w:val="single" w:color="auto" w:sz="4" w:space="0"/>
                  </w:tcBorders>
                  <w:noWrap w:val="0"/>
                  <w:vAlign w:val="center"/>
                </w:tcPr>
                <w:p w14:paraId="0847CAC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0C0C0C"/>
                      <w:spacing w:val="0"/>
                      <w:sz w:val="18"/>
                      <w:szCs w:val="18"/>
                      <w:highlight w:val="none"/>
                      <w:lang w:val="en-US" w:eastAsia="zh-CN"/>
                    </w:rPr>
                  </w:pPr>
                  <w:r>
                    <w:rPr>
                      <w:rFonts w:hint="eastAsia" w:cs="Times New Roman"/>
                      <w:b w:val="0"/>
                      <w:bCs/>
                      <w:color w:val="0C0C0C"/>
                      <w:spacing w:val="0"/>
                      <w:sz w:val="18"/>
                      <w:szCs w:val="18"/>
                      <w:highlight w:val="none"/>
                      <w:lang w:val="en-US" w:eastAsia="zh-CN"/>
                    </w:rPr>
                    <w:t>VOCs</w:t>
                  </w:r>
                </w:p>
              </w:tc>
              <w:tc>
                <w:tcPr>
                  <w:tcW w:w="970" w:type="dxa"/>
                  <w:tcBorders>
                    <w:top w:val="single" w:color="auto" w:sz="4" w:space="0"/>
                    <w:left w:val="nil"/>
                    <w:bottom w:val="single" w:color="auto" w:sz="4" w:space="0"/>
                    <w:right w:val="single" w:color="auto" w:sz="4" w:space="0"/>
                  </w:tcBorders>
                  <w:noWrap w:val="0"/>
                  <w:vAlign w:val="center"/>
                </w:tcPr>
                <w:p w14:paraId="6E4E0F5E">
                  <w:pPr>
                    <w:keepNext w:val="0"/>
                    <w:keepLines w:val="0"/>
                    <w:widowControl/>
                    <w:suppressLineNumbers w:val="0"/>
                    <w:jc w:val="center"/>
                    <w:textAlignment w:val="center"/>
                    <w:rPr>
                      <w:rFonts w:hint="default" w:ascii="Times New Roman" w:hAnsi="Times New Roman" w:eastAsia="宋体" w:cs="Times New Roman"/>
                      <w:b w:val="0"/>
                      <w:bCs/>
                      <w:color w:val="0C0C0C"/>
                      <w:spacing w:val="0"/>
                      <w:kern w:val="2"/>
                      <w:sz w:val="18"/>
                      <w:szCs w:val="18"/>
                      <w:highlight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0.</w:t>
                  </w:r>
                  <w:r>
                    <w:rPr>
                      <w:rFonts w:hint="eastAsia" w:cs="Times New Roman"/>
                      <w:i w:val="0"/>
                      <w:iCs w:val="0"/>
                      <w:color w:val="000000"/>
                      <w:kern w:val="0"/>
                      <w:sz w:val="18"/>
                      <w:szCs w:val="18"/>
                      <w:highlight w:val="none"/>
                      <w:u w:val="none"/>
                      <w:lang w:val="en-US" w:eastAsia="zh-CN" w:bidi="ar"/>
                    </w:rPr>
                    <w:t>0139</w:t>
                  </w:r>
                </w:p>
              </w:tc>
              <w:tc>
                <w:tcPr>
                  <w:tcW w:w="1663" w:type="dxa"/>
                  <w:tcBorders>
                    <w:top w:val="single" w:color="auto" w:sz="4" w:space="0"/>
                    <w:left w:val="nil"/>
                    <w:bottom w:val="single" w:color="auto" w:sz="4" w:space="0"/>
                    <w:right w:val="single" w:color="auto" w:sz="4" w:space="0"/>
                  </w:tcBorders>
                  <w:noWrap w:val="0"/>
                  <w:vAlign w:val="center"/>
                </w:tcPr>
                <w:p w14:paraId="6D777B9A">
                  <w:pPr>
                    <w:keepNext w:val="0"/>
                    <w:keepLines w:val="0"/>
                    <w:widowControl/>
                    <w:suppressLineNumbers w:val="0"/>
                    <w:jc w:val="center"/>
                    <w:textAlignment w:val="center"/>
                    <w:rPr>
                      <w:rFonts w:hint="default" w:cs="Times New Roman"/>
                      <w:b w:val="0"/>
                      <w:bCs/>
                      <w:color w:val="0C0C0C"/>
                      <w:spacing w:val="0"/>
                      <w:kern w:val="2"/>
                      <w:sz w:val="18"/>
                      <w:szCs w:val="18"/>
                      <w:highlight w:val="none"/>
                      <w:lang w:val="en-US" w:eastAsia="zh-CN" w:bidi="ar"/>
                    </w:rPr>
                  </w:pPr>
                  <w:r>
                    <w:rPr>
                      <w:rFonts w:hint="eastAsia" w:cs="Times New Roman"/>
                      <w:i w:val="0"/>
                      <w:iCs w:val="0"/>
                      <w:color w:val="000000"/>
                      <w:kern w:val="0"/>
                      <w:sz w:val="18"/>
                      <w:szCs w:val="18"/>
                      <w:highlight w:val="none"/>
                      <w:u w:val="none"/>
                      <w:lang w:val="en-US" w:eastAsia="zh-CN" w:bidi="ar"/>
                    </w:rPr>
                    <w:t>有组织0.013，无组织0.0009</w:t>
                  </w:r>
                </w:p>
              </w:tc>
              <w:tc>
                <w:tcPr>
                  <w:tcW w:w="985" w:type="dxa"/>
                  <w:tcBorders>
                    <w:top w:val="single" w:color="auto" w:sz="4" w:space="0"/>
                    <w:left w:val="nil"/>
                    <w:bottom w:val="single" w:color="auto" w:sz="4" w:space="0"/>
                    <w:right w:val="single" w:color="auto" w:sz="4" w:space="0"/>
                  </w:tcBorders>
                  <w:noWrap w:val="0"/>
                  <w:vAlign w:val="center"/>
                </w:tcPr>
                <w:p w14:paraId="52202F1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color w:val="0C0C0C"/>
                      <w:spacing w:val="0"/>
                      <w:kern w:val="2"/>
                      <w:sz w:val="18"/>
                      <w:szCs w:val="18"/>
                      <w:highlight w:val="none"/>
                      <w:lang w:val="en-US" w:eastAsia="zh-CN" w:bidi="ar"/>
                    </w:rPr>
                  </w:pPr>
                  <w:r>
                    <w:rPr>
                      <w:rFonts w:hint="eastAsia" w:cs="Times New Roman"/>
                      <w:b w:val="0"/>
                      <w:bCs/>
                      <w:color w:val="0C0C0C"/>
                      <w:spacing w:val="0"/>
                      <w:kern w:val="2"/>
                      <w:sz w:val="18"/>
                      <w:szCs w:val="18"/>
                      <w:highlight w:val="none"/>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39A8BF2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是</w:t>
                  </w:r>
                </w:p>
              </w:tc>
            </w:tr>
            <w:tr w14:paraId="013BE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4" w:type="dxa"/>
                  <w:vMerge w:val="continue"/>
                  <w:tcBorders>
                    <w:left w:val="single" w:color="auto" w:sz="4" w:space="0"/>
                    <w:right w:val="single" w:color="auto" w:sz="4" w:space="0"/>
                  </w:tcBorders>
                  <w:noWrap w:val="0"/>
                  <w:vAlign w:val="center"/>
                </w:tcPr>
                <w:p w14:paraId="767A76E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lang w:val="en-US" w:eastAsia="zh-CN" w:bidi="ar"/>
                    </w:rPr>
                  </w:pPr>
                </w:p>
              </w:tc>
              <w:tc>
                <w:tcPr>
                  <w:tcW w:w="975" w:type="dxa"/>
                  <w:vMerge w:val="continue"/>
                  <w:tcBorders>
                    <w:left w:val="nil"/>
                    <w:right w:val="single" w:color="auto" w:sz="4" w:space="0"/>
                  </w:tcBorders>
                  <w:noWrap w:val="0"/>
                  <w:vAlign w:val="center"/>
                </w:tcPr>
                <w:p w14:paraId="69F1A59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0C0C0C"/>
                      <w:spacing w:val="0"/>
                      <w:kern w:val="2"/>
                      <w:sz w:val="18"/>
                      <w:szCs w:val="18"/>
                      <w:lang w:val="en-US" w:eastAsia="zh-CN" w:bidi="ar"/>
                    </w:rPr>
                  </w:pPr>
                </w:p>
              </w:tc>
              <w:tc>
                <w:tcPr>
                  <w:tcW w:w="1740" w:type="dxa"/>
                  <w:tcBorders>
                    <w:top w:val="single" w:color="auto" w:sz="4" w:space="0"/>
                    <w:left w:val="nil"/>
                    <w:bottom w:val="single" w:color="auto" w:sz="4" w:space="0"/>
                    <w:right w:val="single" w:color="auto" w:sz="4" w:space="0"/>
                  </w:tcBorders>
                  <w:noWrap w:val="0"/>
                  <w:vAlign w:val="center"/>
                </w:tcPr>
                <w:p w14:paraId="4D31636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0C0C0C"/>
                      <w:spacing w:val="0"/>
                      <w:sz w:val="18"/>
                      <w:szCs w:val="18"/>
                      <w:highlight w:val="none"/>
                      <w:lang w:val="en-US" w:eastAsia="zh-CN"/>
                    </w:rPr>
                  </w:pPr>
                  <w:r>
                    <w:rPr>
                      <w:rFonts w:hint="eastAsia" w:cs="Times New Roman"/>
                      <w:b w:val="0"/>
                      <w:bCs/>
                      <w:color w:val="0C0C0C"/>
                      <w:spacing w:val="0"/>
                      <w:sz w:val="18"/>
                      <w:szCs w:val="18"/>
                      <w:highlight w:val="none"/>
                      <w:lang w:val="en-US" w:eastAsia="zh-CN"/>
                    </w:rPr>
                    <w:t>苯、甲苯、二甲苯</w:t>
                  </w:r>
                </w:p>
              </w:tc>
              <w:tc>
                <w:tcPr>
                  <w:tcW w:w="970" w:type="dxa"/>
                  <w:tcBorders>
                    <w:top w:val="single" w:color="auto" w:sz="4" w:space="0"/>
                    <w:left w:val="nil"/>
                    <w:bottom w:val="single" w:color="auto" w:sz="4" w:space="0"/>
                    <w:right w:val="single" w:color="auto" w:sz="4" w:space="0"/>
                  </w:tcBorders>
                  <w:noWrap w:val="0"/>
                  <w:vAlign w:val="center"/>
                </w:tcPr>
                <w:p w14:paraId="58CA8F90">
                  <w:pPr>
                    <w:keepNext w:val="0"/>
                    <w:keepLines w:val="0"/>
                    <w:widowControl/>
                    <w:suppressLineNumbers w:val="0"/>
                    <w:jc w:val="center"/>
                    <w:textAlignment w:val="center"/>
                    <w:rPr>
                      <w:rFonts w:hint="default" w:ascii="Times New Roman" w:hAnsi="Times New Roman" w:eastAsia="宋体" w:cs="Times New Roman"/>
                      <w:b w:val="0"/>
                      <w:bCs/>
                      <w:color w:val="auto"/>
                      <w:spacing w:val="0"/>
                      <w:kern w:val="2"/>
                      <w:sz w:val="18"/>
                      <w:szCs w:val="18"/>
                      <w:highlight w:val="none"/>
                      <w:lang w:val="en-US" w:eastAsia="zh-CN" w:bidi="ar"/>
                    </w:rPr>
                  </w:pPr>
                  <w:r>
                    <w:rPr>
                      <w:rFonts w:hint="eastAsia" w:cs="Times New Roman"/>
                      <w:i w:val="0"/>
                      <w:iCs w:val="0"/>
                      <w:color w:val="000000"/>
                      <w:kern w:val="0"/>
                      <w:sz w:val="18"/>
                      <w:szCs w:val="18"/>
                      <w:highlight w:val="none"/>
                      <w:u w:val="none"/>
                      <w:lang w:val="en-US" w:eastAsia="zh-CN" w:bidi="ar"/>
                    </w:rPr>
                    <w:t>微量</w:t>
                  </w:r>
                </w:p>
              </w:tc>
              <w:tc>
                <w:tcPr>
                  <w:tcW w:w="1663" w:type="dxa"/>
                  <w:tcBorders>
                    <w:top w:val="single" w:color="auto" w:sz="4" w:space="0"/>
                    <w:left w:val="nil"/>
                    <w:bottom w:val="single" w:color="auto" w:sz="4" w:space="0"/>
                    <w:right w:val="single" w:color="auto" w:sz="4" w:space="0"/>
                  </w:tcBorders>
                  <w:noWrap w:val="0"/>
                  <w:vAlign w:val="center"/>
                </w:tcPr>
                <w:p w14:paraId="627EF4BA">
                  <w:pPr>
                    <w:keepNext w:val="0"/>
                    <w:keepLines w:val="0"/>
                    <w:widowControl/>
                    <w:suppressLineNumbers w:val="0"/>
                    <w:jc w:val="center"/>
                    <w:textAlignment w:val="center"/>
                    <w:rPr>
                      <w:rFonts w:hint="default" w:cs="Times New Roman"/>
                      <w:b w:val="0"/>
                      <w:bCs/>
                      <w:color w:val="auto"/>
                      <w:spacing w:val="0"/>
                      <w:kern w:val="2"/>
                      <w:sz w:val="18"/>
                      <w:szCs w:val="18"/>
                      <w:highlight w:val="none"/>
                      <w:lang w:val="en-US" w:eastAsia="zh-CN" w:bidi="ar"/>
                    </w:rPr>
                  </w:pPr>
                  <w:r>
                    <w:rPr>
                      <w:rFonts w:hint="eastAsia" w:cs="Times New Roman"/>
                      <w:i w:val="0"/>
                      <w:iCs w:val="0"/>
                      <w:color w:val="000000"/>
                      <w:kern w:val="0"/>
                      <w:sz w:val="18"/>
                      <w:szCs w:val="18"/>
                      <w:highlight w:val="none"/>
                      <w:u w:val="none"/>
                      <w:lang w:val="en-US" w:eastAsia="zh-CN" w:bidi="ar"/>
                    </w:rPr>
                    <w:t>微量</w:t>
                  </w:r>
                </w:p>
              </w:tc>
              <w:tc>
                <w:tcPr>
                  <w:tcW w:w="985" w:type="dxa"/>
                  <w:tcBorders>
                    <w:top w:val="single" w:color="auto" w:sz="4" w:space="0"/>
                    <w:left w:val="nil"/>
                    <w:bottom w:val="single" w:color="auto" w:sz="4" w:space="0"/>
                    <w:right w:val="single" w:color="auto" w:sz="4" w:space="0"/>
                  </w:tcBorders>
                  <w:noWrap w:val="0"/>
                  <w:vAlign w:val="center"/>
                </w:tcPr>
                <w:p w14:paraId="25C24D6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snapToGrid w:val="0"/>
                      <w:color w:val="auto"/>
                      <w:spacing w:val="0"/>
                      <w:kern w:val="2"/>
                      <w:sz w:val="18"/>
                      <w:szCs w:val="18"/>
                      <w:highlight w:val="none"/>
                      <w:lang w:val="en-US" w:eastAsia="zh-CN" w:bidi="ar-SA"/>
                    </w:rPr>
                  </w:pPr>
                  <w:r>
                    <w:rPr>
                      <w:rFonts w:hint="eastAsia" w:cs="Times New Roman"/>
                      <w:b w:val="0"/>
                      <w:bCs/>
                      <w:snapToGrid w:val="0"/>
                      <w:color w:val="auto"/>
                      <w:spacing w:val="0"/>
                      <w:kern w:val="2"/>
                      <w:sz w:val="18"/>
                      <w:szCs w:val="18"/>
                      <w:highlight w:val="none"/>
                      <w:lang w:val="en-US" w:eastAsia="zh-CN" w:bidi="ar-SA"/>
                    </w:rPr>
                    <w:t>/</w:t>
                  </w:r>
                </w:p>
              </w:tc>
              <w:tc>
                <w:tcPr>
                  <w:tcW w:w="743" w:type="dxa"/>
                  <w:tcBorders>
                    <w:top w:val="single" w:color="auto" w:sz="4" w:space="0"/>
                    <w:left w:val="nil"/>
                    <w:bottom w:val="single" w:color="auto" w:sz="4" w:space="0"/>
                    <w:right w:val="single" w:color="auto" w:sz="4" w:space="0"/>
                  </w:tcBorders>
                  <w:noWrap w:val="0"/>
                  <w:vAlign w:val="center"/>
                </w:tcPr>
                <w:p w14:paraId="78B9503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outlineLvl w:val="9"/>
                    <w:rPr>
                      <w:rFonts w:hint="default" w:ascii="Times New Roman" w:hAnsi="Times New Roman" w:eastAsia="宋体" w:cs="Times New Roman"/>
                      <w:b w:val="0"/>
                      <w:bCs/>
                      <w:snapToGrid w:val="0"/>
                      <w:spacing w:val="0"/>
                      <w:kern w:val="2"/>
                      <w:sz w:val="18"/>
                      <w:szCs w:val="18"/>
                      <w:lang w:val="en-US" w:eastAsia="zh-CN" w:bidi="ar-SA"/>
                    </w:rPr>
                  </w:pPr>
                  <w:r>
                    <w:rPr>
                      <w:rFonts w:hint="eastAsia" w:cs="Times New Roman"/>
                      <w:b w:val="0"/>
                      <w:bCs/>
                      <w:color w:val="0C0C0C"/>
                      <w:spacing w:val="0"/>
                      <w:kern w:val="2"/>
                      <w:sz w:val="18"/>
                      <w:szCs w:val="18"/>
                      <w:lang w:val="en-US" w:eastAsia="zh-CN" w:bidi="ar"/>
                    </w:rPr>
                    <w:t>是</w:t>
                  </w:r>
                </w:p>
              </w:tc>
            </w:tr>
            <w:tr w14:paraId="289E88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44" w:type="dxa"/>
                  <w:vMerge w:val="restart"/>
                  <w:tcBorders>
                    <w:top w:val="single" w:color="auto" w:sz="4" w:space="0"/>
                    <w:left w:val="single" w:color="auto" w:sz="4" w:space="0"/>
                    <w:right w:val="single" w:color="auto" w:sz="4" w:space="0"/>
                  </w:tcBorders>
                  <w:noWrap w:val="0"/>
                  <w:vAlign w:val="center"/>
                </w:tcPr>
                <w:p w14:paraId="64C1D37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废水</w:t>
                  </w:r>
                </w:p>
              </w:tc>
              <w:tc>
                <w:tcPr>
                  <w:tcW w:w="975" w:type="dxa"/>
                  <w:vMerge w:val="restart"/>
                  <w:tcBorders>
                    <w:top w:val="single" w:color="auto" w:sz="4" w:space="0"/>
                    <w:left w:val="nil"/>
                    <w:right w:val="single" w:color="auto" w:sz="4" w:space="0"/>
                  </w:tcBorders>
                  <w:noWrap w:val="0"/>
                  <w:vAlign w:val="center"/>
                </w:tcPr>
                <w:p w14:paraId="6C76152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vertAlign w:val="baseline"/>
                      <w:lang w:val="en-US"/>
                    </w:rPr>
                  </w:pPr>
                  <w:r>
                    <w:rPr>
                      <w:rFonts w:hint="default" w:ascii="Times New Roman" w:hAnsi="Times New Roman" w:eastAsia="宋体" w:cs="Times New Roman"/>
                      <w:b w:val="0"/>
                      <w:bCs/>
                      <w:color w:val="0C0C0C"/>
                      <w:spacing w:val="0"/>
                      <w:kern w:val="2"/>
                      <w:sz w:val="18"/>
                      <w:szCs w:val="18"/>
                      <w:lang w:val="en-US" w:eastAsia="zh-CN" w:bidi="ar"/>
                    </w:rPr>
                    <w:t>生活污水</w:t>
                  </w:r>
                  <w:r>
                    <w:rPr>
                      <w:rFonts w:hint="eastAsia" w:cs="Times New Roman"/>
                      <w:b w:val="0"/>
                      <w:bCs/>
                      <w:color w:val="0C0C0C"/>
                      <w:spacing w:val="0"/>
                      <w:kern w:val="2"/>
                      <w:sz w:val="18"/>
                      <w:szCs w:val="18"/>
                      <w:lang w:val="en-US" w:eastAsia="zh-CN" w:bidi="ar"/>
                    </w:rPr>
                    <w:t>151m</w:t>
                  </w:r>
                  <w:r>
                    <w:rPr>
                      <w:rFonts w:hint="eastAsia" w:cs="Times New Roman"/>
                      <w:b w:val="0"/>
                      <w:bCs/>
                      <w:color w:val="0C0C0C"/>
                      <w:spacing w:val="0"/>
                      <w:kern w:val="2"/>
                      <w:sz w:val="18"/>
                      <w:szCs w:val="18"/>
                      <w:vertAlign w:val="superscript"/>
                      <w:lang w:val="en-US" w:eastAsia="zh-CN" w:bidi="ar"/>
                    </w:rPr>
                    <w:t>3</w:t>
                  </w:r>
                  <w:r>
                    <w:rPr>
                      <w:rFonts w:hint="eastAsia" w:cs="Times New Roman"/>
                      <w:b w:val="0"/>
                      <w:bCs/>
                      <w:color w:val="0C0C0C"/>
                      <w:spacing w:val="0"/>
                      <w:kern w:val="2"/>
                      <w:sz w:val="18"/>
                      <w:szCs w:val="18"/>
                      <w:vertAlign w:val="baseline"/>
                      <w:lang w:val="en-US" w:eastAsia="zh-CN" w:bidi="ar"/>
                    </w:rPr>
                    <w:t>/a</w:t>
                  </w:r>
                </w:p>
              </w:tc>
              <w:tc>
                <w:tcPr>
                  <w:tcW w:w="1740" w:type="dxa"/>
                  <w:tcBorders>
                    <w:top w:val="single" w:color="auto" w:sz="4" w:space="0"/>
                    <w:left w:val="nil"/>
                    <w:bottom w:val="single" w:color="auto" w:sz="4" w:space="0"/>
                    <w:right w:val="single" w:color="auto" w:sz="4" w:space="0"/>
                  </w:tcBorders>
                  <w:noWrap w:val="0"/>
                  <w:vAlign w:val="center"/>
                </w:tcPr>
                <w:p w14:paraId="0976606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right="0"/>
                    <w:jc w:val="center"/>
                    <w:textAlignment w:val="baseline"/>
                    <w:outlineLvl w:val="9"/>
                    <w:rPr>
                      <w:rFonts w:hint="default" w:ascii="Times New Roman" w:hAnsi="Times New Roman" w:eastAsia="宋体" w:cs="Times New Roman"/>
                      <w:b w:val="0"/>
                      <w:bCs/>
                      <w:color w:val="0C0C0C"/>
                      <w:spacing w:val="0"/>
                      <w:kern w:val="2"/>
                      <w:sz w:val="18"/>
                      <w:szCs w:val="18"/>
                      <w:vertAlign w:val="baseline"/>
                    </w:rPr>
                  </w:pPr>
                  <w:r>
                    <w:rPr>
                      <w:rFonts w:hint="default" w:ascii="Times New Roman" w:hAnsi="Times New Roman" w:eastAsia="宋体" w:cs="Times New Roman"/>
                      <w:b w:val="0"/>
                      <w:bCs/>
                      <w:color w:val="0C0C0C"/>
                      <w:spacing w:val="0"/>
                      <w:kern w:val="2"/>
                      <w:sz w:val="18"/>
                      <w:szCs w:val="18"/>
                      <w:vertAlign w:val="baseline"/>
                      <w:lang w:val="en-US" w:eastAsia="zh-CN" w:bidi="ar"/>
                    </w:rPr>
                    <w:t>COD</w:t>
                  </w:r>
                  <w:r>
                    <w:rPr>
                      <w:rFonts w:hint="default" w:ascii="Times New Roman" w:hAnsi="Times New Roman" w:eastAsia="宋体" w:cs="Times New Roman"/>
                      <w:b w:val="0"/>
                      <w:bCs/>
                      <w:color w:val="0C0C0C"/>
                      <w:spacing w:val="0"/>
                      <w:kern w:val="2"/>
                      <w:sz w:val="18"/>
                      <w:szCs w:val="18"/>
                      <w:vertAlign w:val="subscript"/>
                      <w:lang w:val="en-US" w:eastAsia="zh-CN" w:bidi="ar"/>
                    </w:rPr>
                    <w:t>Cr</w:t>
                  </w:r>
                </w:p>
              </w:tc>
              <w:tc>
                <w:tcPr>
                  <w:tcW w:w="2633" w:type="dxa"/>
                  <w:gridSpan w:val="2"/>
                  <w:tcBorders>
                    <w:top w:val="single" w:color="auto" w:sz="4" w:space="0"/>
                    <w:left w:val="nil"/>
                    <w:bottom w:val="single" w:color="auto" w:sz="4" w:space="0"/>
                    <w:right w:val="single" w:color="auto" w:sz="4" w:space="0"/>
                  </w:tcBorders>
                  <w:noWrap w:val="0"/>
                  <w:vAlign w:val="center"/>
                </w:tcPr>
                <w:p w14:paraId="17A006B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lang w:val="en-US"/>
                    </w:rPr>
                  </w:pPr>
                  <w:r>
                    <w:rPr>
                      <w:rFonts w:hint="default" w:ascii="Times New Roman" w:hAnsi="Times New Roman" w:eastAsia="宋体" w:cs="Times New Roman"/>
                      <w:b w:val="0"/>
                      <w:bCs/>
                      <w:color w:val="0C0C0C"/>
                      <w:spacing w:val="0"/>
                      <w:kern w:val="2"/>
                      <w:sz w:val="18"/>
                      <w:szCs w:val="18"/>
                      <w:lang w:val="en-US" w:eastAsia="zh-CN" w:bidi="ar"/>
                    </w:rPr>
                    <w:t>0</w:t>
                  </w:r>
                  <w:r>
                    <w:rPr>
                      <w:rFonts w:hint="eastAsia" w:cs="Times New Roman"/>
                      <w:b w:val="0"/>
                      <w:bCs/>
                      <w:color w:val="0C0C0C"/>
                      <w:spacing w:val="0"/>
                      <w:kern w:val="2"/>
                      <w:sz w:val="18"/>
                      <w:szCs w:val="18"/>
                      <w:lang w:val="en-US" w:eastAsia="zh-CN" w:bidi="ar"/>
                    </w:rPr>
                    <w:t>.005</w:t>
                  </w:r>
                </w:p>
              </w:tc>
              <w:tc>
                <w:tcPr>
                  <w:tcW w:w="985" w:type="dxa"/>
                  <w:tcBorders>
                    <w:top w:val="single" w:color="auto" w:sz="4" w:space="0"/>
                    <w:left w:val="nil"/>
                    <w:bottom w:val="single" w:color="auto" w:sz="4" w:space="0"/>
                    <w:right w:val="single" w:color="auto" w:sz="4" w:space="0"/>
                  </w:tcBorders>
                  <w:noWrap w:val="0"/>
                  <w:vAlign w:val="center"/>
                </w:tcPr>
                <w:p w14:paraId="6055DE4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highlight w:val="none"/>
                      <w:lang w:val="en-US" w:eastAsia="zh-CN" w:bidi="ar"/>
                    </w:rPr>
                  </w:pPr>
                  <w:r>
                    <w:rPr>
                      <w:rFonts w:hint="eastAsia" w:cs="Times New Roman"/>
                      <w:b w:val="0"/>
                      <w:bCs/>
                      <w:color w:val="0C0C0C"/>
                      <w:spacing w:val="0"/>
                      <w:kern w:val="2"/>
                      <w:sz w:val="18"/>
                      <w:szCs w:val="18"/>
                      <w:highlight w:val="none"/>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31FAA4F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r>
            <w:tr w14:paraId="5D961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1144" w:type="dxa"/>
                  <w:vMerge w:val="continue"/>
                  <w:tcBorders>
                    <w:left w:val="single" w:color="auto" w:sz="4" w:space="0"/>
                    <w:bottom w:val="single" w:color="auto" w:sz="4" w:space="0"/>
                    <w:right w:val="single" w:color="auto" w:sz="4" w:space="0"/>
                  </w:tcBorders>
                  <w:noWrap w:val="0"/>
                  <w:vAlign w:val="center"/>
                </w:tcPr>
                <w:p w14:paraId="0B13B41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b w:val="0"/>
                      <w:bCs/>
                      <w:sz w:val="18"/>
                      <w:szCs w:val="18"/>
                    </w:rPr>
                  </w:pPr>
                </w:p>
              </w:tc>
              <w:tc>
                <w:tcPr>
                  <w:tcW w:w="975" w:type="dxa"/>
                  <w:vMerge w:val="continue"/>
                  <w:tcBorders>
                    <w:left w:val="nil"/>
                    <w:bottom w:val="single" w:color="auto" w:sz="4" w:space="0"/>
                    <w:right w:val="single" w:color="auto" w:sz="4" w:space="0"/>
                  </w:tcBorders>
                  <w:noWrap w:val="0"/>
                  <w:vAlign w:val="center"/>
                </w:tcPr>
                <w:p w14:paraId="5C1C778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b w:val="0"/>
                      <w:bCs/>
                      <w:sz w:val="18"/>
                      <w:szCs w:val="18"/>
                    </w:rPr>
                  </w:pPr>
                </w:p>
              </w:tc>
              <w:tc>
                <w:tcPr>
                  <w:tcW w:w="1740" w:type="dxa"/>
                  <w:tcBorders>
                    <w:top w:val="single" w:color="auto" w:sz="4" w:space="0"/>
                    <w:left w:val="nil"/>
                    <w:bottom w:val="single" w:color="auto" w:sz="4" w:space="0"/>
                    <w:right w:val="single" w:color="auto" w:sz="4" w:space="0"/>
                  </w:tcBorders>
                  <w:noWrap w:val="0"/>
                  <w:vAlign w:val="center"/>
                </w:tcPr>
                <w:p w14:paraId="7375BDE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vertAlign w:val="baseline"/>
                      <w:lang w:val="en-US" w:eastAsia="zh-CN" w:bidi="ar"/>
                    </w:rPr>
                  </w:pPr>
                  <w:r>
                    <w:rPr>
                      <w:rFonts w:hint="default" w:ascii="Times New Roman" w:hAnsi="Times New Roman" w:eastAsia="宋体" w:cs="Times New Roman"/>
                      <w:b w:val="0"/>
                      <w:bCs/>
                      <w:color w:val="0C0C0C"/>
                      <w:spacing w:val="0"/>
                      <w:kern w:val="2"/>
                      <w:sz w:val="18"/>
                      <w:szCs w:val="18"/>
                      <w:vertAlign w:val="baseline"/>
                      <w:lang w:val="en-US" w:eastAsia="zh-CN" w:bidi="ar"/>
                    </w:rPr>
                    <w:t>氨氮</w:t>
                  </w:r>
                </w:p>
              </w:tc>
              <w:tc>
                <w:tcPr>
                  <w:tcW w:w="2633" w:type="dxa"/>
                  <w:gridSpan w:val="2"/>
                  <w:tcBorders>
                    <w:top w:val="single" w:color="auto" w:sz="4" w:space="0"/>
                    <w:left w:val="nil"/>
                    <w:bottom w:val="single" w:color="auto" w:sz="4" w:space="0"/>
                    <w:right w:val="single" w:color="auto" w:sz="4" w:space="0"/>
                  </w:tcBorders>
                  <w:noWrap w:val="0"/>
                  <w:vAlign w:val="center"/>
                </w:tcPr>
                <w:p w14:paraId="145C2EB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vertAlign w:val="baseline"/>
                      <w:lang w:val="en-US" w:eastAsia="zh-CN" w:bidi="ar"/>
                    </w:rPr>
                  </w:pPr>
                  <w:r>
                    <w:rPr>
                      <w:rFonts w:hint="default" w:ascii="Times New Roman" w:hAnsi="Times New Roman" w:eastAsia="宋体" w:cs="Times New Roman"/>
                      <w:b w:val="0"/>
                      <w:bCs/>
                      <w:color w:val="0C0C0C"/>
                      <w:spacing w:val="0"/>
                      <w:kern w:val="2"/>
                      <w:sz w:val="18"/>
                      <w:szCs w:val="18"/>
                      <w:lang w:val="en-US" w:eastAsia="zh-CN" w:bidi="ar"/>
                    </w:rPr>
                    <w:t>0</w:t>
                  </w:r>
                  <w:r>
                    <w:rPr>
                      <w:rFonts w:hint="eastAsia" w:cs="Times New Roman"/>
                      <w:b w:val="0"/>
                      <w:bCs/>
                      <w:color w:val="0C0C0C"/>
                      <w:spacing w:val="0"/>
                      <w:kern w:val="2"/>
                      <w:sz w:val="18"/>
                      <w:szCs w:val="18"/>
                      <w:lang w:val="en-US" w:eastAsia="zh-CN" w:bidi="ar"/>
                    </w:rPr>
                    <w:t>.000008</w:t>
                  </w:r>
                </w:p>
              </w:tc>
              <w:tc>
                <w:tcPr>
                  <w:tcW w:w="985" w:type="dxa"/>
                  <w:tcBorders>
                    <w:top w:val="single" w:color="auto" w:sz="4" w:space="0"/>
                    <w:left w:val="nil"/>
                    <w:bottom w:val="single" w:color="auto" w:sz="4" w:space="0"/>
                    <w:right w:val="single" w:color="auto" w:sz="4" w:space="0"/>
                  </w:tcBorders>
                  <w:noWrap w:val="0"/>
                  <w:vAlign w:val="center"/>
                </w:tcPr>
                <w:p w14:paraId="2DEF486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vertAlign w:val="baseline"/>
                      <w:lang w:val="en-US" w:eastAsia="zh-CN" w:bidi="ar"/>
                    </w:rPr>
                  </w:pPr>
                  <w:r>
                    <w:rPr>
                      <w:rFonts w:hint="eastAsia" w:cs="Times New Roman"/>
                      <w:b w:val="0"/>
                      <w:bCs/>
                      <w:color w:val="0C0C0C"/>
                      <w:spacing w:val="0"/>
                      <w:kern w:val="2"/>
                      <w:sz w:val="18"/>
                      <w:szCs w:val="18"/>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4B33E79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vertAlign w:val="baseline"/>
                      <w:lang w:val="en-US" w:eastAsia="zh-CN" w:bidi="ar"/>
                    </w:rPr>
                  </w:pPr>
                  <w:r>
                    <w:rPr>
                      <w:rFonts w:hint="eastAsia" w:cs="Times New Roman"/>
                      <w:b w:val="0"/>
                      <w:bCs/>
                      <w:color w:val="0C0C0C"/>
                      <w:spacing w:val="0"/>
                      <w:kern w:val="2"/>
                      <w:sz w:val="18"/>
                      <w:szCs w:val="18"/>
                      <w:lang w:val="en-US" w:eastAsia="zh-CN" w:bidi="ar"/>
                    </w:rPr>
                    <w:t>-</w:t>
                  </w:r>
                </w:p>
              </w:tc>
            </w:tr>
            <w:tr w14:paraId="34B6C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4" w:type="dxa"/>
                  <w:vMerge w:val="restart"/>
                  <w:tcBorders>
                    <w:top w:val="nil"/>
                    <w:left w:val="single" w:color="auto" w:sz="4" w:space="0"/>
                    <w:right w:val="single" w:color="auto" w:sz="4" w:space="0"/>
                  </w:tcBorders>
                  <w:noWrap w:val="0"/>
                  <w:vAlign w:val="center"/>
                </w:tcPr>
                <w:p w14:paraId="35CDCDA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固废</w:t>
                  </w:r>
                </w:p>
              </w:tc>
              <w:tc>
                <w:tcPr>
                  <w:tcW w:w="975" w:type="dxa"/>
                  <w:tcBorders>
                    <w:top w:val="single" w:color="auto" w:sz="4" w:space="0"/>
                    <w:left w:val="nil"/>
                    <w:bottom w:val="single" w:color="auto" w:sz="4" w:space="0"/>
                    <w:right w:val="single" w:color="auto" w:sz="4" w:space="0"/>
                  </w:tcBorders>
                  <w:noWrap w:val="0"/>
                  <w:vAlign w:val="center"/>
                </w:tcPr>
                <w:p w14:paraId="4D16453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职工生活</w:t>
                  </w:r>
                </w:p>
              </w:tc>
              <w:tc>
                <w:tcPr>
                  <w:tcW w:w="1740" w:type="dxa"/>
                  <w:tcBorders>
                    <w:top w:val="single" w:color="auto" w:sz="4" w:space="0"/>
                    <w:left w:val="nil"/>
                    <w:bottom w:val="single" w:color="auto" w:sz="4" w:space="0"/>
                    <w:right w:val="single" w:color="auto" w:sz="4" w:space="0"/>
                  </w:tcBorders>
                  <w:noWrap w:val="0"/>
                  <w:vAlign w:val="center"/>
                </w:tcPr>
                <w:p w14:paraId="66AC1F51">
                  <w:pPr>
                    <w:keepNext w:val="0"/>
                    <w:keepLines w:val="0"/>
                    <w:pageBreakBefore w:val="0"/>
                    <w:kinsoku/>
                    <w:wordWrap/>
                    <w:overflowPunct/>
                    <w:topLinePunct w:val="0"/>
                    <w:autoSpaceDN/>
                    <w:bidi w:val="0"/>
                    <w:spacing w:line="360" w:lineRule="exact"/>
                    <w:jc w:val="center"/>
                    <w:outlineLvl w:val="9"/>
                    <w:rPr>
                      <w:rFonts w:hint="default" w:ascii="Times New Roman" w:hAnsi="Times New Roman" w:eastAsia="宋体" w:cs="Times New Roman"/>
                      <w:b w:val="0"/>
                      <w:bCs/>
                      <w:color w:val="0C0C0C"/>
                      <w:spacing w:val="0"/>
                      <w:kern w:val="13"/>
                      <w:sz w:val="18"/>
                      <w:szCs w:val="18"/>
                      <w:lang w:val="en-US" w:eastAsia="zh-CN" w:bidi="ar-SA"/>
                    </w:rPr>
                  </w:pPr>
                  <w:r>
                    <w:rPr>
                      <w:rFonts w:hint="default" w:ascii="Times New Roman" w:hAnsi="Times New Roman" w:eastAsia="宋体" w:cs="Times New Roman"/>
                      <w:b w:val="0"/>
                      <w:bCs/>
                      <w:color w:val="0C0C0C"/>
                      <w:spacing w:val="0"/>
                      <w:kern w:val="13"/>
                      <w:sz w:val="18"/>
                      <w:szCs w:val="18"/>
                    </w:rPr>
                    <w:t>生活垃圾</w:t>
                  </w:r>
                </w:p>
              </w:tc>
              <w:tc>
                <w:tcPr>
                  <w:tcW w:w="2633" w:type="dxa"/>
                  <w:gridSpan w:val="2"/>
                  <w:tcBorders>
                    <w:top w:val="single" w:color="auto" w:sz="4" w:space="0"/>
                    <w:left w:val="nil"/>
                    <w:bottom w:val="single" w:color="auto" w:sz="4" w:space="0"/>
                    <w:right w:val="single" w:color="auto" w:sz="4" w:space="0"/>
                  </w:tcBorders>
                  <w:noWrap w:val="0"/>
                  <w:vAlign w:val="center"/>
                </w:tcPr>
                <w:p w14:paraId="7E5DDB8D">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lang w:val="en-US"/>
                    </w:rPr>
                  </w:pPr>
                  <w:r>
                    <w:rPr>
                      <w:rFonts w:hint="eastAsia" w:cs="Times New Roman"/>
                      <w:b w:val="0"/>
                      <w:bCs/>
                      <w:color w:val="0C0C0C"/>
                      <w:spacing w:val="0"/>
                      <w:kern w:val="2"/>
                      <w:sz w:val="18"/>
                      <w:szCs w:val="18"/>
                      <w:lang w:val="en-US" w:eastAsia="zh-CN" w:bidi="ar"/>
                    </w:rPr>
                    <w:t>2.7t/a，</w:t>
                  </w:r>
                  <w:r>
                    <w:rPr>
                      <w:rFonts w:hint="default" w:ascii="Times New Roman" w:hAnsi="Times New Roman" w:eastAsia="宋体" w:cs="Times New Roman"/>
                      <w:caps w:val="0"/>
                      <w:color w:val="0C0C0C"/>
                      <w:spacing w:val="0"/>
                      <w:position w:val="0"/>
                      <w:sz w:val="18"/>
                      <w:szCs w:val="18"/>
                      <w:highlight w:val="none"/>
                      <w:lang w:eastAsia="zh-CN" w:bidi="ar"/>
                    </w:rPr>
                    <w:t>环卫部门定期清运</w:t>
                  </w:r>
                  <w:r>
                    <w:rPr>
                      <w:rFonts w:hint="default" w:ascii="Times New Roman" w:hAnsi="Times New Roman" w:eastAsia="宋体" w:cs="Times New Roman"/>
                      <w:caps w:val="0"/>
                      <w:color w:val="0C0C0C"/>
                      <w:spacing w:val="0"/>
                      <w:position w:val="0"/>
                      <w:sz w:val="18"/>
                      <w:szCs w:val="18"/>
                      <w:highlight w:val="none"/>
                      <w:lang w:bidi="ar"/>
                    </w:rPr>
                    <w:t>处理</w:t>
                  </w:r>
                </w:p>
              </w:tc>
              <w:tc>
                <w:tcPr>
                  <w:tcW w:w="985" w:type="dxa"/>
                  <w:tcBorders>
                    <w:top w:val="single" w:color="auto" w:sz="4" w:space="0"/>
                    <w:left w:val="nil"/>
                    <w:bottom w:val="single" w:color="auto" w:sz="4" w:space="0"/>
                    <w:right w:val="single" w:color="auto" w:sz="4" w:space="0"/>
                  </w:tcBorders>
                  <w:noWrap w:val="0"/>
                  <w:vAlign w:val="center"/>
                </w:tcPr>
                <w:p w14:paraId="6B498A2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0A42637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r>
            <w:tr w14:paraId="0BF03F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144" w:type="dxa"/>
                  <w:vMerge w:val="continue"/>
                  <w:tcBorders>
                    <w:left w:val="single" w:color="auto" w:sz="4" w:space="0"/>
                    <w:right w:val="single" w:color="auto" w:sz="4" w:space="0"/>
                  </w:tcBorders>
                  <w:noWrap w:val="0"/>
                  <w:vAlign w:val="center"/>
                </w:tcPr>
                <w:p w14:paraId="626F71A7">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FF0000"/>
                      <w:spacing w:val="0"/>
                      <w:sz w:val="18"/>
                      <w:szCs w:val="18"/>
                    </w:rPr>
                  </w:pPr>
                </w:p>
              </w:tc>
              <w:tc>
                <w:tcPr>
                  <w:tcW w:w="975" w:type="dxa"/>
                  <w:vMerge w:val="restart"/>
                  <w:tcBorders>
                    <w:top w:val="nil"/>
                    <w:left w:val="nil"/>
                    <w:right w:val="single" w:color="auto" w:sz="4" w:space="0"/>
                  </w:tcBorders>
                  <w:noWrap w:val="0"/>
                  <w:vAlign w:val="center"/>
                </w:tcPr>
                <w:p w14:paraId="5628C177">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18"/>
                      <w:szCs w:val="18"/>
                    </w:rPr>
                  </w:pPr>
                  <w:r>
                    <w:rPr>
                      <w:rFonts w:hint="default" w:ascii="Times New Roman" w:hAnsi="Times New Roman" w:eastAsia="宋体" w:cs="Times New Roman"/>
                      <w:b w:val="0"/>
                      <w:bCs/>
                      <w:color w:val="0C0C0C"/>
                      <w:spacing w:val="0"/>
                      <w:kern w:val="2"/>
                      <w:sz w:val="18"/>
                      <w:szCs w:val="18"/>
                      <w:lang w:val="en-US" w:eastAsia="zh-CN" w:bidi="ar"/>
                    </w:rPr>
                    <w:t>一般工业固废</w:t>
                  </w:r>
                </w:p>
              </w:tc>
              <w:tc>
                <w:tcPr>
                  <w:tcW w:w="1740" w:type="dxa"/>
                  <w:tcBorders>
                    <w:top w:val="single" w:color="auto" w:sz="4" w:space="0"/>
                    <w:left w:val="nil"/>
                    <w:bottom w:val="single" w:color="auto" w:sz="4" w:space="0"/>
                    <w:right w:val="single" w:color="auto" w:sz="4" w:space="0"/>
                  </w:tcBorders>
                  <w:noWrap w:val="0"/>
                  <w:vAlign w:val="center"/>
                </w:tcPr>
                <w:p w14:paraId="78A501A8">
                  <w:pPr>
                    <w:keepNext w:val="0"/>
                    <w:keepLines w:val="0"/>
                    <w:pageBreakBefore w:val="0"/>
                    <w:kinsoku/>
                    <w:wordWrap/>
                    <w:overflowPunct/>
                    <w:topLinePunct w:val="0"/>
                    <w:autoSpaceDN/>
                    <w:bidi w:val="0"/>
                    <w:spacing w:line="360" w:lineRule="exact"/>
                    <w:jc w:val="center"/>
                    <w:outlineLvl w:val="9"/>
                    <w:rPr>
                      <w:rFonts w:hint="default" w:ascii="Times New Roman" w:hAnsi="Times New Roman" w:eastAsia="宋体" w:cs="Times New Roman"/>
                      <w:b w:val="0"/>
                      <w:bCs/>
                      <w:color w:val="0C0C0C"/>
                      <w:spacing w:val="0"/>
                      <w:kern w:val="13"/>
                      <w:sz w:val="18"/>
                      <w:szCs w:val="18"/>
                      <w:lang w:val="en-US" w:eastAsia="zh-CN" w:bidi="ar-SA"/>
                    </w:rPr>
                  </w:pPr>
                  <w:r>
                    <w:rPr>
                      <w:rFonts w:hint="eastAsia" w:cs="Times New Roman"/>
                      <w:caps w:val="0"/>
                      <w:snapToGrid w:val="0"/>
                      <w:color w:val="0C0C0C"/>
                      <w:spacing w:val="0"/>
                      <w:position w:val="0"/>
                      <w:sz w:val="18"/>
                      <w:szCs w:val="18"/>
                      <w:highlight w:val="none"/>
                      <w:lang w:val="en-US" w:eastAsia="zh-CN"/>
                    </w:rPr>
                    <w:t>金属边角料</w:t>
                  </w:r>
                </w:p>
              </w:tc>
              <w:tc>
                <w:tcPr>
                  <w:tcW w:w="2633" w:type="dxa"/>
                  <w:gridSpan w:val="2"/>
                  <w:tcBorders>
                    <w:top w:val="single" w:color="auto" w:sz="4" w:space="0"/>
                    <w:left w:val="nil"/>
                    <w:bottom w:val="single" w:color="auto" w:sz="4" w:space="0"/>
                    <w:right w:val="single" w:color="auto" w:sz="4" w:space="0"/>
                  </w:tcBorders>
                  <w:noWrap w:val="0"/>
                  <w:vAlign w:val="center"/>
                </w:tcPr>
                <w:p w14:paraId="570DA41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ascii="Times New Roman" w:hAnsi="Times New Roman" w:eastAsia="宋体" w:cs="Times New Roman"/>
                      <w:b w:val="0"/>
                      <w:bCs/>
                      <w:color w:val="0C0C0C"/>
                      <w:spacing w:val="0"/>
                      <w:kern w:val="2"/>
                      <w:sz w:val="18"/>
                      <w:szCs w:val="18"/>
                      <w:lang w:eastAsia="zh-CN"/>
                    </w:rPr>
                  </w:pPr>
                  <w:r>
                    <w:rPr>
                      <w:rFonts w:hint="eastAsia" w:cs="Times New Roman"/>
                      <w:color w:val="0C0C0C"/>
                      <w:spacing w:val="0"/>
                      <w:kern w:val="2"/>
                      <w:sz w:val="18"/>
                      <w:szCs w:val="18"/>
                      <w:lang w:val="en-US" w:eastAsia="zh-CN" w:bidi="ar"/>
                    </w:rPr>
                    <w:t>1.9t/a，</w:t>
                  </w:r>
                  <w:r>
                    <w:rPr>
                      <w:rFonts w:hint="eastAsia" w:cs="Times New Roman"/>
                      <w:b w:val="0"/>
                      <w:bCs/>
                      <w:color w:val="0C0C0C"/>
                      <w:spacing w:val="0"/>
                      <w:kern w:val="2"/>
                      <w:sz w:val="18"/>
                      <w:szCs w:val="18"/>
                      <w:lang w:val="en-US" w:eastAsia="zh-CN" w:bidi="ar"/>
                    </w:rPr>
                    <w:t>外卖处理</w:t>
                  </w:r>
                </w:p>
              </w:tc>
              <w:tc>
                <w:tcPr>
                  <w:tcW w:w="985" w:type="dxa"/>
                  <w:tcBorders>
                    <w:top w:val="single" w:color="auto" w:sz="4" w:space="0"/>
                    <w:left w:val="nil"/>
                    <w:bottom w:val="single" w:color="auto" w:sz="4" w:space="0"/>
                    <w:right w:val="single" w:color="auto" w:sz="4" w:space="0"/>
                  </w:tcBorders>
                  <w:noWrap w:val="0"/>
                  <w:vAlign w:val="center"/>
                </w:tcPr>
                <w:p w14:paraId="391232F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18"/>
                      <w:szCs w:val="18"/>
                      <w:lang w:val="en-US" w:eastAsia="zh-CN"/>
                    </w:rPr>
                  </w:pPr>
                  <w:r>
                    <w:rPr>
                      <w:rFonts w:hint="eastAsia" w:cs="Times New Roman"/>
                      <w:b w:val="0"/>
                      <w:bCs/>
                      <w:color w:val="0C0C0C"/>
                      <w:spacing w:val="0"/>
                      <w:kern w:val="2"/>
                      <w:sz w:val="18"/>
                      <w:szCs w:val="18"/>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2A48931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18"/>
                      <w:szCs w:val="18"/>
                      <w:lang w:eastAsia="zh-CN"/>
                    </w:rPr>
                  </w:pPr>
                  <w:r>
                    <w:rPr>
                      <w:rFonts w:hint="eastAsia" w:cs="Times New Roman"/>
                      <w:b w:val="0"/>
                      <w:bCs/>
                      <w:color w:val="0C0C0C"/>
                      <w:spacing w:val="0"/>
                      <w:kern w:val="2"/>
                      <w:sz w:val="18"/>
                      <w:szCs w:val="18"/>
                      <w:lang w:val="en-US" w:eastAsia="zh-CN" w:bidi="ar"/>
                    </w:rPr>
                    <w:t>-</w:t>
                  </w:r>
                </w:p>
              </w:tc>
            </w:tr>
            <w:tr w14:paraId="4E59B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4" w:type="dxa"/>
                  <w:vMerge w:val="continue"/>
                  <w:tcBorders>
                    <w:left w:val="single" w:color="auto" w:sz="4" w:space="0"/>
                    <w:right w:val="single" w:color="auto" w:sz="4" w:space="0"/>
                  </w:tcBorders>
                  <w:noWrap w:val="0"/>
                  <w:vAlign w:val="center"/>
                </w:tcPr>
                <w:p w14:paraId="1BB83083">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FF0000"/>
                      <w:spacing w:val="0"/>
                      <w:sz w:val="18"/>
                      <w:szCs w:val="18"/>
                    </w:rPr>
                  </w:pPr>
                </w:p>
              </w:tc>
              <w:tc>
                <w:tcPr>
                  <w:tcW w:w="975" w:type="dxa"/>
                  <w:vMerge w:val="continue"/>
                  <w:tcBorders>
                    <w:left w:val="nil"/>
                    <w:right w:val="single" w:color="auto" w:sz="4" w:space="0"/>
                  </w:tcBorders>
                  <w:noWrap w:val="0"/>
                  <w:vAlign w:val="center"/>
                </w:tcPr>
                <w:p w14:paraId="64790391">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18"/>
                      <w:szCs w:val="18"/>
                      <w:lang w:val="en-US" w:eastAsia="zh-CN" w:bidi="ar"/>
                    </w:rPr>
                  </w:pPr>
                </w:p>
              </w:tc>
              <w:tc>
                <w:tcPr>
                  <w:tcW w:w="1740" w:type="dxa"/>
                  <w:tcBorders>
                    <w:top w:val="single" w:color="auto" w:sz="4" w:space="0"/>
                    <w:left w:val="nil"/>
                    <w:bottom w:val="single" w:color="auto" w:sz="4" w:space="0"/>
                    <w:right w:val="single" w:color="auto" w:sz="4" w:space="0"/>
                  </w:tcBorders>
                  <w:noWrap w:val="0"/>
                  <w:vAlign w:val="center"/>
                </w:tcPr>
                <w:p w14:paraId="7DDC9B73">
                  <w:pPr>
                    <w:keepNext w:val="0"/>
                    <w:keepLines w:val="0"/>
                    <w:pageBreakBefore w:val="0"/>
                    <w:kinsoku/>
                    <w:wordWrap/>
                    <w:overflowPunct/>
                    <w:topLinePunct w:val="0"/>
                    <w:autoSpaceDN/>
                    <w:bidi w:val="0"/>
                    <w:spacing w:line="360" w:lineRule="exact"/>
                    <w:jc w:val="center"/>
                    <w:outlineLvl w:val="9"/>
                    <w:rPr>
                      <w:rFonts w:hint="eastAsia" w:eastAsia="宋体" w:cs="Times New Roman"/>
                      <w:caps w:val="0"/>
                      <w:snapToGrid w:val="0"/>
                      <w:color w:val="0C0C0C"/>
                      <w:spacing w:val="0"/>
                      <w:position w:val="0"/>
                      <w:sz w:val="18"/>
                      <w:szCs w:val="18"/>
                      <w:highlight w:val="none"/>
                      <w:lang w:val="en-US" w:eastAsia="zh-CN"/>
                    </w:rPr>
                  </w:pPr>
                  <w:r>
                    <w:rPr>
                      <w:rFonts w:hint="eastAsia" w:cs="Times New Roman"/>
                      <w:sz w:val="18"/>
                      <w:szCs w:val="18"/>
                      <w:highlight w:val="none"/>
                      <w:lang w:eastAsia="zh-CN"/>
                    </w:rPr>
                    <w:t>废焊渣</w:t>
                  </w:r>
                </w:p>
              </w:tc>
              <w:tc>
                <w:tcPr>
                  <w:tcW w:w="2633" w:type="dxa"/>
                  <w:gridSpan w:val="2"/>
                  <w:tcBorders>
                    <w:top w:val="single" w:color="auto" w:sz="4" w:space="0"/>
                    <w:left w:val="nil"/>
                    <w:bottom w:val="single" w:color="auto" w:sz="4" w:space="0"/>
                    <w:right w:val="single" w:color="auto" w:sz="4" w:space="0"/>
                  </w:tcBorders>
                  <w:noWrap w:val="0"/>
                  <w:vAlign w:val="center"/>
                </w:tcPr>
                <w:p w14:paraId="794FF53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color w:val="0C0C0C"/>
                      <w:spacing w:val="0"/>
                      <w:kern w:val="2"/>
                      <w:sz w:val="18"/>
                      <w:szCs w:val="18"/>
                      <w:lang w:val="en-US" w:eastAsia="zh-CN" w:bidi="ar"/>
                    </w:rPr>
                  </w:pPr>
                  <w:r>
                    <w:rPr>
                      <w:rFonts w:hint="eastAsia" w:cs="Times New Roman"/>
                      <w:color w:val="0C0C0C"/>
                      <w:spacing w:val="0"/>
                      <w:kern w:val="2"/>
                      <w:sz w:val="18"/>
                      <w:szCs w:val="18"/>
                      <w:lang w:val="en-US" w:eastAsia="zh-CN" w:bidi="ar"/>
                    </w:rPr>
                    <w:t>0.1t/a</w:t>
                  </w:r>
                  <w:r>
                    <w:rPr>
                      <w:rFonts w:hint="eastAsia"/>
                      <w:sz w:val="18"/>
                      <w:szCs w:val="18"/>
                      <w:lang w:eastAsia="zh-CN"/>
                    </w:rPr>
                    <w:t>，</w:t>
                  </w:r>
                  <w:r>
                    <w:rPr>
                      <w:rFonts w:hint="eastAsia" w:cs="Times New Roman"/>
                      <w:b w:val="0"/>
                      <w:bCs/>
                      <w:color w:val="0C0C0C"/>
                      <w:spacing w:val="0"/>
                      <w:kern w:val="2"/>
                      <w:sz w:val="18"/>
                      <w:szCs w:val="18"/>
                      <w:lang w:val="en-US" w:eastAsia="zh-CN" w:bidi="ar"/>
                    </w:rPr>
                    <w:t>外卖处理</w:t>
                  </w:r>
                </w:p>
              </w:tc>
              <w:tc>
                <w:tcPr>
                  <w:tcW w:w="985" w:type="dxa"/>
                  <w:tcBorders>
                    <w:top w:val="single" w:color="auto" w:sz="4" w:space="0"/>
                    <w:left w:val="nil"/>
                    <w:bottom w:val="single" w:color="auto" w:sz="4" w:space="0"/>
                    <w:right w:val="single" w:color="auto" w:sz="4" w:space="0"/>
                  </w:tcBorders>
                  <w:noWrap w:val="0"/>
                  <w:vAlign w:val="center"/>
                </w:tcPr>
                <w:p w14:paraId="437C9E9A">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20F41EE0">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r>
            <w:tr w14:paraId="64F4E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1144" w:type="dxa"/>
                  <w:vMerge w:val="continue"/>
                  <w:tcBorders>
                    <w:left w:val="single" w:color="auto" w:sz="4" w:space="0"/>
                    <w:right w:val="single" w:color="auto" w:sz="4" w:space="0"/>
                  </w:tcBorders>
                  <w:noWrap w:val="0"/>
                  <w:vAlign w:val="center"/>
                </w:tcPr>
                <w:p w14:paraId="6FEC216E">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FF0000"/>
                      <w:spacing w:val="0"/>
                      <w:sz w:val="18"/>
                      <w:szCs w:val="18"/>
                    </w:rPr>
                  </w:pPr>
                </w:p>
              </w:tc>
              <w:tc>
                <w:tcPr>
                  <w:tcW w:w="975" w:type="dxa"/>
                  <w:vMerge w:val="continue"/>
                  <w:tcBorders>
                    <w:left w:val="nil"/>
                    <w:right w:val="single" w:color="auto" w:sz="4" w:space="0"/>
                  </w:tcBorders>
                  <w:noWrap w:val="0"/>
                  <w:vAlign w:val="center"/>
                </w:tcPr>
                <w:p w14:paraId="5F17A395">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18"/>
                      <w:szCs w:val="18"/>
                      <w:lang w:val="en-US" w:eastAsia="zh-CN" w:bidi="ar"/>
                    </w:rPr>
                  </w:pPr>
                </w:p>
              </w:tc>
              <w:tc>
                <w:tcPr>
                  <w:tcW w:w="1740" w:type="dxa"/>
                  <w:tcBorders>
                    <w:top w:val="single" w:color="auto" w:sz="4" w:space="0"/>
                    <w:left w:val="nil"/>
                    <w:bottom w:val="single" w:color="auto" w:sz="4" w:space="0"/>
                    <w:right w:val="single" w:color="auto" w:sz="4" w:space="0"/>
                  </w:tcBorders>
                  <w:noWrap w:val="0"/>
                  <w:vAlign w:val="center"/>
                </w:tcPr>
                <w:p w14:paraId="7934F248">
                  <w:pPr>
                    <w:keepNext w:val="0"/>
                    <w:keepLines w:val="0"/>
                    <w:pageBreakBefore w:val="0"/>
                    <w:kinsoku/>
                    <w:wordWrap/>
                    <w:overflowPunct/>
                    <w:topLinePunct w:val="0"/>
                    <w:autoSpaceDN/>
                    <w:bidi w:val="0"/>
                    <w:spacing w:line="240" w:lineRule="auto"/>
                    <w:jc w:val="center"/>
                    <w:outlineLvl w:val="9"/>
                    <w:rPr>
                      <w:rFonts w:hint="eastAsia" w:ascii="Times New Roman" w:hAnsi="Times New Roman" w:eastAsia="宋体" w:cs="Times New Roman"/>
                      <w:kern w:val="2"/>
                      <w:sz w:val="18"/>
                      <w:szCs w:val="18"/>
                      <w:lang w:val="en-US" w:eastAsia="zh-CN" w:bidi="ar-SA"/>
                    </w:rPr>
                  </w:pPr>
                  <w:r>
                    <w:rPr>
                      <w:rFonts w:hint="eastAsia"/>
                      <w:sz w:val="18"/>
                      <w:szCs w:val="18"/>
                      <w:lang w:eastAsia="zh-CN"/>
                    </w:rPr>
                    <w:t>焊烟净化器收集的粉尘</w:t>
                  </w:r>
                </w:p>
              </w:tc>
              <w:tc>
                <w:tcPr>
                  <w:tcW w:w="2633" w:type="dxa"/>
                  <w:gridSpan w:val="2"/>
                  <w:tcBorders>
                    <w:top w:val="single" w:color="auto" w:sz="4" w:space="0"/>
                    <w:left w:val="nil"/>
                    <w:bottom w:val="single" w:color="auto" w:sz="4" w:space="0"/>
                    <w:right w:val="single" w:color="auto" w:sz="4" w:space="0"/>
                  </w:tcBorders>
                  <w:noWrap w:val="0"/>
                  <w:vAlign w:val="center"/>
                </w:tcPr>
                <w:p w14:paraId="6B24098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ascii="Times New Roman" w:hAnsi="Times New Roman" w:eastAsia="宋体" w:cs="Times New Roman"/>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0.1t/a，外卖处理</w:t>
                  </w:r>
                </w:p>
              </w:tc>
              <w:tc>
                <w:tcPr>
                  <w:tcW w:w="985" w:type="dxa"/>
                  <w:tcBorders>
                    <w:top w:val="single" w:color="auto" w:sz="4" w:space="0"/>
                    <w:left w:val="nil"/>
                    <w:bottom w:val="single" w:color="auto" w:sz="4" w:space="0"/>
                    <w:right w:val="single" w:color="auto" w:sz="4" w:space="0"/>
                  </w:tcBorders>
                  <w:noWrap w:val="0"/>
                  <w:vAlign w:val="center"/>
                </w:tcPr>
                <w:p w14:paraId="322E6B9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465931C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r>
            <w:tr w14:paraId="4059C6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4" w:type="dxa"/>
                  <w:vMerge w:val="continue"/>
                  <w:tcBorders>
                    <w:left w:val="single" w:color="auto" w:sz="4" w:space="0"/>
                    <w:right w:val="single" w:color="auto" w:sz="4" w:space="0"/>
                  </w:tcBorders>
                  <w:noWrap w:val="0"/>
                  <w:vAlign w:val="center"/>
                </w:tcPr>
                <w:p w14:paraId="6F2CF870">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FF0000"/>
                      <w:spacing w:val="0"/>
                      <w:sz w:val="18"/>
                      <w:szCs w:val="18"/>
                    </w:rPr>
                  </w:pPr>
                </w:p>
              </w:tc>
              <w:tc>
                <w:tcPr>
                  <w:tcW w:w="975" w:type="dxa"/>
                  <w:vMerge w:val="restart"/>
                  <w:tcBorders>
                    <w:left w:val="nil"/>
                    <w:right w:val="single" w:color="auto" w:sz="4" w:space="0"/>
                  </w:tcBorders>
                  <w:noWrap w:val="0"/>
                  <w:vAlign w:val="center"/>
                </w:tcPr>
                <w:p w14:paraId="58D75897">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危险废物</w:t>
                  </w:r>
                </w:p>
              </w:tc>
              <w:tc>
                <w:tcPr>
                  <w:tcW w:w="1740" w:type="dxa"/>
                  <w:tcBorders>
                    <w:top w:val="single" w:color="auto" w:sz="4" w:space="0"/>
                    <w:left w:val="nil"/>
                    <w:bottom w:val="single" w:color="auto" w:sz="4" w:space="0"/>
                    <w:right w:val="single" w:color="auto" w:sz="4" w:space="0"/>
                  </w:tcBorders>
                  <w:noWrap w:val="0"/>
                  <w:vAlign w:val="center"/>
                </w:tcPr>
                <w:p w14:paraId="7051A69B">
                  <w:pPr>
                    <w:keepNext w:val="0"/>
                    <w:keepLines w:val="0"/>
                    <w:pageBreakBefore w:val="0"/>
                    <w:kinsoku/>
                    <w:wordWrap/>
                    <w:overflowPunct/>
                    <w:topLinePunct w:val="0"/>
                    <w:autoSpaceDN/>
                    <w:bidi w:val="0"/>
                    <w:spacing w:line="240" w:lineRule="auto"/>
                    <w:jc w:val="center"/>
                    <w:outlineLvl w:val="9"/>
                    <w:rPr>
                      <w:rFonts w:hint="default" w:ascii="Times New Roman" w:hAnsi="Times New Roman" w:cs="Times New Roman"/>
                      <w:b w:val="0"/>
                      <w:bCs/>
                      <w:color w:val="0C0C0C"/>
                      <w:sz w:val="18"/>
                      <w:szCs w:val="18"/>
                      <w:lang w:val="en-US" w:eastAsia="zh-CN"/>
                    </w:rPr>
                  </w:pPr>
                  <w:r>
                    <w:rPr>
                      <w:rFonts w:hint="eastAsia"/>
                      <w:sz w:val="18"/>
                      <w:szCs w:val="18"/>
                      <w:lang w:eastAsia="zh-CN"/>
                    </w:rPr>
                    <w:t>废油漆桶、</w:t>
                  </w:r>
                  <w:r>
                    <w:rPr>
                      <w:rFonts w:hint="eastAsia"/>
                      <w:sz w:val="18"/>
                      <w:szCs w:val="18"/>
                      <w:lang w:val="en-US" w:eastAsia="zh-CN"/>
                    </w:rPr>
                    <w:t>稀释剂桶</w:t>
                  </w:r>
                </w:p>
              </w:tc>
              <w:tc>
                <w:tcPr>
                  <w:tcW w:w="2633" w:type="dxa"/>
                  <w:gridSpan w:val="2"/>
                  <w:tcBorders>
                    <w:top w:val="single" w:color="auto" w:sz="4" w:space="0"/>
                    <w:left w:val="nil"/>
                    <w:bottom w:val="single" w:color="auto" w:sz="4" w:space="0"/>
                    <w:right w:val="single" w:color="auto" w:sz="4" w:space="0"/>
                  </w:tcBorders>
                  <w:noWrap w:val="0"/>
                  <w:vAlign w:val="center"/>
                </w:tcPr>
                <w:p w14:paraId="0D4867A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0.03t/a，</w:t>
                  </w:r>
                  <w:r>
                    <w:rPr>
                      <w:rFonts w:hint="eastAsia" w:ascii="Times New Roman" w:hAnsi="Times New Roman"/>
                      <w:sz w:val="18"/>
                      <w:szCs w:val="18"/>
                      <w:highlight w:val="none"/>
                      <w:lang w:eastAsia="zh-CN"/>
                    </w:rPr>
                    <w:t>暂存危废间，委托危废处置</w:t>
                  </w:r>
                  <w:r>
                    <w:rPr>
                      <w:rFonts w:ascii="Times New Roman" w:hAnsi="Times New Roman"/>
                      <w:sz w:val="18"/>
                      <w:szCs w:val="18"/>
                      <w:highlight w:val="none"/>
                      <w:lang w:eastAsia="zh-CN"/>
                    </w:rPr>
                    <w:t>资质单位进行</w:t>
                  </w:r>
                  <w:r>
                    <w:rPr>
                      <w:rFonts w:hint="eastAsia" w:ascii="Times New Roman" w:hAnsi="Times New Roman"/>
                      <w:sz w:val="18"/>
                      <w:szCs w:val="18"/>
                      <w:highlight w:val="none"/>
                      <w:lang w:eastAsia="zh-CN"/>
                    </w:rPr>
                    <w:t>处置</w:t>
                  </w:r>
                </w:p>
              </w:tc>
              <w:tc>
                <w:tcPr>
                  <w:tcW w:w="985" w:type="dxa"/>
                  <w:tcBorders>
                    <w:top w:val="single" w:color="auto" w:sz="4" w:space="0"/>
                    <w:left w:val="nil"/>
                    <w:bottom w:val="single" w:color="auto" w:sz="4" w:space="0"/>
                    <w:right w:val="single" w:color="auto" w:sz="4" w:space="0"/>
                  </w:tcBorders>
                  <w:noWrap w:val="0"/>
                  <w:vAlign w:val="center"/>
                </w:tcPr>
                <w:p w14:paraId="5B768F4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5711D959">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r>
            <w:tr w14:paraId="3BBE0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4" w:type="dxa"/>
                  <w:vMerge w:val="continue"/>
                  <w:tcBorders>
                    <w:left w:val="single" w:color="auto" w:sz="4" w:space="0"/>
                    <w:right w:val="single" w:color="auto" w:sz="4" w:space="0"/>
                  </w:tcBorders>
                  <w:noWrap w:val="0"/>
                  <w:vAlign w:val="center"/>
                </w:tcPr>
                <w:p w14:paraId="2CF8D97A">
                  <w:pPr>
                    <w:keepNext w:val="0"/>
                    <w:keepLines w:val="0"/>
                    <w:pageBreakBefore w:val="0"/>
                    <w:kinsoku/>
                    <w:wordWrap/>
                    <w:overflowPunct/>
                    <w:topLinePunct w:val="0"/>
                    <w:autoSpaceDN/>
                    <w:bidi w:val="0"/>
                    <w:spacing w:line="360" w:lineRule="exact"/>
                    <w:outlineLvl w:val="9"/>
                    <w:rPr>
                      <w:rFonts w:hint="default" w:ascii="Times New Roman" w:hAnsi="Times New Roman" w:eastAsia="宋体" w:cs="Times New Roman"/>
                      <w:b w:val="0"/>
                      <w:bCs/>
                      <w:color w:val="FF0000"/>
                      <w:spacing w:val="0"/>
                      <w:sz w:val="18"/>
                      <w:szCs w:val="18"/>
                    </w:rPr>
                  </w:pPr>
                </w:p>
              </w:tc>
              <w:tc>
                <w:tcPr>
                  <w:tcW w:w="975" w:type="dxa"/>
                  <w:vMerge w:val="continue"/>
                  <w:tcBorders>
                    <w:left w:val="nil"/>
                    <w:right w:val="single" w:color="auto" w:sz="4" w:space="0"/>
                  </w:tcBorders>
                  <w:noWrap w:val="0"/>
                  <w:vAlign w:val="center"/>
                </w:tcPr>
                <w:p w14:paraId="238C2DAB">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eastAsia" w:cs="Times New Roman"/>
                      <w:b w:val="0"/>
                      <w:bCs/>
                      <w:color w:val="0C0C0C"/>
                      <w:spacing w:val="0"/>
                      <w:kern w:val="2"/>
                      <w:sz w:val="18"/>
                      <w:szCs w:val="18"/>
                      <w:lang w:val="en-US" w:eastAsia="zh-CN" w:bidi="ar"/>
                    </w:rPr>
                  </w:pPr>
                </w:p>
              </w:tc>
              <w:tc>
                <w:tcPr>
                  <w:tcW w:w="1740" w:type="dxa"/>
                  <w:tcBorders>
                    <w:top w:val="single" w:color="auto" w:sz="4" w:space="0"/>
                    <w:left w:val="nil"/>
                    <w:bottom w:val="single" w:color="auto" w:sz="4" w:space="0"/>
                    <w:right w:val="single" w:color="auto" w:sz="4" w:space="0"/>
                  </w:tcBorders>
                  <w:noWrap w:val="0"/>
                  <w:vAlign w:val="center"/>
                </w:tcPr>
                <w:p w14:paraId="0402BC1E">
                  <w:pPr>
                    <w:keepNext w:val="0"/>
                    <w:keepLines w:val="0"/>
                    <w:pageBreakBefore w:val="0"/>
                    <w:kinsoku/>
                    <w:wordWrap/>
                    <w:overflowPunct/>
                    <w:topLinePunct w:val="0"/>
                    <w:autoSpaceDN/>
                    <w:bidi w:val="0"/>
                    <w:spacing w:line="240" w:lineRule="auto"/>
                    <w:jc w:val="center"/>
                    <w:outlineLvl w:val="9"/>
                    <w:rPr>
                      <w:rFonts w:hint="eastAsia" w:cs="Times New Roman"/>
                      <w:b w:val="0"/>
                      <w:bCs/>
                      <w:color w:val="0C0C0C"/>
                      <w:sz w:val="18"/>
                      <w:szCs w:val="18"/>
                      <w:lang w:eastAsia="zh-CN"/>
                    </w:rPr>
                  </w:pPr>
                  <w:r>
                    <w:rPr>
                      <w:rFonts w:hint="eastAsia"/>
                      <w:sz w:val="18"/>
                      <w:szCs w:val="18"/>
                      <w:lang w:eastAsia="zh-CN"/>
                    </w:rPr>
                    <w:t>废活性炭</w:t>
                  </w:r>
                </w:p>
              </w:tc>
              <w:tc>
                <w:tcPr>
                  <w:tcW w:w="2633" w:type="dxa"/>
                  <w:gridSpan w:val="2"/>
                  <w:tcBorders>
                    <w:top w:val="single" w:color="auto" w:sz="4" w:space="0"/>
                    <w:left w:val="nil"/>
                    <w:bottom w:val="single" w:color="auto" w:sz="4" w:space="0"/>
                    <w:right w:val="single" w:color="auto" w:sz="4" w:space="0"/>
                  </w:tcBorders>
                  <w:noWrap w:val="0"/>
                  <w:vAlign w:val="center"/>
                </w:tcPr>
                <w:p w14:paraId="65A204C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0.06t/a，</w:t>
                  </w:r>
                  <w:r>
                    <w:rPr>
                      <w:rFonts w:hint="eastAsia" w:ascii="Times New Roman" w:hAnsi="Times New Roman"/>
                      <w:sz w:val="18"/>
                      <w:szCs w:val="18"/>
                      <w:highlight w:val="none"/>
                      <w:lang w:eastAsia="zh-CN"/>
                    </w:rPr>
                    <w:t>暂存危废间，委托危废处置</w:t>
                  </w:r>
                  <w:r>
                    <w:rPr>
                      <w:rFonts w:ascii="Times New Roman" w:hAnsi="Times New Roman"/>
                      <w:sz w:val="18"/>
                      <w:szCs w:val="18"/>
                      <w:highlight w:val="none"/>
                      <w:lang w:eastAsia="zh-CN"/>
                    </w:rPr>
                    <w:t>资质单位进行</w:t>
                  </w:r>
                  <w:r>
                    <w:rPr>
                      <w:rFonts w:hint="eastAsia" w:ascii="Times New Roman" w:hAnsi="Times New Roman"/>
                      <w:sz w:val="18"/>
                      <w:szCs w:val="18"/>
                      <w:highlight w:val="none"/>
                      <w:lang w:eastAsia="zh-CN"/>
                    </w:rPr>
                    <w:t>处置</w:t>
                  </w:r>
                </w:p>
              </w:tc>
              <w:tc>
                <w:tcPr>
                  <w:tcW w:w="985" w:type="dxa"/>
                  <w:tcBorders>
                    <w:top w:val="single" w:color="auto" w:sz="4" w:space="0"/>
                    <w:left w:val="nil"/>
                    <w:bottom w:val="single" w:color="auto" w:sz="4" w:space="0"/>
                    <w:right w:val="single" w:color="auto" w:sz="4" w:space="0"/>
                  </w:tcBorders>
                  <w:noWrap w:val="0"/>
                  <w:vAlign w:val="center"/>
                </w:tcPr>
                <w:p w14:paraId="606A478D">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5CBFF3A1">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r>
            <w:tr w14:paraId="441F8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1144" w:type="dxa"/>
                  <w:tcBorders>
                    <w:left w:val="single" w:color="auto" w:sz="4" w:space="0"/>
                    <w:right w:val="single" w:color="auto" w:sz="4" w:space="0"/>
                  </w:tcBorders>
                  <w:noWrap w:val="0"/>
                  <w:vAlign w:val="center"/>
                </w:tcPr>
                <w:p w14:paraId="4484EA92">
                  <w:pPr>
                    <w:keepNext w:val="0"/>
                    <w:keepLines w:val="0"/>
                    <w:pageBreakBefore w:val="0"/>
                    <w:kinsoku/>
                    <w:wordWrap/>
                    <w:overflowPunct/>
                    <w:topLinePunct w:val="0"/>
                    <w:autoSpaceDN/>
                    <w:bidi w:val="0"/>
                    <w:spacing w:line="360" w:lineRule="exact"/>
                    <w:jc w:val="center"/>
                    <w:outlineLvl w:val="9"/>
                    <w:rPr>
                      <w:rFonts w:hint="eastAsia" w:ascii="Times New Roman" w:hAnsi="Times New Roman" w:eastAsia="宋体" w:cs="Times New Roman"/>
                      <w:b w:val="0"/>
                      <w:bCs/>
                      <w:color w:val="FF0000"/>
                      <w:spacing w:val="0"/>
                      <w:sz w:val="18"/>
                      <w:szCs w:val="18"/>
                      <w:lang w:eastAsia="zh-CN"/>
                    </w:rPr>
                  </w:pPr>
                  <w:r>
                    <w:rPr>
                      <w:rFonts w:hint="eastAsia" w:cs="Times New Roman"/>
                      <w:b w:val="0"/>
                      <w:bCs/>
                      <w:color w:val="auto"/>
                      <w:spacing w:val="0"/>
                      <w:sz w:val="18"/>
                      <w:szCs w:val="18"/>
                      <w:lang w:eastAsia="zh-CN"/>
                    </w:rPr>
                    <w:t>噪声</w:t>
                  </w:r>
                </w:p>
              </w:tc>
              <w:tc>
                <w:tcPr>
                  <w:tcW w:w="975" w:type="dxa"/>
                  <w:tcBorders>
                    <w:left w:val="nil"/>
                    <w:right w:val="single" w:color="auto" w:sz="4" w:space="0"/>
                  </w:tcBorders>
                  <w:noWrap w:val="0"/>
                  <w:vAlign w:val="center"/>
                </w:tcPr>
                <w:p w14:paraId="525D987E">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textAlignment w:val="center"/>
                    <w:outlineLvl w:val="9"/>
                    <w:rPr>
                      <w:rFonts w:hint="eastAsia"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噪声</w:t>
                  </w:r>
                </w:p>
              </w:tc>
              <w:tc>
                <w:tcPr>
                  <w:tcW w:w="1740" w:type="dxa"/>
                  <w:tcBorders>
                    <w:top w:val="single" w:color="auto" w:sz="4" w:space="0"/>
                    <w:left w:val="nil"/>
                    <w:bottom w:val="single" w:color="auto" w:sz="4" w:space="0"/>
                    <w:right w:val="single" w:color="auto" w:sz="4" w:space="0"/>
                  </w:tcBorders>
                  <w:noWrap w:val="0"/>
                  <w:vAlign w:val="center"/>
                </w:tcPr>
                <w:p w14:paraId="0824C747">
                  <w:pPr>
                    <w:keepNext w:val="0"/>
                    <w:keepLines w:val="0"/>
                    <w:pageBreakBefore w:val="0"/>
                    <w:kinsoku/>
                    <w:wordWrap/>
                    <w:overflowPunct/>
                    <w:topLinePunct w:val="0"/>
                    <w:autoSpaceDN/>
                    <w:bidi w:val="0"/>
                    <w:spacing w:line="360" w:lineRule="exact"/>
                    <w:jc w:val="center"/>
                    <w:outlineLvl w:val="9"/>
                    <w:rPr>
                      <w:rFonts w:hint="default" w:cs="Times New Roman"/>
                      <w:b w:val="0"/>
                      <w:bCs/>
                      <w:color w:val="0C0C0C"/>
                      <w:sz w:val="18"/>
                      <w:szCs w:val="18"/>
                      <w:lang w:val="en-US" w:eastAsia="zh-CN"/>
                    </w:rPr>
                  </w:pPr>
                  <w:r>
                    <w:rPr>
                      <w:rFonts w:hint="eastAsia" w:cs="Times New Roman"/>
                      <w:b w:val="0"/>
                      <w:bCs/>
                      <w:color w:val="0C0C0C"/>
                      <w:sz w:val="18"/>
                      <w:szCs w:val="18"/>
                      <w:lang w:eastAsia="zh-CN"/>
                    </w:rPr>
                    <w:t>等效连续</w:t>
                  </w:r>
                  <w:r>
                    <w:rPr>
                      <w:rFonts w:hint="eastAsia" w:cs="Times New Roman"/>
                      <w:b w:val="0"/>
                      <w:bCs/>
                      <w:color w:val="0C0C0C"/>
                      <w:sz w:val="18"/>
                      <w:szCs w:val="18"/>
                      <w:lang w:val="en-US" w:eastAsia="zh-CN"/>
                    </w:rPr>
                    <w:t>A声级</w:t>
                  </w:r>
                </w:p>
              </w:tc>
              <w:tc>
                <w:tcPr>
                  <w:tcW w:w="2633" w:type="dxa"/>
                  <w:gridSpan w:val="2"/>
                  <w:tcBorders>
                    <w:top w:val="single" w:color="auto" w:sz="4" w:space="0"/>
                    <w:left w:val="nil"/>
                    <w:bottom w:val="single" w:color="auto" w:sz="4" w:space="0"/>
                    <w:right w:val="single" w:color="auto" w:sz="4" w:space="0"/>
                  </w:tcBorders>
                  <w:noWrap w:val="0"/>
                  <w:vAlign w:val="center"/>
                </w:tcPr>
                <w:p w14:paraId="6D387A9F">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c>
                <w:tcPr>
                  <w:tcW w:w="985" w:type="dxa"/>
                  <w:tcBorders>
                    <w:top w:val="single" w:color="auto" w:sz="4" w:space="0"/>
                    <w:left w:val="nil"/>
                    <w:bottom w:val="single" w:color="auto" w:sz="4" w:space="0"/>
                    <w:right w:val="single" w:color="auto" w:sz="4" w:space="0"/>
                  </w:tcBorders>
                  <w:noWrap w:val="0"/>
                  <w:vAlign w:val="center"/>
                </w:tcPr>
                <w:p w14:paraId="09F5FC8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c>
                <w:tcPr>
                  <w:tcW w:w="743" w:type="dxa"/>
                  <w:tcBorders>
                    <w:top w:val="single" w:color="auto" w:sz="4" w:space="0"/>
                    <w:left w:val="nil"/>
                    <w:bottom w:val="single" w:color="auto" w:sz="4" w:space="0"/>
                    <w:right w:val="single" w:color="auto" w:sz="4" w:space="0"/>
                  </w:tcBorders>
                  <w:noWrap w:val="0"/>
                  <w:vAlign w:val="center"/>
                </w:tcPr>
                <w:p w14:paraId="4D1EEC7D">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cs="Times New Roman"/>
                      <w:b w:val="0"/>
                      <w:bCs/>
                      <w:color w:val="0C0C0C"/>
                      <w:spacing w:val="0"/>
                      <w:kern w:val="2"/>
                      <w:sz w:val="18"/>
                      <w:szCs w:val="18"/>
                      <w:lang w:val="en-US" w:eastAsia="zh-CN" w:bidi="ar"/>
                    </w:rPr>
                  </w:pPr>
                  <w:r>
                    <w:rPr>
                      <w:rFonts w:hint="eastAsia" w:cs="Times New Roman"/>
                      <w:b w:val="0"/>
                      <w:bCs/>
                      <w:color w:val="0C0C0C"/>
                      <w:spacing w:val="0"/>
                      <w:kern w:val="2"/>
                      <w:sz w:val="18"/>
                      <w:szCs w:val="18"/>
                      <w:lang w:val="en-US" w:eastAsia="zh-CN" w:bidi="ar"/>
                    </w:rPr>
                    <w:t>-</w:t>
                  </w:r>
                </w:p>
              </w:tc>
            </w:tr>
          </w:tbl>
          <w:p w14:paraId="3EEF39CC">
            <w:pPr>
              <w:adjustRightInd w:val="0"/>
              <w:snapToGrid w:val="0"/>
              <w:spacing w:line="360" w:lineRule="auto"/>
              <w:ind w:firstLine="420" w:firstLineChars="200"/>
              <w:rPr>
                <w:rFonts w:hint="default"/>
                <w:lang w:val="en-US" w:eastAsia="zh-CN"/>
              </w:rPr>
            </w:pPr>
            <w:r>
              <w:rPr>
                <w:rFonts w:hint="eastAsia"/>
                <w:lang w:val="en-US" w:eastAsia="zh-CN"/>
              </w:rPr>
              <w:t>现有项目无总量指标要求。</w:t>
            </w:r>
          </w:p>
          <w:p w14:paraId="767BE1FC">
            <w:pPr>
              <w:adjustRightInd w:val="0"/>
              <w:snapToGrid w:val="0"/>
              <w:spacing w:line="360" w:lineRule="auto"/>
              <w:ind w:firstLine="420" w:firstLineChars="200"/>
              <w:rPr>
                <w:rFonts w:hint="eastAsia" w:eastAsia="宋体"/>
                <w:lang w:eastAsia="zh-CN"/>
              </w:rPr>
            </w:pPr>
            <w:r>
              <w:rPr>
                <w:rFonts w:hint="eastAsia"/>
                <w:lang w:eastAsia="zh-CN"/>
              </w:rPr>
              <w:t>四、现有项目存在的主要问题及整改建议</w:t>
            </w:r>
          </w:p>
          <w:p w14:paraId="25DFB0F4">
            <w:pPr>
              <w:pStyle w:val="381"/>
              <w:ind w:firstLine="420"/>
              <w:rPr>
                <w:sz w:val="21"/>
                <w:szCs w:val="21"/>
                <w:highlight w:val="none"/>
              </w:rPr>
            </w:pPr>
            <w:r>
              <w:rPr>
                <w:rFonts w:hint="eastAsia"/>
                <w:sz w:val="21"/>
                <w:szCs w:val="21"/>
              </w:rPr>
              <w:t>1、存在问题</w:t>
            </w:r>
            <w:r>
              <w:rPr>
                <w:rFonts w:hint="eastAsia"/>
                <w:sz w:val="21"/>
                <w:szCs w:val="21"/>
                <w:highlight w:val="none"/>
              </w:rPr>
              <w:t>：</w:t>
            </w:r>
          </w:p>
          <w:p w14:paraId="45EEF59A">
            <w:pPr>
              <w:pStyle w:val="381"/>
              <w:ind w:firstLine="420"/>
              <w:rPr>
                <w:rFonts w:hint="eastAsia"/>
                <w:sz w:val="21"/>
                <w:szCs w:val="21"/>
                <w:highlight w:val="none"/>
              </w:rPr>
            </w:pPr>
            <w:r>
              <w:rPr>
                <w:rFonts w:hint="eastAsia"/>
                <w:color w:val="auto"/>
                <w:sz w:val="21"/>
                <w:szCs w:val="21"/>
                <w:lang w:eastAsia="zh-CN"/>
              </w:rPr>
              <w:t>现有项目</w:t>
            </w:r>
            <w:r>
              <w:rPr>
                <w:rFonts w:hint="default"/>
                <w:color w:val="auto"/>
                <w:sz w:val="21"/>
                <w:szCs w:val="21"/>
                <w:lang w:eastAsia="zh-CN"/>
              </w:rPr>
              <w:t>废气排气筒未按照《排污口规范化整治技术要求（试行）》、《关于开展排放口规范化整治工作的通知》</w:t>
            </w:r>
            <w:r>
              <w:rPr>
                <w:rFonts w:hint="eastAsia"/>
                <w:color w:val="auto"/>
                <w:sz w:val="21"/>
                <w:szCs w:val="21"/>
                <w:lang w:eastAsia="zh-CN"/>
              </w:rPr>
              <w:t>等文件中有关规定，在排气筒附近地面醒目处设置环保图形标志牌。</w:t>
            </w:r>
          </w:p>
          <w:p w14:paraId="7103FC50">
            <w:pPr>
              <w:pStyle w:val="381"/>
              <w:ind w:firstLine="420"/>
              <w:rPr>
                <w:sz w:val="21"/>
                <w:szCs w:val="21"/>
                <w:highlight w:val="none"/>
              </w:rPr>
            </w:pPr>
            <w:r>
              <w:rPr>
                <w:sz w:val="21"/>
                <w:szCs w:val="21"/>
                <w:highlight w:val="none"/>
              </w:rPr>
              <w:t>2、整改建议：</w:t>
            </w:r>
          </w:p>
          <w:p w14:paraId="3840086B">
            <w:pPr>
              <w:pStyle w:val="381"/>
              <w:ind w:firstLine="420"/>
              <w:rPr>
                <w:rFonts w:hint="eastAsia"/>
                <w:sz w:val="21"/>
                <w:szCs w:val="21"/>
                <w:highlight w:val="none"/>
              </w:rPr>
            </w:pPr>
            <w:r>
              <w:rPr>
                <w:rFonts w:hint="default"/>
                <w:color w:val="auto"/>
                <w:sz w:val="21"/>
                <w:szCs w:val="21"/>
                <w:highlight w:val="none"/>
                <w:lang w:eastAsia="zh-CN"/>
              </w:rPr>
              <w:t>企业应按照《排污口规范化整治技术要求（试行）》、《关于开展排放口规范化整治工作的通知》等文件中有关规定，在排气筒附近地面醒目处设置环保图形标志牌</w:t>
            </w:r>
            <w:r>
              <w:rPr>
                <w:rFonts w:hint="eastAsia"/>
                <w:sz w:val="21"/>
                <w:szCs w:val="21"/>
                <w:highlight w:val="none"/>
              </w:rPr>
              <w:t>。</w:t>
            </w:r>
          </w:p>
          <w:p w14:paraId="6834A0CA">
            <w:pPr>
              <w:pStyle w:val="381"/>
              <w:ind w:firstLine="420"/>
              <w:rPr>
                <w:rFonts w:hint="default" w:eastAsia="宋体"/>
                <w:sz w:val="21"/>
                <w:szCs w:val="21"/>
                <w:highlight w:val="none"/>
                <w:lang w:val="en-US" w:eastAsia="zh-CN"/>
              </w:rPr>
            </w:pPr>
            <w:r>
              <w:rPr>
                <w:rFonts w:hint="eastAsia"/>
                <w:sz w:val="21"/>
                <w:szCs w:val="21"/>
                <w:highlight w:val="none"/>
                <w:lang w:val="en-US" w:eastAsia="zh-CN"/>
              </w:rPr>
              <w:t>3、整改期限：2026年4月30日</w:t>
            </w:r>
          </w:p>
          <w:p w14:paraId="0A3B58C0">
            <w:pPr>
              <w:pStyle w:val="102"/>
              <w:rPr>
                <w:rFonts w:hint="eastAsia" w:cs="Times New Roman"/>
                <w:kern w:val="2"/>
                <w:sz w:val="21"/>
                <w:szCs w:val="21"/>
                <w:highlight w:val="none"/>
                <w:lang w:val="zh-CN" w:eastAsia="zh-CN" w:bidi="ar-SA"/>
              </w:rPr>
            </w:pPr>
          </w:p>
          <w:p w14:paraId="35E76482">
            <w:pPr>
              <w:pStyle w:val="102"/>
              <w:rPr>
                <w:rFonts w:hint="eastAsia" w:cs="Times New Roman"/>
                <w:kern w:val="2"/>
                <w:sz w:val="21"/>
                <w:szCs w:val="21"/>
                <w:highlight w:val="none"/>
                <w:lang w:val="zh-CN" w:eastAsia="zh-CN" w:bidi="ar-SA"/>
              </w:rPr>
            </w:pPr>
          </w:p>
          <w:p w14:paraId="6D18E728">
            <w:pPr>
              <w:pStyle w:val="102"/>
              <w:rPr>
                <w:rFonts w:hint="eastAsia" w:cs="Times New Roman"/>
                <w:kern w:val="2"/>
                <w:sz w:val="21"/>
                <w:szCs w:val="21"/>
                <w:highlight w:val="none"/>
                <w:lang w:val="zh-CN" w:eastAsia="zh-CN" w:bidi="ar-SA"/>
              </w:rPr>
            </w:pPr>
          </w:p>
          <w:p w14:paraId="033F8D5E">
            <w:pPr>
              <w:pStyle w:val="102"/>
              <w:rPr>
                <w:rFonts w:hint="eastAsia" w:cs="Times New Roman"/>
                <w:kern w:val="2"/>
                <w:sz w:val="21"/>
                <w:szCs w:val="21"/>
                <w:highlight w:val="none"/>
                <w:lang w:val="zh-CN" w:eastAsia="zh-CN" w:bidi="ar-SA"/>
              </w:rPr>
            </w:pPr>
          </w:p>
          <w:p w14:paraId="109BB418">
            <w:pPr>
              <w:pStyle w:val="102"/>
              <w:rPr>
                <w:rFonts w:hint="eastAsia" w:cs="Times New Roman"/>
                <w:kern w:val="2"/>
                <w:sz w:val="21"/>
                <w:szCs w:val="21"/>
                <w:highlight w:val="none"/>
                <w:lang w:val="zh-CN" w:eastAsia="zh-CN" w:bidi="ar-SA"/>
              </w:rPr>
            </w:pPr>
          </w:p>
          <w:p w14:paraId="4416D214">
            <w:pPr>
              <w:pStyle w:val="102"/>
              <w:rPr>
                <w:rFonts w:hint="eastAsia" w:cs="Times New Roman"/>
                <w:kern w:val="2"/>
                <w:sz w:val="21"/>
                <w:szCs w:val="21"/>
                <w:highlight w:val="none"/>
                <w:lang w:val="zh-CN" w:eastAsia="zh-CN" w:bidi="ar-SA"/>
              </w:rPr>
            </w:pPr>
          </w:p>
          <w:p w14:paraId="40D86B7C">
            <w:pPr>
              <w:pStyle w:val="102"/>
              <w:rPr>
                <w:rFonts w:hint="eastAsia" w:cs="Times New Roman"/>
                <w:kern w:val="2"/>
                <w:sz w:val="21"/>
                <w:szCs w:val="21"/>
                <w:highlight w:val="none"/>
                <w:lang w:val="zh-CN" w:eastAsia="zh-CN" w:bidi="ar-SA"/>
              </w:rPr>
            </w:pPr>
          </w:p>
          <w:p w14:paraId="7B282932">
            <w:pPr>
              <w:pStyle w:val="102"/>
              <w:rPr>
                <w:rFonts w:hint="eastAsia" w:cs="Times New Roman"/>
                <w:kern w:val="2"/>
                <w:sz w:val="21"/>
                <w:szCs w:val="21"/>
                <w:highlight w:val="none"/>
                <w:lang w:val="zh-CN" w:eastAsia="zh-CN" w:bidi="ar-SA"/>
              </w:rPr>
            </w:pPr>
          </w:p>
          <w:p w14:paraId="76A3A3CE">
            <w:pPr>
              <w:pStyle w:val="102"/>
              <w:rPr>
                <w:rFonts w:hint="eastAsia" w:cs="Times New Roman"/>
                <w:kern w:val="2"/>
                <w:sz w:val="21"/>
                <w:szCs w:val="21"/>
                <w:highlight w:val="none"/>
                <w:lang w:val="zh-CN" w:eastAsia="zh-CN" w:bidi="ar-SA"/>
              </w:rPr>
            </w:pPr>
          </w:p>
          <w:p w14:paraId="1F5D0317">
            <w:pPr>
              <w:pStyle w:val="102"/>
              <w:rPr>
                <w:rFonts w:hint="eastAsia" w:cs="Times New Roman"/>
                <w:kern w:val="2"/>
                <w:sz w:val="21"/>
                <w:szCs w:val="21"/>
                <w:highlight w:val="none"/>
                <w:lang w:val="zh-CN" w:eastAsia="zh-CN" w:bidi="ar-SA"/>
              </w:rPr>
            </w:pPr>
          </w:p>
          <w:p w14:paraId="0D5E4038">
            <w:pPr>
              <w:pStyle w:val="102"/>
              <w:rPr>
                <w:rFonts w:hint="eastAsia" w:cs="Times New Roman"/>
                <w:kern w:val="2"/>
                <w:sz w:val="21"/>
                <w:szCs w:val="21"/>
                <w:highlight w:val="none"/>
                <w:lang w:val="zh-CN" w:eastAsia="zh-CN" w:bidi="ar-SA"/>
              </w:rPr>
            </w:pPr>
          </w:p>
          <w:p w14:paraId="794F33BD">
            <w:pPr>
              <w:pStyle w:val="102"/>
              <w:rPr>
                <w:rFonts w:hint="eastAsia" w:cs="Times New Roman"/>
                <w:kern w:val="2"/>
                <w:sz w:val="21"/>
                <w:szCs w:val="21"/>
                <w:highlight w:val="none"/>
                <w:lang w:val="zh-CN" w:eastAsia="zh-CN" w:bidi="ar-SA"/>
              </w:rPr>
            </w:pPr>
          </w:p>
        </w:tc>
      </w:tr>
    </w:tbl>
    <w:p w14:paraId="54FDA185">
      <w:pPr>
        <w:pStyle w:val="76"/>
        <w:spacing w:line="420" w:lineRule="exact"/>
        <w:jc w:val="center"/>
        <w:rPr>
          <w:rFonts w:ascii="Times New Roman" w:hAnsi="Times New Roman" w:eastAsia="黑体"/>
          <w:snapToGrid w:val="0"/>
          <w:color w:val="FF0000"/>
          <w:sz w:val="36"/>
          <w:szCs w:val="36"/>
        </w:rPr>
        <w:sectPr>
          <w:pgSz w:w="11906" w:h="16838"/>
          <w:pgMar w:top="1701" w:right="1531" w:bottom="1701" w:left="1531" w:header="851" w:footer="1077" w:gutter="0"/>
          <w:pgNumType w:fmt="decimal"/>
          <w:cols w:space="720" w:num="1"/>
          <w:docGrid w:linePitch="312" w:charSpace="0"/>
        </w:sectPr>
      </w:pPr>
    </w:p>
    <w:p w14:paraId="319B839F">
      <w:pPr>
        <w:pStyle w:val="76"/>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sz w:val="30"/>
          <w:szCs w:val="30"/>
        </w:rPr>
        <w:t>三、区域环境质量现状、环境保护目标及评价标准</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0E8F7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800" w:type="dxa"/>
            <w:vAlign w:val="center"/>
          </w:tcPr>
          <w:p w14:paraId="481EBB2C">
            <w:pPr>
              <w:adjustRightInd w:val="0"/>
              <w:snapToGrid w:val="0"/>
              <w:spacing w:line="420" w:lineRule="exact"/>
              <w:jc w:val="center"/>
              <w:rPr>
                <w:kern w:val="0"/>
              </w:rPr>
            </w:pPr>
            <w:r>
              <w:rPr>
                <w:kern w:val="0"/>
              </w:rPr>
              <w:t>区域</w:t>
            </w:r>
          </w:p>
          <w:p w14:paraId="74F7BC09">
            <w:pPr>
              <w:adjustRightInd w:val="0"/>
              <w:snapToGrid w:val="0"/>
              <w:spacing w:line="420" w:lineRule="exact"/>
              <w:jc w:val="center"/>
              <w:rPr>
                <w:kern w:val="0"/>
              </w:rPr>
            </w:pPr>
            <w:r>
              <w:rPr>
                <w:kern w:val="0"/>
              </w:rPr>
              <w:t>环境</w:t>
            </w:r>
          </w:p>
          <w:p w14:paraId="4B2CA2D4">
            <w:pPr>
              <w:adjustRightInd w:val="0"/>
              <w:snapToGrid w:val="0"/>
              <w:spacing w:line="420" w:lineRule="exact"/>
              <w:jc w:val="center"/>
              <w:rPr>
                <w:kern w:val="0"/>
              </w:rPr>
            </w:pPr>
            <w:r>
              <w:rPr>
                <w:kern w:val="0"/>
              </w:rPr>
              <w:t>质量</w:t>
            </w:r>
          </w:p>
          <w:p w14:paraId="3E3FF9FC">
            <w:pPr>
              <w:adjustRightInd w:val="0"/>
              <w:snapToGrid w:val="0"/>
              <w:spacing w:line="420" w:lineRule="exact"/>
              <w:jc w:val="center"/>
              <w:rPr>
                <w:color w:val="FF0000"/>
                <w:kern w:val="0"/>
              </w:rPr>
            </w:pPr>
            <w:r>
              <w:rPr>
                <w:kern w:val="0"/>
              </w:rPr>
              <w:t>现状</w:t>
            </w:r>
          </w:p>
        </w:tc>
        <w:tc>
          <w:tcPr>
            <w:tcW w:w="8190" w:type="dxa"/>
            <w:vAlign w:val="center"/>
          </w:tcPr>
          <w:p w14:paraId="26A14C9A">
            <w:pPr>
              <w:pStyle w:val="7"/>
              <w:adjustRightInd w:val="0"/>
              <w:snapToGrid w:val="0"/>
              <w:spacing w:before="0" w:after="0" w:line="360" w:lineRule="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一、环境功能区划</w:t>
            </w:r>
          </w:p>
          <w:p w14:paraId="6EF62F20">
            <w:pPr>
              <w:spacing w:line="360" w:lineRule="auto"/>
              <w:ind w:firstLine="420" w:firstLineChars="200"/>
              <w:rPr>
                <w:rFonts w:hint="default" w:ascii="Times New Roman" w:hAnsi="Times New Roman" w:cs="Times New Roman"/>
                <w:sz w:val="21"/>
                <w:szCs w:val="21"/>
              </w:rPr>
            </w:pPr>
            <w:r>
              <w:rPr>
                <w:rFonts w:hint="default" w:ascii="Times New Roman" w:hAnsi="Times New Roman" w:cs="Times New Roman"/>
                <w:sz w:val="21"/>
                <w:szCs w:val="21"/>
              </w:rPr>
              <w:t>根据《淄博市城区环境空气质量功能区管理规定的通知》（淄政发[1999]113号）、《关于印发淄博市声环境功能区划方案的通知（淄政办发〔2025〕5 号）》及淄博市水资源管理办公室、淄博市水文局发布的《淄博市水功能区划》（2012.2），</w:t>
            </w:r>
            <w:r>
              <w:rPr>
                <w:rFonts w:hint="default" w:ascii="Times New Roman" w:hAnsi="Times New Roman" w:eastAsia="宋体" w:cs="Times New Roman"/>
                <w:color w:val="auto"/>
                <w:szCs w:val="21"/>
                <w:highlight w:val="none"/>
              </w:rPr>
              <w:t>项目所在区域属于</w:t>
            </w:r>
            <w:r>
              <w:rPr>
                <w:rFonts w:hint="eastAsia" w:cs="Times New Roman"/>
                <w:color w:val="auto"/>
                <w:szCs w:val="21"/>
                <w:highlight w:val="none"/>
                <w:lang w:eastAsia="zh-CN"/>
              </w:rPr>
              <w:t>《环境空气质量标准》（GB3095-2026）表1过渡阶段浓度限值中的二级标准</w:t>
            </w:r>
            <w:r>
              <w:rPr>
                <w:rFonts w:hint="default" w:ascii="Times New Roman" w:hAnsi="Times New Roman" w:cs="Times New Roman"/>
                <w:sz w:val="21"/>
                <w:szCs w:val="21"/>
              </w:rPr>
              <w:t>适用区；区域噪声执行《声环境质量标准》（GB3096-2008）的</w:t>
            </w:r>
            <w:r>
              <w:rPr>
                <w:rFonts w:hint="eastAsia" w:ascii="Times New Roman" w:hAnsi="Times New Roman" w:cs="Times New Roman"/>
                <w:sz w:val="21"/>
                <w:szCs w:val="21"/>
                <w:lang w:val="en-US" w:eastAsia="zh-CN"/>
              </w:rPr>
              <w:t>2</w:t>
            </w:r>
            <w:r>
              <w:rPr>
                <w:rFonts w:hint="default" w:ascii="Times New Roman" w:hAnsi="Times New Roman" w:cs="Times New Roman"/>
                <w:sz w:val="21"/>
                <w:szCs w:val="21"/>
              </w:rPr>
              <w:t>类标准；根据《淄博市地下水功能区划分及保护现状评价》，项目所在区的地下水环境执行《地下水质量标准》（GB/T14848-2017）Ⅲ类标准；区域地表水</w:t>
            </w:r>
            <w:r>
              <w:rPr>
                <w:rFonts w:hint="eastAsia" w:cs="Times New Roman"/>
                <w:sz w:val="21"/>
                <w:szCs w:val="21"/>
                <w:lang w:val="en-US" w:eastAsia="zh-CN"/>
              </w:rPr>
              <w:t>孝妇</w:t>
            </w:r>
            <w:r>
              <w:rPr>
                <w:rFonts w:hint="default" w:ascii="Times New Roman" w:hAnsi="Times New Roman" w:cs="Times New Roman"/>
                <w:sz w:val="21"/>
                <w:szCs w:val="21"/>
                <w:lang w:val="en-US" w:eastAsia="zh-CN"/>
              </w:rPr>
              <w:t>河</w:t>
            </w:r>
            <w:r>
              <w:rPr>
                <w:rFonts w:hint="default" w:ascii="Times New Roman" w:hAnsi="Times New Roman" w:cs="Times New Roman"/>
                <w:sz w:val="21"/>
                <w:szCs w:val="21"/>
              </w:rPr>
              <w:t>执行《地表水环境质量标准》（GB3838-2002）</w:t>
            </w:r>
            <w:r>
              <w:rPr>
                <w:rFonts w:hint="eastAsia" w:cs="Times New Roman"/>
                <w:sz w:val="21"/>
                <w:szCs w:val="21"/>
                <w:lang w:val="en-US" w:eastAsia="zh-CN"/>
              </w:rPr>
              <w:t>V</w:t>
            </w:r>
            <w:r>
              <w:rPr>
                <w:rFonts w:hint="default" w:ascii="Times New Roman" w:hAnsi="Times New Roman" w:cs="Times New Roman"/>
                <w:sz w:val="21"/>
                <w:szCs w:val="21"/>
              </w:rPr>
              <w:t>类标准。</w:t>
            </w:r>
          </w:p>
          <w:p w14:paraId="7C895B9E">
            <w:pPr>
              <w:pStyle w:val="9"/>
              <w:numPr>
                <w:ilvl w:val="0"/>
                <w:numId w:val="0"/>
              </w:numPr>
              <w:adjustRightInd w:val="0"/>
              <w:snapToGrid w:val="0"/>
              <w:spacing w:before="0" w:after="0" w:line="360" w:lineRule="auto"/>
              <w:ind w:firstLine="422" w:firstLineChars="200"/>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bCs/>
                <w:color w:val="auto"/>
                <w:kern w:val="2"/>
                <w:sz w:val="21"/>
                <w:szCs w:val="21"/>
                <w:lang w:val="en-US" w:eastAsia="zh-CN" w:bidi="ar-SA"/>
              </w:rPr>
              <w:t>二、</w:t>
            </w:r>
            <w:r>
              <w:rPr>
                <w:rFonts w:hint="default" w:ascii="Times New Roman" w:hAnsi="Times New Roman" w:eastAsia="宋体" w:cs="Times New Roman"/>
                <w:color w:val="auto"/>
                <w:sz w:val="21"/>
                <w:szCs w:val="21"/>
                <w:highlight w:val="none"/>
              </w:rPr>
              <w:t>环境质量现状</w:t>
            </w:r>
          </w:p>
          <w:p w14:paraId="58A80722">
            <w:pPr>
              <w:pStyle w:val="9"/>
              <w:numPr>
                <w:ilvl w:val="0"/>
                <w:numId w:val="0"/>
              </w:numPr>
              <w:adjustRightInd w:val="0"/>
              <w:snapToGrid w:val="0"/>
              <w:spacing w:before="0" w:after="0" w:line="360" w:lineRule="auto"/>
              <w:ind w:firstLine="422" w:firstLineChars="200"/>
              <w:rPr>
                <w:rFonts w:ascii="Times New Roman" w:hAnsi="Times New Roman"/>
                <w:sz w:val="21"/>
                <w:szCs w:val="21"/>
              </w:rPr>
            </w:pPr>
            <w:r>
              <w:rPr>
                <w:rFonts w:ascii="Times New Roman" w:hAnsi="Times New Roman"/>
                <w:sz w:val="21"/>
                <w:szCs w:val="21"/>
              </w:rPr>
              <w:t>1、环境空气质量</w:t>
            </w:r>
          </w:p>
          <w:p w14:paraId="50211463">
            <w:pPr>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highlight w:val="none"/>
              </w:rPr>
            </w:pPr>
            <w:bookmarkStart w:id="7" w:name="_Hlk88550716"/>
            <w:r>
              <w:rPr>
                <w:rFonts w:hint="default" w:ascii="Times New Roman" w:hAnsi="Times New Roman" w:cs="Times New Roman"/>
                <w:color w:val="auto"/>
                <w:highlight w:val="none"/>
              </w:rPr>
              <w:t>根据淄博市生态环境局网站公布的《202</w:t>
            </w:r>
            <w:r>
              <w:rPr>
                <w:rFonts w:hint="eastAsia" w:cs="Times New Roman"/>
                <w:color w:val="auto"/>
                <w:highlight w:val="none"/>
                <w:lang w:val="en-US" w:eastAsia="zh-CN"/>
              </w:rPr>
              <w:t>4</w:t>
            </w:r>
            <w:r>
              <w:rPr>
                <w:rFonts w:hint="default" w:ascii="Times New Roman" w:hAnsi="Times New Roman" w:cs="Times New Roman"/>
                <w:color w:val="auto"/>
                <w:highlight w:val="none"/>
              </w:rPr>
              <w:t>年12月份及全年环境空气质量情况通报》（2025-01-27）</w:t>
            </w:r>
            <w:r>
              <w:rPr>
                <w:rFonts w:hint="eastAsia" w:ascii="Times New Roman" w:hAnsi="Times New Roman" w:cs="Times New Roman"/>
                <w:color w:val="auto"/>
                <w:highlight w:val="none"/>
                <w:lang w:eastAsia="zh-CN"/>
              </w:rPr>
              <w:t>，</w:t>
            </w:r>
            <w:r>
              <w:rPr>
                <w:rFonts w:hint="default" w:ascii="Times New Roman" w:hAnsi="Times New Roman" w:eastAsia="宋体" w:cs="Times New Roman"/>
                <w:color w:val="auto"/>
                <w:sz w:val="21"/>
                <w:szCs w:val="21"/>
                <w:lang w:eastAsia="zh-CN"/>
              </w:rPr>
              <w:t>项目所在</w:t>
            </w:r>
            <w:r>
              <w:rPr>
                <w:rFonts w:hint="eastAsia" w:ascii="Times New Roman" w:hAnsi="Times New Roman" w:eastAsia="宋体" w:cs="Times New Roman"/>
                <w:color w:val="auto"/>
                <w:sz w:val="21"/>
                <w:szCs w:val="21"/>
                <w:lang w:val="en-US" w:eastAsia="zh-CN"/>
              </w:rPr>
              <w:t>淄川区</w:t>
            </w:r>
            <w:r>
              <w:rPr>
                <w:rFonts w:hint="default" w:ascii="Times New Roman" w:hAnsi="Times New Roman" w:eastAsia="宋体" w:cs="Times New Roman"/>
                <w:color w:val="auto"/>
                <w:sz w:val="21"/>
                <w:szCs w:val="21"/>
              </w:rPr>
              <w:t>范围内</w:t>
            </w:r>
            <w:r>
              <w:rPr>
                <w:rFonts w:hint="eastAsia" w:ascii="Times New Roman" w:hAnsi="Times New Roman" w:eastAsia="宋体" w:cs="Times New Roman"/>
                <w:color w:val="auto"/>
                <w:sz w:val="21"/>
                <w:szCs w:val="21"/>
                <w:lang w:eastAsia="zh-CN"/>
              </w:rPr>
              <w:t>环境空气</w:t>
            </w:r>
            <w:r>
              <w:rPr>
                <w:rFonts w:hint="default" w:ascii="Times New Roman" w:hAnsi="Times New Roman" w:eastAsia="宋体" w:cs="Times New Roman"/>
                <w:color w:val="auto"/>
                <w:sz w:val="21"/>
                <w:szCs w:val="21"/>
              </w:rPr>
              <w:t>污染物数据统计及评价情况见表3-1</w:t>
            </w:r>
            <w:r>
              <w:rPr>
                <w:color w:val="auto"/>
                <w:sz w:val="21"/>
                <w:szCs w:val="21"/>
              </w:rPr>
              <w:t>。</w:t>
            </w:r>
          </w:p>
          <w:p w14:paraId="1768AB0C">
            <w:pPr>
              <w:pStyle w:val="578"/>
              <w:keepNext w:val="0"/>
              <w:keepLines w:val="0"/>
              <w:pageBreakBefore w:val="0"/>
              <w:widowControl w:val="0"/>
              <w:tabs>
                <w:tab w:val="left" w:pos="377"/>
              </w:tabs>
              <w:kinsoku/>
              <w:wordWrap/>
              <w:overflowPunct/>
              <w:topLinePunct w:val="0"/>
              <w:autoSpaceDE/>
              <w:autoSpaceDN/>
              <w:bidi w:val="0"/>
              <w:spacing w:line="240" w:lineRule="auto"/>
              <w:textAlignment w:val="auto"/>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 xml:space="preserve">表3-1 </w:t>
            </w:r>
            <w:r>
              <w:rPr>
                <w:rFonts w:hint="default" w:ascii="Times New Roman" w:hAnsi="Times New Roman" w:eastAsia="宋体" w:cs="Times New Roman"/>
                <w:b/>
                <w:bCs w:val="0"/>
                <w:color w:val="auto"/>
                <w:sz w:val="21"/>
                <w:szCs w:val="21"/>
                <w:lang w:val="en-US" w:eastAsia="zh-CN"/>
              </w:rPr>
              <w:t xml:space="preserve"> </w:t>
            </w:r>
            <w:r>
              <w:rPr>
                <w:rFonts w:hint="default" w:ascii="Times New Roman" w:hAnsi="Times New Roman" w:eastAsia="宋体" w:cs="Times New Roman"/>
                <w:b/>
                <w:bCs w:val="0"/>
                <w:color w:val="auto"/>
                <w:sz w:val="21"/>
                <w:szCs w:val="21"/>
              </w:rPr>
              <w:t>202</w:t>
            </w:r>
            <w:r>
              <w:rPr>
                <w:rFonts w:hint="default" w:ascii="Times New Roman" w:hAnsi="Times New Roman" w:eastAsia="宋体" w:cs="Times New Roman"/>
                <w:b/>
                <w:bCs w:val="0"/>
                <w:color w:val="auto"/>
                <w:sz w:val="21"/>
                <w:szCs w:val="21"/>
                <w:lang w:val="en-US" w:eastAsia="zh-CN"/>
              </w:rPr>
              <w:t>4</w:t>
            </w:r>
            <w:r>
              <w:rPr>
                <w:rFonts w:hint="default" w:ascii="Times New Roman" w:hAnsi="Times New Roman" w:eastAsia="宋体" w:cs="Times New Roman"/>
                <w:b/>
                <w:bCs w:val="0"/>
                <w:color w:val="auto"/>
                <w:sz w:val="21"/>
                <w:szCs w:val="21"/>
              </w:rPr>
              <w:t>年</w:t>
            </w:r>
            <w:r>
              <w:rPr>
                <w:rFonts w:hint="default" w:ascii="Times New Roman" w:hAnsi="Times New Roman" w:eastAsia="宋体" w:cs="Times New Roman"/>
                <w:b/>
                <w:bCs w:val="0"/>
                <w:color w:val="auto"/>
                <w:sz w:val="21"/>
                <w:szCs w:val="21"/>
                <w:lang w:eastAsia="zh-CN"/>
              </w:rPr>
              <w:t>项目</w:t>
            </w:r>
            <w:r>
              <w:rPr>
                <w:rFonts w:hint="default" w:ascii="Times New Roman" w:hAnsi="Times New Roman" w:eastAsia="宋体" w:cs="Times New Roman"/>
                <w:b/>
                <w:bCs w:val="0"/>
                <w:color w:val="auto"/>
                <w:sz w:val="21"/>
                <w:szCs w:val="21"/>
              </w:rPr>
              <w:t>区域空气质量现状评价结果一览表</w:t>
            </w:r>
          </w:p>
          <w:tbl>
            <w:tblPr>
              <w:tblStyle w:val="81"/>
              <w:tblW w:w="4998"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5"/>
              <w:gridCol w:w="838"/>
              <w:gridCol w:w="2643"/>
              <w:gridCol w:w="918"/>
              <w:gridCol w:w="918"/>
              <w:gridCol w:w="953"/>
              <w:gridCol w:w="896"/>
            </w:tblGrid>
            <w:tr w14:paraId="71F61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A05C3C9">
                  <w:pPr>
                    <w:pStyle w:val="376"/>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污染物</w:t>
                  </w:r>
                </w:p>
              </w:tc>
              <w:tc>
                <w:tcPr>
                  <w:tcW w:w="526" w:type="pct"/>
                  <w:tcBorders>
                    <w:tl2br w:val="nil"/>
                    <w:tr2bl w:val="nil"/>
                  </w:tcBorders>
                  <w:noWrap w:val="0"/>
                  <w:vAlign w:val="center"/>
                </w:tcPr>
                <w:p w14:paraId="7BCAD848">
                  <w:pPr>
                    <w:pStyle w:val="376"/>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单位</w:t>
                  </w:r>
                </w:p>
              </w:tc>
              <w:tc>
                <w:tcPr>
                  <w:tcW w:w="1659" w:type="pct"/>
                  <w:tcBorders>
                    <w:tl2br w:val="nil"/>
                    <w:tr2bl w:val="nil"/>
                  </w:tcBorders>
                  <w:noWrap w:val="0"/>
                  <w:vAlign w:val="center"/>
                </w:tcPr>
                <w:p w14:paraId="31CB2C73">
                  <w:pPr>
                    <w:pStyle w:val="376"/>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年评价指标</w:t>
                  </w:r>
                </w:p>
              </w:tc>
              <w:tc>
                <w:tcPr>
                  <w:tcW w:w="576" w:type="pct"/>
                  <w:tcBorders>
                    <w:tl2br w:val="nil"/>
                    <w:tr2bl w:val="nil"/>
                  </w:tcBorders>
                  <w:noWrap w:val="0"/>
                  <w:vAlign w:val="center"/>
                </w:tcPr>
                <w:p w14:paraId="60A0C8E4">
                  <w:pPr>
                    <w:pStyle w:val="376"/>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现状浓度</w:t>
                  </w:r>
                </w:p>
              </w:tc>
              <w:tc>
                <w:tcPr>
                  <w:tcW w:w="576" w:type="pct"/>
                  <w:tcBorders>
                    <w:tl2br w:val="nil"/>
                    <w:tr2bl w:val="nil"/>
                  </w:tcBorders>
                  <w:noWrap w:val="0"/>
                  <w:vAlign w:val="center"/>
                </w:tcPr>
                <w:p w14:paraId="54EA2162">
                  <w:pPr>
                    <w:pStyle w:val="376"/>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评价标准</w:t>
                  </w:r>
                </w:p>
              </w:tc>
              <w:tc>
                <w:tcPr>
                  <w:tcW w:w="598" w:type="pct"/>
                  <w:tcBorders>
                    <w:tl2br w:val="nil"/>
                    <w:tr2bl w:val="nil"/>
                  </w:tcBorders>
                  <w:noWrap w:val="0"/>
                  <w:vAlign w:val="center"/>
                </w:tcPr>
                <w:p w14:paraId="47A8ECE3">
                  <w:pPr>
                    <w:pStyle w:val="376"/>
                    <w:spacing w:line="240" w:lineRule="auto"/>
                    <w:rPr>
                      <w:rFonts w:hint="default" w:ascii="Times New Roman" w:hAnsi="Times New Roman" w:eastAsia="宋体" w:cs="Times New Roman"/>
                      <w:b/>
                      <w:color w:val="auto"/>
                      <w:sz w:val="18"/>
                      <w:szCs w:val="18"/>
                      <w:lang w:val="en-US" w:eastAsia="zh-CN"/>
                    </w:rPr>
                  </w:pPr>
                  <w:r>
                    <w:rPr>
                      <w:rFonts w:hint="default" w:ascii="Times New Roman" w:hAnsi="Times New Roman" w:cs="Times New Roman"/>
                      <w:b/>
                      <w:color w:val="auto"/>
                      <w:sz w:val="18"/>
                      <w:szCs w:val="18"/>
                    </w:rPr>
                    <w:t>占标率</w:t>
                  </w:r>
                  <w:r>
                    <w:rPr>
                      <w:rFonts w:hint="default" w:ascii="Times New Roman" w:hAnsi="Times New Roman" w:cs="Times New Roman"/>
                      <w:b/>
                      <w:color w:val="auto"/>
                      <w:sz w:val="18"/>
                      <w:szCs w:val="18"/>
                      <w:lang w:val="en-US" w:eastAsia="zh-CN"/>
                    </w:rPr>
                    <w:t>%</w:t>
                  </w:r>
                </w:p>
              </w:tc>
              <w:tc>
                <w:tcPr>
                  <w:tcW w:w="562" w:type="pct"/>
                  <w:tcBorders>
                    <w:tl2br w:val="nil"/>
                    <w:tr2bl w:val="nil"/>
                  </w:tcBorders>
                  <w:noWrap w:val="0"/>
                  <w:vAlign w:val="center"/>
                </w:tcPr>
                <w:p w14:paraId="6B7651D8">
                  <w:pPr>
                    <w:pStyle w:val="376"/>
                    <w:spacing w:line="240" w:lineRule="auto"/>
                    <w:rPr>
                      <w:rFonts w:hint="default" w:ascii="Times New Roman" w:hAnsi="Times New Roman" w:cs="Times New Roman"/>
                      <w:b/>
                      <w:color w:val="auto"/>
                      <w:sz w:val="18"/>
                      <w:szCs w:val="18"/>
                    </w:rPr>
                  </w:pPr>
                  <w:r>
                    <w:rPr>
                      <w:rFonts w:hint="default" w:ascii="Times New Roman" w:hAnsi="Times New Roman" w:cs="Times New Roman"/>
                      <w:b/>
                      <w:color w:val="auto"/>
                      <w:sz w:val="18"/>
                      <w:szCs w:val="18"/>
                    </w:rPr>
                    <w:t>达标情况</w:t>
                  </w:r>
                </w:p>
              </w:tc>
            </w:tr>
            <w:tr w14:paraId="4FB59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79C587F">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SO</w:t>
                  </w:r>
                  <w:r>
                    <w:rPr>
                      <w:rFonts w:hint="default" w:ascii="Times New Roman" w:hAnsi="Times New Roman" w:cs="Times New Roman"/>
                      <w:color w:val="auto"/>
                      <w:sz w:val="18"/>
                      <w:szCs w:val="18"/>
                      <w:vertAlign w:val="subscript"/>
                    </w:rPr>
                    <w:t>2</w:t>
                  </w:r>
                </w:p>
              </w:tc>
              <w:tc>
                <w:tcPr>
                  <w:tcW w:w="526" w:type="pct"/>
                  <w:tcBorders>
                    <w:tl2br w:val="nil"/>
                    <w:tr2bl w:val="nil"/>
                  </w:tcBorders>
                  <w:noWrap w:val="0"/>
                  <w:vAlign w:val="center"/>
                </w:tcPr>
                <w:p w14:paraId="07321B8B">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6E633AC4">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576" w:type="pct"/>
                  <w:tcBorders>
                    <w:tl2br w:val="nil"/>
                    <w:tr2bl w:val="nil"/>
                  </w:tcBorders>
                  <w:noWrap w:val="0"/>
                  <w:vAlign w:val="center"/>
                </w:tcPr>
                <w:p w14:paraId="219FAEAF">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12</w:t>
                  </w:r>
                </w:p>
              </w:tc>
              <w:tc>
                <w:tcPr>
                  <w:tcW w:w="576" w:type="pct"/>
                  <w:tcBorders>
                    <w:tl2br w:val="nil"/>
                    <w:tr2bl w:val="nil"/>
                  </w:tcBorders>
                  <w:noWrap w:val="0"/>
                  <w:vAlign w:val="center"/>
                </w:tcPr>
                <w:p w14:paraId="0E9AC1CF">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60</w:t>
                  </w:r>
                </w:p>
              </w:tc>
              <w:tc>
                <w:tcPr>
                  <w:tcW w:w="977" w:type="dxa"/>
                  <w:tcBorders>
                    <w:tl2br w:val="nil"/>
                    <w:tr2bl w:val="nil"/>
                  </w:tcBorders>
                  <w:noWrap w:val="0"/>
                  <w:vAlign w:val="center"/>
                </w:tcPr>
                <w:p w14:paraId="7E2C0162">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20</w:t>
                  </w:r>
                </w:p>
              </w:tc>
              <w:tc>
                <w:tcPr>
                  <w:tcW w:w="562" w:type="pct"/>
                  <w:tcBorders>
                    <w:tl2br w:val="nil"/>
                    <w:tr2bl w:val="nil"/>
                  </w:tcBorders>
                  <w:noWrap w:val="0"/>
                  <w:vAlign w:val="center"/>
                </w:tcPr>
                <w:p w14:paraId="32C06BBD">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61511B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10ABFE6">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NO</w:t>
                  </w:r>
                  <w:r>
                    <w:rPr>
                      <w:rFonts w:hint="default" w:ascii="Times New Roman" w:hAnsi="Times New Roman" w:cs="Times New Roman"/>
                      <w:color w:val="auto"/>
                      <w:sz w:val="18"/>
                      <w:szCs w:val="18"/>
                      <w:vertAlign w:val="subscript"/>
                    </w:rPr>
                    <w:t>2</w:t>
                  </w:r>
                </w:p>
              </w:tc>
              <w:tc>
                <w:tcPr>
                  <w:tcW w:w="526" w:type="pct"/>
                  <w:tcBorders>
                    <w:tl2br w:val="nil"/>
                    <w:tr2bl w:val="nil"/>
                  </w:tcBorders>
                  <w:noWrap w:val="0"/>
                  <w:vAlign w:val="center"/>
                </w:tcPr>
                <w:p w14:paraId="4494821E">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01207DE0">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576" w:type="pct"/>
                  <w:tcBorders>
                    <w:tl2br w:val="nil"/>
                    <w:tr2bl w:val="nil"/>
                  </w:tcBorders>
                  <w:noWrap w:val="0"/>
                  <w:vAlign w:val="center"/>
                </w:tcPr>
                <w:p w14:paraId="52A76B13">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576" w:type="pct"/>
                  <w:tcBorders>
                    <w:tl2br w:val="nil"/>
                    <w:tr2bl w:val="nil"/>
                  </w:tcBorders>
                  <w:noWrap w:val="0"/>
                  <w:vAlign w:val="center"/>
                </w:tcPr>
                <w:p w14:paraId="6A7391A9">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40</w:t>
                  </w:r>
                </w:p>
              </w:tc>
              <w:tc>
                <w:tcPr>
                  <w:tcW w:w="977" w:type="dxa"/>
                  <w:tcBorders>
                    <w:tl2br w:val="nil"/>
                    <w:tr2bl w:val="nil"/>
                  </w:tcBorders>
                  <w:noWrap w:val="0"/>
                  <w:vAlign w:val="center"/>
                </w:tcPr>
                <w:p w14:paraId="5AC8859D">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75</w:t>
                  </w:r>
                </w:p>
              </w:tc>
              <w:tc>
                <w:tcPr>
                  <w:tcW w:w="562" w:type="pct"/>
                  <w:tcBorders>
                    <w:tl2br w:val="nil"/>
                    <w:tr2bl w:val="nil"/>
                  </w:tcBorders>
                  <w:noWrap w:val="0"/>
                  <w:vAlign w:val="center"/>
                </w:tcPr>
                <w:p w14:paraId="177DA743">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5398C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44C0AD78">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10</w:t>
                  </w:r>
                </w:p>
              </w:tc>
              <w:tc>
                <w:tcPr>
                  <w:tcW w:w="526" w:type="pct"/>
                  <w:tcBorders>
                    <w:tl2br w:val="nil"/>
                    <w:tr2bl w:val="nil"/>
                  </w:tcBorders>
                  <w:noWrap w:val="0"/>
                  <w:vAlign w:val="center"/>
                </w:tcPr>
                <w:p w14:paraId="09790E2F">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430441EE">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576" w:type="pct"/>
                  <w:tcBorders>
                    <w:tl2br w:val="nil"/>
                    <w:tr2bl w:val="nil"/>
                  </w:tcBorders>
                  <w:noWrap w:val="0"/>
                  <w:vAlign w:val="center"/>
                </w:tcPr>
                <w:p w14:paraId="78DDEED0">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69</w:t>
                  </w:r>
                </w:p>
              </w:tc>
              <w:tc>
                <w:tcPr>
                  <w:tcW w:w="576" w:type="pct"/>
                  <w:tcBorders>
                    <w:tl2br w:val="nil"/>
                    <w:tr2bl w:val="nil"/>
                  </w:tcBorders>
                  <w:noWrap w:val="0"/>
                  <w:vAlign w:val="center"/>
                </w:tcPr>
                <w:p w14:paraId="29A16FF2">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70</w:t>
                  </w:r>
                </w:p>
              </w:tc>
              <w:tc>
                <w:tcPr>
                  <w:tcW w:w="977" w:type="dxa"/>
                  <w:tcBorders>
                    <w:tl2br w:val="nil"/>
                    <w:tr2bl w:val="nil"/>
                  </w:tcBorders>
                  <w:noWrap w:val="0"/>
                  <w:vAlign w:val="center"/>
                </w:tcPr>
                <w:p w14:paraId="35A29481">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98.6</w:t>
                  </w:r>
                </w:p>
              </w:tc>
              <w:tc>
                <w:tcPr>
                  <w:tcW w:w="562" w:type="pct"/>
                  <w:tcBorders>
                    <w:tl2br w:val="nil"/>
                    <w:tr2bl w:val="nil"/>
                  </w:tcBorders>
                  <w:noWrap w:val="0"/>
                  <w:vAlign w:val="center"/>
                </w:tcPr>
                <w:p w14:paraId="4A84F82B">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35AE57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7C3984A3">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PM</w:t>
                  </w:r>
                  <w:r>
                    <w:rPr>
                      <w:rFonts w:hint="default" w:ascii="Times New Roman" w:hAnsi="Times New Roman" w:cs="Times New Roman"/>
                      <w:color w:val="auto"/>
                      <w:sz w:val="18"/>
                      <w:szCs w:val="18"/>
                      <w:vertAlign w:val="subscript"/>
                    </w:rPr>
                    <w:t>2.5</w:t>
                  </w:r>
                </w:p>
              </w:tc>
              <w:tc>
                <w:tcPr>
                  <w:tcW w:w="526" w:type="pct"/>
                  <w:tcBorders>
                    <w:tl2br w:val="nil"/>
                    <w:tr2bl w:val="nil"/>
                  </w:tcBorders>
                  <w:noWrap w:val="0"/>
                  <w:vAlign w:val="center"/>
                </w:tcPr>
                <w:p w14:paraId="1FD845FF">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178CFC50">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年平均质量浓度</w:t>
                  </w:r>
                </w:p>
              </w:tc>
              <w:tc>
                <w:tcPr>
                  <w:tcW w:w="576" w:type="pct"/>
                  <w:tcBorders>
                    <w:tl2br w:val="nil"/>
                    <w:tr2bl w:val="nil"/>
                  </w:tcBorders>
                  <w:noWrap w:val="0"/>
                  <w:vAlign w:val="center"/>
                </w:tcPr>
                <w:p w14:paraId="4576D6E5">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42</w:t>
                  </w:r>
                </w:p>
              </w:tc>
              <w:tc>
                <w:tcPr>
                  <w:tcW w:w="576" w:type="pct"/>
                  <w:tcBorders>
                    <w:tl2br w:val="nil"/>
                    <w:tr2bl w:val="nil"/>
                  </w:tcBorders>
                  <w:noWrap w:val="0"/>
                  <w:vAlign w:val="center"/>
                </w:tcPr>
                <w:p w14:paraId="66973539">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35</w:t>
                  </w:r>
                </w:p>
              </w:tc>
              <w:tc>
                <w:tcPr>
                  <w:tcW w:w="977" w:type="dxa"/>
                  <w:tcBorders>
                    <w:tl2br w:val="nil"/>
                    <w:tr2bl w:val="nil"/>
                  </w:tcBorders>
                  <w:noWrap w:val="0"/>
                  <w:vAlign w:val="center"/>
                </w:tcPr>
                <w:p w14:paraId="71DD97A7">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128.6</w:t>
                  </w:r>
                </w:p>
              </w:tc>
              <w:tc>
                <w:tcPr>
                  <w:tcW w:w="562" w:type="pct"/>
                  <w:tcBorders>
                    <w:tl2br w:val="nil"/>
                    <w:tr2bl w:val="nil"/>
                  </w:tcBorders>
                  <w:noWrap w:val="0"/>
                  <w:vAlign w:val="center"/>
                </w:tcPr>
                <w:p w14:paraId="36471A6D">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超标</w:t>
                  </w:r>
                </w:p>
              </w:tc>
            </w:tr>
            <w:tr w14:paraId="311E6D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AB6023C">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CO</w:t>
                  </w:r>
                </w:p>
              </w:tc>
              <w:tc>
                <w:tcPr>
                  <w:tcW w:w="526" w:type="pct"/>
                  <w:tcBorders>
                    <w:tl2br w:val="nil"/>
                    <w:tr2bl w:val="nil"/>
                  </w:tcBorders>
                  <w:noWrap w:val="0"/>
                  <w:vAlign w:val="center"/>
                </w:tcPr>
                <w:p w14:paraId="626CE41A">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mg/m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38EF5774">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95%保证率日平均浓度</w:t>
                  </w:r>
                </w:p>
              </w:tc>
              <w:tc>
                <w:tcPr>
                  <w:tcW w:w="576" w:type="pct"/>
                  <w:tcBorders>
                    <w:tl2br w:val="nil"/>
                    <w:tr2bl w:val="nil"/>
                  </w:tcBorders>
                  <w:noWrap w:val="0"/>
                  <w:vAlign w:val="center"/>
                </w:tcPr>
                <w:p w14:paraId="3FC35D3B">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1.2</w:t>
                  </w:r>
                </w:p>
              </w:tc>
              <w:tc>
                <w:tcPr>
                  <w:tcW w:w="576" w:type="pct"/>
                  <w:tcBorders>
                    <w:tl2br w:val="nil"/>
                    <w:tr2bl w:val="nil"/>
                  </w:tcBorders>
                  <w:noWrap w:val="0"/>
                  <w:vAlign w:val="center"/>
                </w:tcPr>
                <w:p w14:paraId="3066C6A8">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4</w:t>
                  </w:r>
                </w:p>
              </w:tc>
              <w:tc>
                <w:tcPr>
                  <w:tcW w:w="977" w:type="dxa"/>
                  <w:tcBorders>
                    <w:tl2br w:val="nil"/>
                    <w:tr2bl w:val="nil"/>
                  </w:tcBorders>
                  <w:noWrap w:val="0"/>
                  <w:vAlign w:val="center"/>
                </w:tcPr>
                <w:p w14:paraId="15643267">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30</w:t>
                  </w:r>
                </w:p>
              </w:tc>
              <w:tc>
                <w:tcPr>
                  <w:tcW w:w="562" w:type="pct"/>
                  <w:tcBorders>
                    <w:tl2br w:val="nil"/>
                    <w:tr2bl w:val="nil"/>
                  </w:tcBorders>
                  <w:noWrap w:val="0"/>
                  <w:vAlign w:val="center"/>
                </w:tcPr>
                <w:p w14:paraId="2EC9F389">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达标</w:t>
                  </w:r>
                </w:p>
              </w:tc>
            </w:tr>
            <w:tr w14:paraId="1CAF96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499" w:type="pct"/>
                  <w:tcBorders>
                    <w:tl2br w:val="nil"/>
                    <w:tr2bl w:val="nil"/>
                  </w:tcBorders>
                  <w:noWrap w:val="0"/>
                  <w:vAlign w:val="center"/>
                </w:tcPr>
                <w:p w14:paraId="0300ACE3">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O</w:t>
                  </w:r>
                  <w:r>
                    <w:rPr>
                      <w:rFonts w:hint="default" w:ascii="Times New Roman" w:hAnsi="Times New Roman" w:cs="Times New Roman"/>
                      <w:color w:val="auto"/>
                      <w:sz w:val="18"/>
                      <w:szCs w:val="18"/>
                      <w:vertAlign w:val="subscript"/>
                    </w:rPr>
                    <w:t>3</w:t>
                  </w:r>
                </w:p>
              </w:tc>
              <w:tc>
                <w:tcPr>
                  <w:tcW w:w="526" w:type="pct"/>
                  <w:tcBorders>
                    <w:tl2br w:val="nil"/>
                    <w:tr2bl w:val="nil"/>
                  </w:tcBorders>
                  <w:noWrap w:val="0"/>
                  <w:vAlign w:val="center"/>
                </w:tcPr>
                <w:p w14:paraId="1CDD7B3A">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μg/m</w:t>
                  </w:r>
                  <w:r>
                    <w:rPr>
                      <w:rFonts w:hint="default" w:ascii="Times New Roman" w:hAnsi="Times New Roman" w:cs="Times New Roman"/>
                      <w:color w:val="auto"/>
                      <w:sz w:val="18"/>
                      <w:szCs w:val="18"/>
                      <w:vertAlign w:val="superscript"/>
                    </w:rPr>
                    <w:t>3</w:t>
                  </w:r>
                </w:p>
              </w:tc>
              <w:tc>
                <w:tcPr>
                  <w:tcW w:w="1659" w:type="pct"/>
                  <w:tcBorders>
                    <w:tl2br w:val="nil"/>
                    <w:tr2bl w:val="nil"/>
                  </w:tcBorders>
                  <w:noWrap w:val="0"/>
                  <w:vAlign w:val="center"/>
                </w:tcPr>
                <w:p w14:paraId="10322F31">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90%保证率日最大8h滑动平均浓度</w:t>
                  </w:r>
                </w:p>
              </w:tc>
              <w:tc>
                <w:tcPr>
                  <w:tcW w:w="576" w:type="pct"/>
                  <w:tcBorders>
                    <w:tl2br w:val="nil"/>
                    <w:tr2bl w:val="nil"/>
                  </w:tcBorders>
                  <w:noWrap w:val="0"/>
                  <w:vAlign w:val="center"/>
                </w:tcPr>
                <w:p w14:paraId="724BB7C9">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190</w:t>
                  </w:r>
                </w:p>
              </w:tc>
              <w:tc>
                <w:tcPr>
                  <w:tcW w:w="576" w:type="pct"/>
                  <w:tcBorders>
                    <w:tl2br w:val="nil"/>
                    <w:tr2bl w:val="nil"/>
                  </w:tcBorders>
                  <w:noWrap w:val="0"/>
                  <w:vAlign w:val="center"/>
                </w:tcPr>
                <w:p w14:paraId="10CA4126">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160</w:t>
                  </w:r>
                </w:p>
              </w:tc>
              <w:tc>
                <w:tcPr>
                  <w:tcW w:w="977" w:type="dxa"/>
                  <w:tcBorders>
                    <w:tl2br w:val="nil"/>
                    <w:tr2bl w:val="nil"/>
                  </w:tcBorders>
                  <w:noWrap w:val="0"/>
                  <w:vAlign w:val="center"/>
                </w:tcPr>
                <w:p w14:paraId="1C8130CF">
                  <w:pPr>
                    <w:pStyle w:val="376"/>
                    <w:spacing w:line="240" w:lineRule="auto"/>
                    <w:rPr>
                      <w:rFonts w:hint="default" w:ascii="Times New Roman" w:hAnsi="Times New Roman" w:eastAsia="宋体" w:cs="Times New Roman"/>
                      <w:color w:val="auto"/>
                      <w:sz w:val="18"/>
                      <w:szCs w:val="18"/>
                      <w:lang w:val="en-US" w:eastAsia="zh-CN"/>
                    </w:rPr>
                  </w:pPr>
                  <w:r>
                    <w:rPr>
                      <w:rFonts w:hint="eastAsia" w:ascii="Times New Roman" w:hAnsi="Times New Roman" w:eastAsia="宋体" w:cs="Times New Roman"/>
                      <w:color w:val="auto"/>
                      <w:sz w:val="18"/>
                      <w:szCs w:val="18"/>
                      <w:lang w:val="en-US" w:eastAsia="zh-CN"/>
                    </w:rPr>
                    <w:t>118.8</w:t>
                  </w:r>
                </w:p>
              </w:tc>
              <w:tc>
                <w:tcPr>
                  <w:tcW w:w="562" w:type="pct"/>
                  <w:tcBorders>
                    <w:tl2br w:val="nil"/>
                    <w:tr2bl w:val="nil"/>
                  </w:tcBorders>
                  <w:noWrap w:val="0"/>
                  <w:vAlign w:val="center"/>
                </w:tcPr>
                <w:p w14:paraId="275C3FA4">
                  <w:pPr>
                    <w:pStyle w:val="376"/>
                    <w:spacing w:line="240" w:lineRule="auto"/>
                    <w:rPr>
                      <w:rFonts w:hint="default" w:ascii="Times New Roman" w:hAnsi="Times New Roman" w:cs="Times New Roman"/>
                      <w:color w:val="auto"/>
                      <w:sz w:val="18"/>
                      <w:szCs w:val="18"/>
                    </w:rPr>
                  </w:pPr>
                  <w:r>
                    <w:rPr>
                      <w:rFonts w:hint="default" w:ascii="Times New Roman" w:hAnsi="Times New Roman" w:cs="Times New Roman"/>
                      <w:color w:val="auto"/>
                      <w:sz w:val="18"/>
                      <w:szCs w:val="18"/>
                    </w:rPr>
                    <w:t>超标</w:t>
                  </w:r>
                </w:p>
              </w:tc>
            </w:tr>
          </w:tbl>
          <w:p w14:paraId="01CBC77E">
            <w:pPr>
              <w:adjustRightInd w:val="0"/>
              <w:snapToGrid w:val="0"/>
              <w:spacing w:line="360" w:lineRule="auto"/>
              <w:ind w:firstLine="420" w:firstLineChars="200"/>
              <w:rPr>
                <w:rFonts w:hint="default" w:ascii="Times New Roman" w:hAnsi="Times New Roman" w:cs="Times New Roman"/>
                <w:color w:val="auto"/>
                <w:kern w:val="0"/>
                <w:highlight w:val="none"/>
              </w:rPr>
            </w:pPr>
            <w:r>
              <w:rPr>
                <w:rFonts w:hint="default" w:ascii="Times New Roman" w:hAnsi="Times New Roman" w:cs="Times New Roman"/>
                <w:color w:val="auto"/>
                <w:kern w:val="0"/>
                <w:highlight w:val="none"/>
              </w:rPr>
              <w:t>根据上表，淄川区</w:t>
            </w:r>
            <w:r>
              <w:rPr>
                <w:rFonts w:hint="default" w:ascii="Times New Roman" w:hAnsi="Times New Roman" w:cs="Times New Roman"/>
                <w:color w:val="auto"/>
                <w:highlight w:val="none"/>
              </w:rPr>
              <w:t>PM</w:t>
            </w:r>
            <w:r>
              <w:rPr>
                <w:rFonts w:hint="default" w:ascii="Times New Roman" w:hAnsi="Times New Roman" w:cs="Times New Roman"/>
                <w:color w:val="auto"/>
                <w:highlight w:val="none"/>
                <w:vertAlign w:val="subscript"/>
              </w:rPr>
              <w:t>2.5</w:t>
            </w:r>
            <w:r>
              <w:rPr>
                <w:rFonts w:hint="eastAsia" w:ascii="Times New Roman" w:hAnsi="Times New Roman" w:cs="Times New Roman"/>
                <w:color w:val="auto"/>
                <w:highlight w:val="none"/>
                <w:vertAlign w:val="baseline"/>
                <w:lang w:eastAsia="zh-CN"/>
              </w:rPr>
              <w:t>、</w:t>
            </w:r>
            <w:r>
              <w:rPr>
                <w:rFonts w:hint="eastAsia" w:ascii="Times New Roman" w:hAnsi="Times New Roman" w:eastAsia="宋体" w:cs="Times New Roman"/>
                <w:color w:val="auto"/>
                <w:sz w:val="21"/>
                <w:szCs w:val="21"/>
                <w:highlight w:val="none"/>
                <w:shd w:val="clear" w:color="auto" w:fill="auto"/>
                <w:lang w:val="en-US" w:eastAsia="zh-CN"/>
              </w:rPr>
              <w:t>O</w:t>
            </w:r>
            <w:r>
              <w:rPr>
                <w:rFonts w:hint="eastAsia" w:ascii="Times New Roman" w:hAnsi="Times New Roman" w:eastAsia="宋体" w:cs="Times New Roman"/>
                <w:color w:val="auto"/>
                <w:sz w:val="21"/>
                <w:szCs w:val="21"/>
                <w:highlight w:val="none"/>
                <w:shd w:val="clear" w:color="auto" w:fill="auto"/>
                <w:vertAlign w:val="subscript"/>
                <w:lang w:val="en-US" w:eastAsia="zh-CN"/>
              </w:rPr>
              <w:t>3</w:t>
            </w:r>
            <w:r>
              <w:rPr>
                <w:rFonts w:hint="default" w:ascii="Times New Roman" w:hAnsi="Times New Roman" w:cs="Times New Roman"/>
                <w:color w:val="auto"/>
                <w:highlight w:val="none"/>
              </w:rPr>
              <w:t>年均浓度不</w:t>
            </w:r>
            <w:r>
              <w:rPr>
                <w:rFonts w:hint="default" w:ascii="Times New Roman" w:hAnsi="Times New Roman" w:cs="Times New Roman"/>
                <w:color w:val="auto"/>
                <w:kern w:val="0"/>
                <w:highlight w:val="none"/>
              </w:rPr>
              <w:t>满足《环境空气质量标准》</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kern w:val="0"/>
                <w:highlight w:val="none"/>
              </w:rPr>
              <w:t>GB3095-20</w:t>
            </w:r>
            <w:r>
              <w:rPr>
                <w:rFonts w:hint="eastAsia" w:cs="Times New Roman"/>
                <w:color w:val="auto"/>
                <w:kern w:val="0"/>
                <w:highlight w:val="none"/>
                <w:lang w:val="en-US" w:eastAsia="zh-CN"/>
              </w:rPr>
              <w:t>26</w:t>
            </w:r>
            <w:r>
              <w:rPr>
                <w:rFonts w:hint="default" w:ascii="Times New Roman" w:hAnsi="Times New Roman" w:cs="Times New Roman"/>
                <w:color w:val="auto"/>
                <w:kern w:val="0"/>
                <w:highlight w:val="none"/>
                <w:lang w:eastAsia="zh-CN"/>
              </w:rPr>
              <w:t>）</w:t>
            </w:r>
            <w:r>
              <w:rPr>
                <w:rFonts w:hint="default" w:ascii="Times New Roman" w:hAnsi="Times New Roman" w:cs="Times New Roman"/>
                <w:color w:val="auto"/>
                <w:highlight w:val="none"/>
              </w:rPr>
              <w:t>二级标准</w:t>
            </w:r>
            <w:r>
              <w:rPr>
                <w:rFonts w:hint="eastAsia" w:cs="Times New Roman"/>
                <w:color w:val="auto"/>
                <w:highlight w:val="none"/>
                <w:lang w:eastAsia="zh-CN"/>
              </w:rPr>
              <w:t>（</w:t>
            </w:r>
            <w:r>
              <w:rPr>
                <w:rFonts w:hint="eastAsia" w:cs="Times New Roman"/>
                <w:color w:val="auto"/>
                <w:highlight w:val="none"/>
                <w:lang w:val="en-US" w:eastAsia="zh-CN"/>
              </w:rPr>
              <w:t>过渡阶段</w:t>
            </w:r>
            <w:r>
              <w:rPr>
                <w:rFonts w:hint="eastAsia" w:cs="Times New Roman"/>
                <w:color w:val="auto"/>
                <w:highlight w:val="none"/>
                <w:lang w:eastAsia="zh-CN"/>
              </w:rPr>
              <w:t>）</w:t>
            </w:r>
            <w:r>
              <w:rPr>
                <w:rFonts w:hint="default" w:ascii="Times New Roman" w:hAnsi="Times New Roman" w:cs="Times New Roman"/>
                <w:color w:val="auto"/>
                <w:highlight w:val="none"/>
              </w:rPr>
              <w:t>限值要求</w:t>
            </w:r>
            <w:r>
              <w:rPr>
                <w:rFonts w:hint="default" w:ascii="Times New Roman" w:hAnsi="Times New Roman" w:cs="Times New Roman"/>
                <w:color w:val="auto"/>
                <w:kern w:val="0"/>
                <w:highlight w:val="none"/>
              </w:rPr>
              <w:t>。</w:t>
            </w:r>
          </w:p>
          <w:bookmarkEnd w:id="7"/>
          <w:p w14:paraId="43891D31">
            <w:pPr>
              <w:keepNext w:val="0"/>
              <w:keepLines w:val="0"/>
              <w:widowControl/>
              <w:suppressLineNumbers w:val="0"/>
              <w:spacing w:line="360" w:lineRule="auto"/>
              <w:ind w:firstLine="420" w:firstLineChars="200"/>
              <w:jc w:val="both"/>
              <w:rPr>
                <w:rFonts w:hint="default" w:ascii="Times New Roman" w:hAnsi="Times New Roman"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为了不断改善区域环境质量，2024年10月，淄博市印发《2024年淄博市秋冬季空气质量改善21条措施》的通知（淄环工委办[2024]1号），为坚决打好2024年污染防治攻坚战，落实市委主要领导同志对全市空气质量改善情况专项督查工作的批示要求，以《山东省2024年大气环境质量提升攻坚行动方案》为依托，以重点领域专项整治为突破口，进一步做好当前及秋冬季期间污染防治工作，实现空气质量改善目标任务，现结合我市实际，制定21条强化攻坚措施，抓减排、强落实，全力推进空气质量持续改善。具体措施分为4个部分</w:t>
            </w:r>
            <w:r>
              <w:rPr>
                <w:rFonts w:hint="default" w:ascii="Times New Roman" w:hAnsi="Times New Roman" w:cs="Times New Roman"/>
                <w:color w:val="000000"/>
                <w:kern w:val="0"/>
                <w:sz w:val="21"/>
                <w:szCs w:val="21"/>
                <w:lang w:val="en-US" w:eastAsia="zh-CN" w:bidi="ar"/>
              </w:rPr>
              <w:t>，</w:t>
            </w:r>
          </w:p>
          <w:p w14:paraId="5D4938D1">
            <w:pPr>
              <w:keepNext w:val="0"/>
              <w:keepLines w:val="0"/>
              <w:widowControl/>
              <w:suppressLineNumbers w:val="0"/>
              <w:spacing w:line="360" w:lineRule="auto"/>
              <w:ind w:firstLine="420" w:firstLineChars="20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—、聚力推进NOx减排：（一）抓好工业源深度治理，（二）强化移动源整治提升；</w:t>
            </w:r>
          </w:p>
          <w:p w14:paraId="545D7B08">
            <w:pPr>
              <w:keepNext w:val="0"/>
              <w:keepLines w:val="0"/>
              <w:widowControl/>
              <w:suppressLineNumbers w:val="0"/>
              <w:spacing w:line="360" w:lineRule="auto"/>
              <w:ind w:firstLine="420" w:firstLineChars="20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二、不断深化SO</w:t>
            </w:r>
            <w:r>
              <w:rPr>
                <w:rFonts w:hint="default" w:ascii="Times New Roman" w:hAnsi="Times New Roman" w:eastAsia="宋体" w:cs="Times New Roman"/>
                <w:color w:val="000000"/>
                <w:kern w:val="0"/>
                <w:sz w:val="21"/>
                <w:szCs w:val="21"/>
                <w:vertAlign w:val="subscript"/>
                <w:lang w:val="en-US" w:eastAsia="zh-CN" w:bidi="ar"/>
              </w:rPr>
              <w:t>2</w:t>
            </w:r>
            <w:r>
              <w:rPr>
                <w:rFonts w:hint="default" w:ascii="Times New Roman" w:hAnsi="Times New Roman" w:eastAsia="宋体" w:cs="Times New Roman"/>
                <w:color w:val="000000"/>
                <w:kern w:val="0"/>
                <w:sz w:val="21"/>
                <w:szCs w:val="21"/>
                <w:lang w:val="en-US" w:eastAsia="zh-CN" w:bidi="ar"/>
              </w:rPr>
              <w:t>管控：（一）加强煤炭源头管控</w:t>
            </w:r>
            <w:r>
              <w:rPr>
                <w:rFonts w:hint="default" w:ascii="Times New Roman" w:hAnsi="Times New Roman"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（二）提高过程治理水平；</w:t>
            </w:r>
          </w:p>
          <w:p w14:paraId="350EFD9B">
            <w:pPr>
              <w:keepNext w:val="0"/>
              <w:keepLines w:val="0"/>
              <w:widowControl/>
              <w:numPr>
                <w:ilvl w:val="0"/>
                <w:numId w:val="0"/>
              </w:numPr>
              <w:suppressLineNumbers w:val="0"/>
              <w:spacing w:line="360" w:lineRule="auto"/>
              <w:ind w:firstLine="420" w:firstLineChars="200"/>
              <w:jc w:val="both"/>
              <w:rPr>
                <w:rFonts w:hint="default" w:ascii="Times New Roman" w:hAnsi="Times New Roman" w:eastAsia="宋体" w:cs="Times New Roman"/>
                <w:color w:val="000000"/>
                <w:kern w:val="0"/>
                <w:sz w:val="21"/>
                <w:szCs w:val="21"/>
                <w:lang w:val="en-US" w:eastAsia="zh-CN" w:bidi="ar"/>
              </w:rPr>
            </w:pPr>
            <w:r>
              <w:rPr>
                <w:rFonts w:hint="default" w:ascii="Times New Roman" w:hAnsi="Times New Roman" w:eastAsia="宋体" w:cs="Times New Roman"/>
                <w:color w:val="000000"/>
                <w:kern w:val="0"/>
                <w:sz w:val="21"/>
                <w:szCs w:val="21"/>
                <w:lang w:val="en-US" w:eastAsia="zh-CN" w:bidi="ar"/>
              </w:rPr>
              <w:t>三、常态化做好扬尘治理：（一）加强施工扬尘治理</w:t>
            </w:r>
            <w:r>
              <w:rPr>
                <w:rFonts w:hint="default" w:ascii="Times New Roman" w:hAnsi="Times New Roman"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（二）加强道路扬尘管控</w:t>
            </w:r>
            <w:r>
              <w:rPr>
                <w:rFonts w:hint="default" w:ascii="Times New Roman" w:hAnsi="Times New Roman" w:cs="Times New Roman"/>
                <w:color w:val="000000"/>
                <w:kern w:val="0"/>
                <w:sz w:val="21"/>
                <w:szCs w:val="21"/>
                <w:lang w:val="en-US" w:eastAsia="zh-CN" w:bidi="ar"/>
              </w:rPr>
              <w:t>；</w:t>
            </w:r>
            <w:r>
              <w:rPr>
                <w:rFonts w:hint="default" w:ascii="Times New Roman" w:hAnsi="Times New Roman" w:eastAsia="宋体" w:cs="Times New Roman"/>
                <w:color w:val="000000"/>
                <w:kern w:val="0"/>
                <w:sz w:val="21"/>
                <w:szCs w:val="21"/>
                <w:lang w:val="en-US" w:eastAsia="zh-CN" w:bidi="ar"/>
              </w:rPr>
              <w:t>（三）加强工业企业扬尘整治；</w:t>
            </w:r>
          </w:p>
          <w:p w14:paraId="265F4638">
            <w:pPr>
              <w:adjustRightInd w:val="0"/>
              <w:snapToGrid w:val="0"/>
              <w:spacing w:line="360" w:lineRule="auto"/>
              <w:ind w:firstLine="420" w:firstLineChars="200"/>
            </w:pPr>
            <w:r>
              <w:rPr>
                <w:rFonts w:hint="default" w:ascii="Times New Roman" w:hAnsi="Times New Roman" w:eastAsia="宋体" w:cs="Times New Roman"/>
                <w:kern w:val="2"/>
                <w:sz w:val="21"/>
                <w:szCs w:val="21"/>
                <w:lang w:val="en-US" w:eastAsia="zh-CN" w:bidi="ar-SA"/>
              </w:rPr>
              <w:t>四、</w:t>
            </w:r>
            <w:r>
              <w:rPr>
                <w:rFonts w:hint="default" w:ascii="Times New Roman" w:hAnsi="Times New Roman" w:eastAsia="宋体" w:cs="Times New Roman"/>
                <w:color w:val="000000"/>
                <w:kern w:val="0"/>
                <w:sz w:val="21"/>
                <w:szCs w:val="21"/>
                <w:lang w:val="en-US" w:eastAsia="zh-CN" w:bidi="ar"/>
              </w:rPr>
              <w:t>强化重点环节、重点任务落实。</w:t>
            </w:r>
          </w:p>
          <w:p w14:paraId="2B272034">
            <w:pPr>
              <w:adjustRightInd w:val="0"/>
              <w:snapToGrid w:val="0"/>
              <w:spacing w:line="360" w:lineRule="auto"/>
              <w:ind w:firstLine="422" w:firstLineChars="200"/>
              <w:rPr>
                <w:b/>
                <w:bCs/>
              </w:rPr>
            </w:pPr>
            <w:r>
              <w:rPr>
                <w:b/>
                <w:bCs/>
              </w:rPr>
              <w:t>2、地表水环境质量</w:t>
            </w:r>
          </w:p>
          <w:p w14:paraId="1B38D272">
            <w:pPr>
              <w:spacing w:line="360" w:lineRule="auto"/>
              <w:ind w:firstLine="420" w:firstLineChars="200"/>
              <w:rPr>
                <w:rFonts w:hint="default" w:ascii="Times New Roman" w:hAnsi="Times New Roman" w:cs="Times New Roman"/>
                <w:bCs/>
                <w:color w:val="auto"/>
                <w:highlight w:val="none"/>
                <w:lang w:bidi="ar"/>
              </w:rPr>
            </w:pPr>
            <w:r>
              <w:rPr>
                <w:rFonts w:hint="default" w:ascii="Times New Roman" w:hAnsi="Times New Roman" w:cs="Times New Roman"/>
                <w:color w:val="auto"/>
                <w:highlight w:val="none"/>
              </w:rPr>
              <w:t>项目所在区域最近地表水体为</w:t>
            </w:r>
            <w:r>
              <w:rPr>
                <w:rFonts w:hint="eastAsia" w:cs="Times New Roman"/>
                <w:color w:val="auto"/>
                <w:highlight w:val="none"/>
                <w:lang w:eastAsia="zh-CN"/>
              </w:rPr>
              <w:t>孝妇</w:t>
            </w:r>
            <w:r>
              <w:rPr>
                <w:rFonts w:hint="default" w:ascii="Times New Roman" w:hAnsi="Times New Roman" w:cs="Times New Roman"/>
                <w:color w:val="auto"/>
                <w:highlight w:val="none"/>
              </w:rPr>
              <w:t>河，</w:t>
            </w:r>
            <w:r>
              <w:rPr>
                <w:rFonts w:hint="default" w:ascii="Times New Roman" w:hAnsi="Times New Roman" w:cs="Times New Roman"/>
                <w:bCs/>
                <w:color w:val="auto"/>
                <w:highlight w:val="none"/>
                <w:lang w:bidi="ar"/>
              </w:rPr>
              <w:t>本次环评收集了淄川南外环监控断面202</w:t>
            </w:r>
            <w:r>
              <w:rPr>
                <w:rFonts w:hint="default" w:ascii="Times New Roman" w:hAnsi="Times New Roman" w:cs="Times New Roman"/>
                <w:bCs/>
                <w:color w:val="auto"/>
                <w:highlight w:val="none"/>
                <w:lang w:val="en-US" w:eastAsia="zh-CN" w:bidi="ar"/>
              </w:rPr>
              <w:t>4</w:t>
            </w:r>
            <w:r>
              <w:rPr>
                <w:rFonts w:hint="default" w:ascii="Times New Roman" w:hAnsi="Times New Roman" w:cs="Times New Roman"/>
                <w:bCs/>
                <w:color w:val="auto"/>
                <w:highlight w:val="none"/>
                <w:lang w:bidi="ar"/>
              </w:rPr>
              <w:t>年</w:t>
            </w:r>
            <w:r>
              <w:rPr>
                <w:rFonts w:hint="default" w:ascii="Times New Roman" w:hAnsi="Times New Roman" w:cs="Times New Roman"/>
                <w:bCs/>
                <w:color w:val="auto"/>
                <w:highlight w:val="none"/>
                <w:lang w:val="en-US" w:eastAsia="zh-CN" w:bidi="ar"/>
              </w:rPr>
              <w:t>1月-6月</w:t>
            </w:r>
            <w:r>
              <w:rPr>
                <w:rFonts w:hint="default" w:ascii="Times New Roman" w:hAnsi="Times New Roman" w:cs="Times New Roman"/>
                <w:bCs/>
                <w:color w:val="auto"/>
                <w:highlight w:val="none"/>
                <w:lang w:bidi="ar"/>
              </w:rPr>
              <w:t>在线监测的信息，详细监测结果如下：</w:t>
            </w:r>
          </w:p>
          <w:p w14:paraId="790D1A76">
            <w:pPr>
              <w:widowControl/>
              <w:adjustRightInd w:val="0"/>
              <w:snapToGrid w:val="0"/>
              <w:spacing w:line="360" w:lineRule="auto"/>
              <w:ind w:firstLine="422" w:firstLineChars="200"/>
              <w:jc w:val="center"/>
              <w:rPr>
                <w:rFonts w:hint="default" w:ascii="黑体" w:hAnsi="黑体" w:eastAsia="黑体" w:cs="黑体"/>
                <w:b w:val="0"/>
                <w:bCs/>
                <w:color w:val="auto"/>
                <w:kern w:val="0"/>
                <w:sz w:val="21"/>
                <w:szCs w:val="21"/>
                <w:lang w:val="en-US" w:eastAsia="zh-CN" w:bidi="ar-SA"/>
              </w:rPr>
            </w:pPr>
            <w:r>
              <w:rPr>
                <w:rFonts w:hint="default" w:ascii="Times New Roman" w:hAnsi="Times New Roman" w:eastAsia="宋体" w:cs="Times New Roman"/>
                <w:b/>
                <w:bCs w:val="0"/>
                <w:color w:val="auto"/>
                <w:kern w:val="0"/>
                <w:sz w:val="21"/>
                <w:szCs w:val="21"/>
                <w:lang w:val="en-US" w:eastAsia="zh-CN" w:bidi="ar-SA"/>
              </w:rPr>
              <w:t>表3-2  2024年1月-6月淄川南外环断面监测数据</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101"/>
              <w:gridCol w:w="1137"/>
              <w:gridCol w:w="1144"/>
              <w:gridCol w:w="1161"/>
              <w:gridCol w:w="1178"/>
              <w:gridCol w:w="1225"/>
              <w:gridCol w:w="1018"/>
            </w:tblGrid>
            <w:tr w14:paraId="35E6D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60D2F4AF">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时间</w:t>
                  </w:r>
                </w:p>
              </w:tc>
              <w:tc>
                <w:tcPr>
                  <w:tcW w:w="1208" w:type="dxa"/>
                  <w:noWrap w:val="0"/>
                  <w:vAlign w:val="center"/>
                </w:tcPr>
                <w:p w14:paraId="0F98A2E5">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COD</w:t>
                  </w:r>
                </w:p>
                <w:p w14:paraId="3B59F09C">
                  <w:pPr>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（mg/L）</w:t>
                  </w:r>
                </w:p>
              </w:tc>
              <w:tc>
                <w:tcPr>
                  <w:tcW w:w="1203" w:type="dxa"/>
                  <w:noWrap w:val="0"/>
                  <w:vAlign w:val="center"/>
                </w:tcPr>
                <w:p w14:paraId="0784420B">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氨氮（mg/L）</w:t>
                  </w:r>
                </w:p>
              </w:tc>
              <w:tc>
                <w:tcPr>
                  <w:tcW w:w="1203" w:type="dxa"/>
                  <w:noWrap w:val="0"/>
                  <w:vAlign w:val="center"/>
                </w:tcPr>
                <w:p w14:paraId="2E3A597F">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高锰酸盐指数（mg/L））</w:t>
                  </w:r>
                </w:p>
              </w:tc>
              <w:tc>
                <w:tcPr>
                  <w:tcW w:w="1257" w:type="dxa"/>
                  <w:noWrap w:val="0"/>
                  <w:vAlign w:val="center"/>
                </w:tcPr>
                <w:p w14:paraId="1270D644">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溶解氧（mg/L）</w:t>
                  </w:r>
                </w:p>
              </w:tc>
              <w:tc>
                <w:tcPr>
                  <w:tcW w:w="1266" w:type="dxa"/>
                  <w:noWrap w:val="0"/>
                  <w:vAlign w:val="center"/>
                </w:tcPr>
                <w:p w14:paraId="771D9721">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总磷（mg/L）</w:t>
                  </w:r>
                </w:p>
              </w:tc>
              <w:tc>
                <w:tcPr>
                  <w:tcW w:w="1069" w:type="dxa"/>
                  <w:noWrap w:val="0"/>
                  <w:vAlign w:val="center"/>
                </w:tcPr>
                <w:p w14:paraId="039BE0D6">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pH</w:t>
                  </w:r>
                </w:p>
              </w:tc>
            </w:tr>
            <w:tr w14:paraId="759846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4BE0071C">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.1</w:t>
                  </w:r>
                </w:p>
              </w:tc>
              <w:tc>
                <w:tcPr>
                  <w:tcW w:w="1208" w:type="dxa"/>
                  <w:noWrap w:val="0"/>
                  <w:vAlign w:val="center"/>
                </w:tcPr>
                <w:p w14:paraId="47B9FD36">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6.08~14</w:t>
                  </w:r>
                </w:p>
              </w:tc>
              <w:tc>
                <w:tcPr>
                  <w:tcW w:w="1203" w:type="dxa"/>
                  <w:noWrap w:val="0"/>
                  <w:vAlign w:val="center"/>
                </w:tcPr>
                <w:p w14:paraId="251792F1">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1.33~9.5</w:t>
                  </w:r>
                </w:p>
              </w:tc>
              <w:tc>
                <w:tcPr>
                  <w:tcW w:w="1203" w:type="dxa"/>
                  <w:noWrap w:val="0"/>
                  <w:vAlign w:val="center"/>
                </w:tcPr>
                <w:p w14:paraId="37E0FE8B">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3.33~5.97</w:t>
                  </w:r>
                </w:p>
              </w:tc>
              <w:tc>
                <w:tcPr>
                  <w:tcW w:w="1257" w:type="dxa"/>
                  <w:noWrap w:val="0"/>
                  <w:vAlign w:val="center"/>
                </w:tcPr>
                <w:p w14:paraId="226596F8">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11~13.5</w:t>
                  </w:r>
                </w:p>
              </w:tc>
              <w:tc>
                <w:tcPr>
                  <w:tcW w:w="1266" w:type="dxa"/>
                  <w:noWrap w:val="0"/>
                  <w:vAlign w:val="center"/>
                </w:tcPr>
                <w:p w14:paraId="5E23A5D4">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0.0733~0.165</w:t>
                  </w:r>
                </w:p>
              </w:tc>
              <w:tc>
                <w:tcPr>
                  <w:tcW w:w="1069" w:type="dxa"/>
                  <w:noWrap w:val="0"/>
                  <w:vAlign w:val="center"/>
                </w:tcPr>
                <w:p w14:paraId="65262503">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7.79~8.14</w:t>
                  </w:r>
                </w:p>
              </w:tc>
            </w:tr>
            <w:tr w14:paraId="548A3D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51D70F09">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.2</w:t>
                  </w:r>
                </w:p>
              </w:tc>
              <w:tc>
                <w:tcPr>
                  <w:tcW w:w="1208" w:type="dxa"/>
                  <w:noWrap w:val="0"/>
                  <w:vAlign w:val="center"/>
                </w:tcPr>
                <w:p w14:paraId="2ABE1E1B">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11.6~14.9</w:t>
                  </w:r>
                </w:p>
              </w:tc>
              <w:tc>
                <w:tcPr>
                  <w:tcW w:w="1203" w:type="dxa"/>
                  <w:noWrap w:val="0"/>
                  <w:vAlign w:val="center"/>
                </w:tcPr>
                <w:p w14:paraId="2018B72C">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0.591~2.73</w:t>
                  </w:r>
                </w:p>
              </w:tc>
              <w:tc>
                <w:tcPr>
                  <w:tcW w:w="1203" w:type="dxa"/>
                  <w:noWrap w:val="0"/>
                  <w:vAlign w:val="center"/>
                </w:tcPr>
                <w:p w14:paraId="45BC9B86">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3.28~4.56</w:t>
                  </w:r>
                </w:p>
              </w:tc>
              <w:tc>
                <w:tcPr>
                  <w:tcW w:w="1257" w:type="dxa"/>
                  <w:noWrap w:val="0"/>
                  <w:vAlign w:val="center"/>
                </w:tcPr>
                <w:p w14:paraId="23A3C530">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9.35~14.4</w:t>
                  </w:r>
                </w:p>
              </w:tc>
              <w:tc>
                <w:tcPr>
                  <w:tcW w:w="1266" w:type="dxa"/>
                  <w:noWrap w:val="0"/>
                  <w:vAlign w:val="center"/>
                </w:tcPr>
                <w:p w14:paraId="454A7CD6">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0.648~0.0871</w:t>
                  </w:r>
                </w:p>
              </w:tc>
              <w:tc>
                <w:tcPr>
                  <w:tcW w:w="1069" w:type="dxa"/>
                  <w:noWrap w:val="0"/>
                  <w:vAlign w:val="center"/>
                </w:tcPr>
                <w:p w14:paraId="669BEAF9">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7.95~8.26</w:t>
                  </w:r>
                </w:p>
              </w:tc>
            </w:tr>
            <w:tr w14:paraId="51595F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3596A667">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.3</w:t>
                  </w:r>
                </w:p>
              </w:tc>
              <w:tc>
                <w:tcPr>
                  <w:tcW w:w="1208" w:type="dxa"/>
                  <w:noWrap w:val="0"/>
                  <w:vAlign w:val="center"/>
                </w:tcPr>
                <w:p w14:paraId="77AB8D15">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11.8~21</w:t>
                  </w:r>
                </w:p>
              </w:tc>
              <w:tc>
                <w:tcPr>
                  <w:tcW w:w="1203" w:type="dxa"/>
                  <w:noWrap w:val="0"/>
                  <w:vAlign w:val="center"/>
                </w:tcPr>
                <w:p w14:paraId="1E177F8E">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0.67~5.29</w:t>
                  </w:r>
                </w:p>
              </w:tc>
              <w:tc>
                <w:tcPr>
                  <w:tcW w:w="1203" w:type="dxa"/>
                  <w:noWrap w:val="0"/>
                  <w:vAlign w:val="center"/>
                </w:tcPr>
                <w:p w14:paraId="0A77C4C5">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3.87~6.84</w:t>
                  </w:r>
                </w:p>
              </w:tc>
              <w:tc>
                <w:tcPr>
                  <w:tcW w:w="1257" w:type="dxa"/>
                  <w:noWrap w:val="0"/>
                  <w:vAlign w:val="center"/>
                </w:tcPr>
                <w:p w14:paraId="430BF126">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5.72~13</w:t>
                  </w:r>
                </w:p>
              </w:tc>
              <w:tc>
                <w:tcPr>
                  <w:tcW w:w="1266" w:type="dxa"/>
                  <w:noWrap w:val="0"/>
                  <w:vAlign w:val="center"/>
                </w:tcPr>
                <w:p w14:paraId="3336E29E">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0.0628~0.145</w:t>
                  </w:r>
                </w:p>
              </w:tc>
              <w:tc>
                <w:tcPr>
                  <w:tcW w:w="1069" w:type="dxa"/>
                  <w:noWrap w:val="0"/>
                  <w:vAlign w:val="center"/>
                </w:tcPr>
                <w:p w14:paraId="1B828921">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7.68~8.13</w:t>
                  </w:r>
                </w:p>
              </w:tc>
            </w:tr>
            <w:tr w14:paraId="4FE5B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7B85F7F6">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.4</w:t>
                  </w:r>
                </w:p>
              </w:tc>
              <w:tc>
                <w:tcPr>
                  <w:tcW w:w="1208" w:type="dxa"/>
                  <w:noWrap w:val="0"/>
                  <w:vAlign w:val="center"/>
                </w:tcPr>
                <w:p w14:paraId="101A735D">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13.2~21</w:t>
                  </w:r>
                </w:p>
              </w:tc>
              <w:tc>
                <w:tcPr>
                  <w:tcW w:w="1203" w:type="dxa"/>
                  <w:noWrap w:val="0"/>
                  <w:vAlign w:val="center"/>
                </w:tcPr>
                <w:p w14:paraId="3D8A131B">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1.69~11.6</w:t>
                  </w:r>
                </w:p>
              </w:tc>
              <w:tc>
                <w:tcPr>
                  <w:tcW w:w="1203" w:type="dxa"/>
                  <w:noWrap w:val="0"/>
                  <w:vAlign w:val="center"/>
                </w:tcPr>
                <w:p w14:paraId="0695F302">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5.59~7.23</w:t>
                  </w:r>
                </w:p>
              </w:tc>
              <w:tc>
                <w:tcPr>
                  <w:tcW w:w="1257" w:type="dxa"/>
                  <w:noWrap w:val="0"/>
                  <w:vAlign w:val="center"/>
                </w:tcPr>
                <w:p w14:paraId="7F79299E">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lang w:val="en-US" w:eastAsia="zh-CN"/>
                    </w:rPr>
                    <w:t>4.37~12.3</w:t>
                  </w:r>
                </w:p>
              </w:tc>
              <w:tc>
                <w:tcPr>
                  <w:tcW w:w="1266" w:type="dxa"/>
                  <w:noWrap w:val="0"/>
                  <w:vAlign w:val="center"/>
                </w:tcPr>
                <w:p w14:paraId="24C429B3">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0.0842~0.172</w:t>
                  </w:r>
                </w:p>
              </w:tc>
              <w:tc>
                <w:tcPr>
                  <w:tcW w:w="1069" w:type="dxa"/>
                  <w:noWrap w:val="0"/>
                  <w:vAlign w:val="center"/>
                </w:tcPr>
                <w:p w14:paraId="16C63809">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7.42~7.96</w:t>
                  </w:r>
                </w:p>
              </w:tc>
            </w:tr>
            <w:tr w14:paraId="47FCFB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324D5131">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.5</w:t>
                  </w:r>
                </w:p>
              </w:tc>
              <w:tc>
                <w:tcPr>
                  <w:tcW w:w="1208" w:type="dxa"/>
                  <w:noWrap w:val="0"/>
                  <w:vAlign w:val="center"/>
                </w:tcPr>
                <w:p w14:paraId="78A1FB93">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14.6~30.3</w:t>
                  </w:r>
                </w:p>
              </w:tc>
              <w:tc>
                <w:tcPr>
                  <w:tcW w:w="1203" w:type="dxa"/>
                  <w:noWrap w:val="0"/>
                  <w:vAlign w:val="center"/>
                </w:tcPr>
                <w:p w14:paraId="3EA6C981">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0.702~6.31</w:t>
                  </w:r>
                </w:p>
              </w:tc>
              <w:tc>
                <w:tcPr>
                  <w:tcW w:w="1203" w:type="dxa"/>
                  <w:noWrap w:val="0"/>
                  <w:vAlign w:val="center"/>
                </w:tcPr>
                <w:p w14:paraId="2245903C">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5.75~9.07</w:t>
                  </w:r>
                </w:p>
              </w:tc>
              <w:tc>
                <w:tcPr>
                  <w:tcW w:w="1257" w:type="dxa"/>
                  <w:noWrap w:val="0"/>
                  <w:vAlign w:val="center"/>
                </w:tcPr>
                <w:p w14:paraId="2A88B37A">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4.02~12.6</w:t>
                  </w:r>
                </w:p>
              </w:tc>
              <w:tc>
                <w:tcPr>
                  <w:tcW w:w="1266" w:type="dxa"/>
                  <w:noWrap w:val="0"/>
                  <w:vAlign w:val="center"/>
                </w:tcPr>
                <w:p w14:paraId="23281E3F">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0.0803~0.246</w:t>
                  </w:r>
                </w:p>
              </w:tc>
              <w:tc>
                <w:tcPr>
                  <w:tcW w:w="1069" w:type="dxa"/>
                  <w:noWrap w:val="0"/>
                  <w:vAlign w:val="center"/>
                </w:tcPr>
                <w:p w14:paraId="6C9DC8B3">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7.51~8.05</w:t>
                  </w:r>
                </w:p>
              </w:tc>
            </w:tr>
            <w:tr w14:paraId="065FA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576AA9A0">
                  <w:pPr>
                    <w:pStyle w:val="2"/>
                    <w:spacing w:after="0"/>
                    <w:ind w:left="0" w:leftChars="0" w:firstLine="0" w:firstLineChars="0"/>
                    <w:jc w:val="center"/>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202</w:t>
                  </w:r>
                  <w:r>
                    <w:rPr>
                      <w:rFonts w:hint="default" w:ascii="Times New Roman" w:hAnsi="Times New Roman" w:cs="Times New Roman"/>
                      <w:color w:val="auto"/>
                      <w:sz w:val="18"/>
                      <w:szCs w:val="18"/>
                      <w:highlight w:val="none"/>
                      <w:lang w:val="en-US" w:eastAsia="zh-CN"/>
                    </w:rPr>
                    <w:t>4</w:t>
                  </w:r>
                  <w:r>
                    <w:rPr>
                      <w:rFonts w:hint="default" w:ascii="Times New Roman" w:hAnsi="Times New Roman" w:cs="Times New Roman"/>
                      <w:color w:val="auto"/>
                      <w:sz w:val="18"/>
                      <w:szCs w:val="18"/>
                      <w:highlight w:val="none"/>
                    </w:rPr>
                    <w:t>.6</w:t>
                  </w:r>
                </w:p>
              </w:tc>
              <w:tc>
                <w:tcPr>
                  <w:tcW w:w="1208" w:type="dxa"/>
                  <w:noWrap w:val="0"/>
                  <w:vAlign w:val="center"/>
                </w:tcPr>
                <w:p w14:paraId="204D06D7">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16.3~23.6</w:t>
                  </w:r>
                </w:p>
              </w:tc>
              <w:tc>
                <w:tcPr>
                  <w:tcW w:w="1203" w:type="dxa"/>
                  <w:noWrap w:val="0"/>
                  <w:vAlign w:val="center"/>
                </w:tcPr>
                <w:p w14:paraId="11BAC59A">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1.64~5.75</w:t>
                  </w:r>
                </w:p>
              </w:tc>
              <w:tc>
                <w:tcPr>
                  <w:tcW w:w="1203" w:type="dxa"/>
                  <w:noWrap w:val="0"/>
                  <w:vAlign w:val="center"/>
                </w:tcPr>
                <w:p w14:paraId="518FC552">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6.73~8.85</w:t>
                  </w:r>
                </w:p>
              </w:tc>
              <w:tc>
                <w:tcPr>
                  <w:tcW w:w="1257" w:type="dxa"/>
                  <w:noWrap w:val="0"/>
                  <w:vAlign w:val="center"/>
                </w:tcPr>
                <w:p w14:paraId="7127D441">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4.33~13.8</w:t>
                  </w:r>
                </w:p>
              </w:tc>
              <w:tc>
                <w:tcPr>
                  <w:tcW w:w="1266" w:type="dxa"/>
                  <w:noWrap w:val="0"/>
                  <w:vAlign w:val="center"/>
                </w:tcPr>
                <w:p w14:paraId="3ED10BF3">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0.0831~0.115</w:t>
                  </w:r>
                </w:p>
              </w:tc>
              <w:tc>
                <w:tcPr>
                  <w:tcW w:w="1069" w:type="dxa"/>
                  <w:noWrap w:val="0"/>
                  <w:vAlign w:val="center"/>
                </w:tcPr>
                <w:p w14:paraId="7C9E7D10">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7.62~8.13</w:t>
                  </w:r>
                </w:p>
              </w:tc>
            </w:tr>
            <w:tr w14:paraId="323CD1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213" w:type="dxa"/>
                  <w:noWrap w:val="0"/>
                  <w:vAlign w:val="center"/>
                </w:tcPr>
                <w:p w14:paraId="34415B94">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标准值</w:t>
                  </w:r>
                </w:p>
              </w:tc>
              <w:tc>
                <w:tcPr>
                  <w:tcW w:w="1208" w:type="dxa"/>
                  <w:noWrap w:val="0"/>
                  <w:vAlign w:val="center"/>
                </w:tcPr>
                <w:p w14:paraId="677DCB8F">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≤40</w:t>
                  </w:r>
                </w:p>
              </w:tc>
              <w:tc>
                <w:tcPr>
                  <w:tcW w:w="1203" w:type="dxa"/>
                  <w:noWrap w:val="0"/>
                  <w:vAlign w:val="center"/>
                </w:tcPr>
                <w:p w14:paraId="4D12F424">
                  <w:pPr>
                    <w:pStyle w:val="2"/>
                    <w:spacing w:after="0"/>
                    <w:ind w:left="0" w:leftChars="0" w:firstLine="0" w:firstLineChars="0"/>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≤2</w:t>
                  </w:r>
                </w:p>
              </w:tc>
              <w:tc>
                <w:tcPr>
                  <w:tcW w:w="1203" w:type="dxa"/>
                  <w:noWrap w:val="0"/>
                  <w:vAlign w:val="center"/>
                </w:tcPr>
                <w:p w14:paraId="009ECDC5">
                  <w:pPr>
                    <w:pStyle w:val="2"/>
                    <w:spacing w:after="0"/>
                    <w:ind w:left="0" w:leftChars="0" w:firstLine="0" w:firstLineChars="0"/>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≤15</w:t>
                  </w:r>
                </w:p>
              </w:tc>
              <w:tc>
                <w:tcPr>
                  <w:tcW w:w="1257" w:type="dxa"/>
                  <w:noWrap w:val="0"/>
                  <w:vAlign w:val="center"/>
                </w:tcPr>
                <w:p w14:paraId="7659052F">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≥2</w:t>
                  </w:r>
                </w:p>
              </w:tc>
              <w:tc>
                <w:tcPr>
                  <w:tcW w:w="1266" w:type="dxa"/>
                  <w:noWrap w:val="0"/>
                  <w:vAlign w:val="center"/>
                </w:tcPr>
                <w:p w14:paraId="4C455C6A">
                  <w:pPr>
                    <w:pStyle w:val="2"/>
                    <w:spacing w:after="0"/>
                    <w:ind w:left="0" w:leftChars="0" w:firstLine="0" w:firstLineChars="0"/>
                    <w:jc w:val="center"/>
                    <w:rPr>
                      <w:rFonts w:hint="default" w:ascii="Times New Roman" w:hAnsi="Times New Roman" w:cs="Times New Roman"/>
                      <w:color w:val="auto"/>
                      <w:sz w:val="18"/>
                      <w:szCs w:val="18"/>
                      <w:highlight w:val="none"/>
                      <w:lang w:val="en-US"/>
                    </w:rPr>
                  </w:pPr>
                  <w:r>
                    <w:rPr>
                      <w:rFonts w:hint="default" w:ascii="Times New Roman" w:hAnsi="Times New Roman" w:cs="Times New Roman"/>
                      <w:color w:val="auto"/>
                      <w:sz w:val="18"/>
                      <w:szCs w:val="18"/>
                      <w:highlight w:val="none"/>
                      <w:lang w:val="en-US" w:eastAsia="zh-CN"/>
                    </w:rPr>
                    <w:t>≤0.4</w:t>
                  </w:r>
                </w:p>
              </w:tc>
              <w:tc>
                <w:tcPr>
                  <w:tcW w:w="1069" w:type="dxa"/>
                  <w:noWrap w:val="0"/>
                  <w:vAlign w:val="center"/>
                </w:tcPr>
                <w:p w14:paraId="0BE16ED0">
                  <w:pPr>
                    <w:pStyle w:val="2"/>
                    <w:spacing w:after="0"/>
                    <w:ind w:left="0" w:leftChars="0"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6~9</w:t>
                  </w:r>
                </w:p>
              </w:tc>
            </w:tr>
          </w:tbl>
          <w:p w14:paraId="44415447">
            <w:pPr>
              <w:tabs>
                <w:tab w:val="left" w:pos="600"/>
              </w:tabs>
              <w:adjustRightInd w:val="0"/>
              <w:snapToGrid w:val="0"/>
              <w:spacing w:line="360" w:lineRule="auto"/>
              <w:ind w:firstLine="420" w:firstLineChars="200"/>
              <w:rPr>
                <w:rFonts w:hint="default" w:ascii="Times New Roman" w:hAnsi="Times New Roman" w:eastAsia="宋体" w:cs="Times New Roman"/>
                <w:bCs/>
                <w:color w:val="auto"/>
                <w:highlight w:val="none"/>
                <w:lang w:val="en-US" w:eastAsia="zh-CN" w:bidi="ar"/>
              </w:rPr>
            </w:pPr>
            <w:r>
              <w:rPr>
                <w:rFonts w:hint="default" w:ascii="Times New Roman" w:hAnsi="Times New Roman" w:cs="Times New Roman"/>
                <w:bCs/>
                <w:color w:val="auto"/>
                <w:highlight w:val="none"/>
                <w:lang w:val="en-US" w:eastAsia="zh-CN" w:bidi="ar"/>
              </w:rPr>
              <w:t>备注：数据来源于淄博市环境自动监测监控系统。</w:t>
            </w:r>
          </w:p>
          <w:p w14:paraId="1EA50583">
            <w:pPr>
              <w:spacing w:line="360" w:lineRule="auto"/>
              <w:ind w:firstLine="420" w:firstLineChars="200"/>
              <w:rPr>
                <w:szCs w:val="21"/>
              </w:rPr>
            </w:pPr>
            <w:r>
              <w:rPr>
                <w:rFonts w:hint="default" w:ascii="Times New Roman" w:hAnsi="Times New Roman" w:cs="Times New Roman"/>
                <w:bCs/>
                <w:color w:val="auto"/>
                <w:highlight w:val="none"/>
                <w:lang w:bidi="ar"/>
              </w:rPr>
              <w:t>根据断面例行监测数据，孝妇河南外环断面各例行监测因子浓度除氨氮外均能满足《地表水环境质量标准》</w:t>
            </w:r>
            <w:r>
              <w:rPr>
                <w:rFonts w:hint="eastAsia" w:cs="Times New Roman"/>
                <w:bCs/>
                <w:color w:val="auto"/>
                <w:highlight w:val="none"/>
                <w:lang w:eastAsia="zh-CN" w:bidi="ar"/>
              </w:rPr>
              <w:t>（</w:t>
            </w:r>
            <w:r>
              <w:rPr>
                <w:rFonts w:hint="default" w:ascii="Times New Roman" w:hAnsi="Times New Roman" w:cs="Times New Roman"/>
                <w:bCs/>
                <w:color w:val="auto"/>
                <w:highlight w:val="none"/>
                <w:lang w:bidi="ar"/>
              </w:rPr>
              <w:t>GB3838-2002</w:t>
            </w:r>
            <w:r>
              <w:rPr>
                <w:rFonts w:hint="default" w:ascii="Times New Roman" w:hAnsi="Times New Roman" w:cs="Times New Roman"/>
                <w:bCs/>
                <w:color w:val="auto"/>
                <w:highlight w:val="none"/>
                <w:lang w:eastAsia="zh-CN" w:bidi="ar"/>
              </w:rPr>
              <w:t>）</w:t>
            </w:r>
            <w:r>
              <w:rPr>
                <w:rFonts w:hint="default" w:ascii="Times New Roman" w:hAnsi="Times New Roman" w:cs="Times New Roman"/>
                <w:bCs/>
                <w:color w:val="auto"/>
                <w:highlight w:val="none"/>
                <w:lang w:bidi="ar"/>
              </w:rPr>
              <w:t>中的V类标准要求，</w:t>
            </w:r>
            <w:r>
              <w:rPr>
                <w:rFonts w:hint="default" w:ascii="Times New Roman" w:hAnsi="Times New Roman" w:cs="Times New Roman"/>
                <w:bCs/>
                <w:color w:val="auto"/>
                <w:highlight w:val="none"/>
                <w:lang w:eastAsia="zh-CN" w:bidi="ar"/>
              </w:rPr>
              <w:t>氨</w:t>
            </w:r>
            <w:r>
              <w:rPr>
                <w:rFonts w:hint="default" w:ascii="Times New Roman" w:hAnsi="Times New Roman" w:cs="Times New Roman"/>
                <w:bCs/>
                <w:color w:val="auto"/>
                <w:highlight w:val="none"/>
                <w:lang w:bidi="ar"/>
              </w:rPr>
              <w:t>氮超标主要与孝妇河河道治理工程有关</w:t>
            </w:r>
            <w:r>
              <w:rPr>
                <w:rFonts w:hint="eastAsia" w:ascii="Times New Roman" w:hAnsi="Times New Roman" w:cs="Times New Roman"/>
                <w:bCs/>
                <w:color w:val="auto"/>
                <w:highlight w:val="none"/>
                <w:lang w:eastAsia="zh-CN" w:bidi="ar"/>
              </w:rPr>
              <w:t>，</w:t>
            </w:r>
            <w:r>
              <w:rPr>
                <w:rFonts w:hint="eastAsia" w:ascii="Times New Roman" w:hAnsi="Times New Roman" w:cs="Times New Roman"/>
                <w:bCs/>
                <w:color w:val="auto"/>
                <w:highlight w:val="none"/>
                <w:lang w:val="en-US" w:eastAsia="zh-CN" w:bidi="ar"/>
              </w:rPr>
              <w:t>应全面提升河道综合治理能力，加强监测频次</w:t>
            </w:r>
            <w:r>
              <w:rPr>
                <w:rFonts w:hint="default" w:ascii="Times New Roman" w:hAnsi="Times New Roman" w:cs="Times New Roman"/>
                <w:color w:val="auto"/>
                <w:highlight w:val="none"/>
              </w:rPr>
              <w:t>。</w:t>
            </w:r>
          </w:p>
          <w:p w14:paraId="1161269A">
            <w:pPr>
              <w:adjustRightInd w:val="0"/>
              <w:snapToGrid w:val="0"/>
              <w:spacing w:line="360" w:lineRule="auto"/>
              <w:ind w:firstLine="422" w:firstLineChars="200"/>
              <w:rPr>
                <w:b/>
                <w:bCs/>
              </w:rPr>
            </w:pPr>
            <w:r>
              <w:rPr>
                <w:b/>
                <w:bCs/>
              </w:rPr>
              <w:t>3、声环境质量</w:t>
            </w:r>
          </w:p>
          <w:p w14:paraId="09946512">
            <w:pPr>
              <w:widowControl/>
              <w:spacing w:line="360" w:lineRule="auto"/>
              <w:ind w:firstLine="420" w:firstLineChars="200"/>
              <w:jc w:val="both"/>
              <w:rPr>
                <w:rFonts w:hint="default" w:ascii="黑体" w:hAnsi="黑体" w:eastAsia="黑体"/>
                <w:b/>
                <w:bCs/>
                <w:szCs w:val="21"/>
                <w:lang w:val="en-US" w:eastAsia="zh-CN"/>
              </w:rPr>
            </w:pPr>
            <w:r>
              <w:rPr>
                <w:sz w:val="21"/>
                <w:szCs w:val="21"/>
              </w:rPr>
              <w:t>项目区域声环境执行《声环境质量标准》(GB3096-2008)中的2类区标准，</w:t>
            </w:r>
            <w:r>
              <w:rPr>
                <w:rFonts w:hint="default" w:ascii="Times New Roman" w:hAnsi="Times New Roman" w:cs="Times New Roman"/>
                <w:color w:val="auto"/>
                <w:highlight w:val="none"/>
              </w:rPr>
              <w:t>经现场勘查，厂界</w:t>
            </w:r>
            <w:r>
              <w:rPr>
                <w:rFonts w:hint="default" w:ascii="Times New Roman" w:hAnsi="Times New Roman" w:cs="Times New Roman"/>
                <w:color w:val="auto"/>
                <w:highlight w:val="none"/>
                <w:lang w:eastAsia="zh-CN"/>
              </w:rPr>
              <w:t>周围</w:t>
            </w:r>
            <w:r>
              <w:rPr>
                <w:rFonts w:hint="default" w:ascii="Times New Roman" w:hAnsi="Times New Roman" w:cs="Times New Roman"/>
                <w:color w:val="auto"/>
                <w:highlight w:val="none"/>
                <w:lang w:val="en-US" w:eastAsia="zh-CN"/>
              </w:rPr>
              <w:t>50m范围内无噪声敏感目标</w:t>
            </w:r>
            <w:r>
              <w:rPr>
                <w:rFonts w:hint="default" w:ascii="Times New Roman" w:hAnsi="Times New Roman" w:cs="Times New Roman"/>
                <w:color w:val="auto"/>
                <w:highlight w:val="none"/>
              </w:rPr>
              <w:t>，</w:t>
            </w:r>
            <w:r>
              <w:rPr>
                <w:rFonts w:hint="default" w:ascii="Times New Roman" w:hAnsi="Times New Roman" w:cs="Times New Roman"/>
                <w:color w:val="auto"/>
                <w:highlight w:val="none"/>
                <w:lang w:eastAsia="zh-CN"/>
              </w:rPr>
              <w:t>项目所在区域声环境良好，</w:t>
            </w:r>
            <w:r>
              <w:rPr>
                <w:rFonts w:hint="default" w:ascii="Times New Roman" w:hAnsi="Times New Roman" w:cs="Times New Roman"/>
                <w:color w:val="auto"/>
                <w:highlight w:val="none"/>
              </w:rPr>
              <w:t>满足《声环境质量标准》（GB3096-2008）中的2类标准。</w:t>
            </w:r>
          </w:p>
          <w:p w14:paraId="036F0268">
            <w:pPr>
              <w:widowControl/>
              <w:adjustRightInd w:val="0"/>
              <w:snapToGrid w:val="0"/>
              <w:spacing w:line="360" w:lineRule="auto"/>
              <w:ind w:firstLine="422" w:firstLineChars="200"/>
              <w:jc w:val="left"/>
              <w:rPr>
                <w:b/>
                <w:bCs/>
              </w:rPr>
            </w:pPr>
            <w:r>
              <w:rPr>
                <w:b/>
                <w:bCs/>
              </w:rPr>
              <w:t>4、生态环境</w:t>
            </w:r>
          </w:p>
          <w:p w14:paraId="6D16CF88">
            <w:pPr>
              <w:adjustRightInd w:val="0"/>
              <w:snapToGrid w:val="0"/>
              <w:spacing w:line="360" w:lineRule="auto"/>
              <w:ind w:firstLine="420" w:firstLineChars="200"/>
            </w:pPr>
            <w:r>
              <w:t>本项目</w:t>
            </w:r>
            <w:r>
              <w:rPr>
                <w:rFonts w:hint="eastAsia"/>
                <w:lang w:eastAsia="zh-CN"/>
              </w:rPr>
              <w:t>在</w:t>
            </w:r>
            <w:r>
              <w:t>已建成车间组织经营活动，不新增占地，且用地范围内无生态环境保护目标，无需进行生态现状调查。</w:t>
            </w:r>
          </w:p>
          <w:p w14:paraId="1B91B40F">
            <w:pPr>
              <w:widowControl/>
              <w:adjustRightInd w:val="0"/>
              <w:snapToGrid w:val="0"/>
              <w:spacing w:line="360" w:lineRule="auto"/>
              <w:ind w:firstLine="422" w:firstLineChars="200"/>
              <w:jc w:val="left"/>
              <w:rPr>
                <w:b/>
                <w:bCs/>
              </w:rPr>
            </w:pPr>
            <w:r>
              <w:rPr>
                <w:b/>
                <w:bCs/>
              </w:rPr>
              <w:t>5、电磁辐射</w:t>
            </w:r>
          </w:p>
          <w:p w14:paraId="32FFD453">
            <w:pPr>
              <w:widowControl/>
              <w:adjustRightInd w:val="0"/>
              <w:snapToGrid w:val="0"/>
              <w:spacing w:line="360" w:lineRule="auto"/>
              <w:ind w:firstLine="420" w:firstLineChars="200"/>
              <w:rPr>
                <w:highlight w:val="none"/>
              </w:rPr>
            </w:pPr>
            <w:r>
              <w:rPr>
                <w:rFonts w:hint="eastAsia"/>
                <w:highlight w:val="none"/>
                <w:lang w:eastAsia="zh-CN"/>
              </w:rPr>
              <w:t>本</w:t>
            </w:r>
            <w:r>
              <w:rPr>
                <w:highlight w:val="none"/>
              </w:rPr>
              <w:t>项目</w:t>
            </w:r>
            <w:r>
              <w:rPr>
                <w:rFonts w:hint="eastAsia"/>
                <w:highlight w:val="none"/>
                <w:lang w:eastAsia="zh-CN"/>
              </w:rPr>
              <w:t>涉及</w:t>
            </w:r>
            <w:r>
              <w:rPr>
                <w:rFonts w:hint="eastAsia"/>
                <w:highlight w:val="none"/>
                <w:lang w:val="en-US" w:eastAsia="zh-CN"/>
              </w:rPr>
              <w:t>X射线探伤机，涉及电磁辐射</w:t>
            </w:r>
            <w:r>
              <w:rPr>
                <w:rFonts w:hint="eastAsia"/>
                <w:highlight w:val="none"/>
                <w:lang w:eastAsia="zh-CN"/>
              </w:rPr>
              <w:t>，需单独编制探伤室环境影响评价报告，本次环评中不再对电磁辐射进行分析</w:t>
            </w:r>
            <w:r>
              <w:rPr>
                <w:highlight w:val="none"/>
              </w:rPr>
              <w:t>，无需对电磁辐射现状开展监测与评价。</w:t>
            </w:r>
          </w:p>
          <w:p w14:paraId="4B7C04E4">
            <w:pPr>
              <w:widowControl/>
              <w:adjustRightInd w:val="0"/>
              <w:snapToGrid w:val="0"/>
              <w:spacing w:line="360" w:lineRule="auto"/>
              <w:ind w:firstLine="422" w:firstLineChars="200"/>
              <w:jc w:val="left"/>
              <w:rPr>
                <w:rFonts w:hint="eastAsia" w:eastAsia="宋体"/>
                <w:b/>
                <w:bCs/>
                <w:lang w:eastAsia="zh-CN"/>
              </w:rPr>
            </w:pPr>
            <w:r>
              <w:rPr>
                <w:b/>
                <w:bCs/>
              </w:rPr>
              <w:t>6、地下水</w:t>
            </w:r>
            <w:r>
              <w:rPr>
                <w:rFonts w:hint="eastAsia"/>
                <w:b/>
                <w:bCs/>
                <w:lang w:eastAsia="zh-CN"/>
              </w:rPr>
              <w:t>、土壤</w:t>
            </w:r>
          </w:p>
          <w:p w14:paraId="151C63E4">
            <w:pPr>
              <w:adjustRightInd w:val="0"/>
              <w:snapToGrid w:val="0"/>
              <w:spacing w:line="360" w:lineRule="auto"/>
              <w:ind w:firstLine="420" w:firstLineChars="200"/>
              <w:rPr>
                <w:rFonts w:hint="eastAsia" w:ascii="Times New Roman" w:hAnsi="Times New Roman" w:eastAsia="宋体"/>
                <w:color w:val="FF0000"/>
                <w:lang w:eastAsia="zh-CN"/>
              </w:rPr>
            </w:pPr>
            <w:r>
              <w:t>根据经现场勘查，项目区周围为道路或其他企业，厂界外周边500米范围内无集中式饮用水水源和热水、矿泉水、温泉等特殊地下水资源。</w:t>
            </w:r>
            <w:r>
              <w:rPr>
                <w:rFonts w:hint="default" w:ascii="Times New Roman" w:hAnsi="Times New Roman" w:cs="Times New Roman" w:eastAsiaTheme="minorEastAsia"/>
                <w:color w:val="auto"/>
              </w:rPr>
              <w:t>拟建项目在落实本环评提出的分区防控措施后，营运期正常情况下几乎切断了垂直入渗和大气沉降的影响途径，本项目的建设对周围地下水和土壤影响较小，可不开展环境质量现状调查。</w:t>
            </w:r>
          </w:p>
        </w:tc>
      </w:tr>
      <w:tr w14:paraId="79C0E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28" w:hRule="atLeast"/>
          <w:jc w:val="center"/>
        </w:trPr>
        <w:tc>
          <w:tcPr>
            <w:tcW w:w="800" w:type="dxa"/>
            <w:vAlign w:val="center"/>
          </w:tcPr>
          <w:p w14:paraId="4A051F4C">
            <w:pPr>
              <w:adjustRightInd w:val="0"/>
              <w:snapToGrid w:val="0"/>
              <w:spacing w:line="420" w:lineRule="exact"/>
              <w:jc w:val="center"/>
              <w:rPr>
                <w:kern w:val="0"/>
              </w:rPr>
            </w:pPr>
            <w:r>
              <w:rPr>
                <w:kern w:val="0"/>
              </w:rPr>
              <w:t>环境</w:t>
            </w:r>
          </w:p>
          <w:p w14:paraId="14B731FE">
            <w:pPr>
              <w:adjustRightInd w:val="0"/>
              <w:snapToGrid w:val="0"/>
              <w:spacing w:line="420" w:lineRule="exact"/>
              <w:jc w:val="center"/>
              <w:rPr>
                <w:kern w:val="0"/>
              </w:rPr>
            </w:pPr>
            <w:r>
              <w:rPr>
                <w:kern w:val="0"/>
              </w:rPr>
              <w:t>保护</w:t>
            </w:r>
          </w:p>
          <w:p w14:paraId="105CD90C">
            <w:pPr>
              <w:adjustRightInd w:val="0"/>
              <w:snapToGrid w:val="0"/>
              <w:spacing w:line="420" w:lineRule="exact"/>
              <w:jc w:val="center"/>
              <w:rPr>
                <w:color w:val="FF0000"/>
                <w:kern w:val="0"/>
              </w:rPr>
            </w:pPr>
            <w:r>
              <w:rPr>
                <w:kern w:val="0"/>
              </w:rPr>
              <w:t>目标</w:t>
            </w:r>
          </w:p>
        </w:tc>
        <w:tc>
          <w:tcPr>
            <w:tcW w:w="8190" w:type="dxa"/>
            <w:vAlign w:val="center"/>
          </w:tcPr>
          <w:p w14:paraId="25F1B059">
            <w:pPr>
              <w:spacing w:line="420" w:lineRule="exact"/>
              <w:ind w:firstLine="420" w:firstLineChars="200"/>
            </w:pPr>
            <w:r>
              <w:t>本项目厂界外500米范围内无自然保护区、风景名胜区，存在居民区，无地下水集中式饮用水水源和热水、矿泉水、温泉等特殊地下水资源。本项目环境保护目标情况一览表如下。</w:t>
            </w:r>
          </w:p>
          <w:p w14:paraId="6DDFCB8D">
            <w:pPr>
              <w:pStyle w:val="1312"/>
              <w:adjustRightInd w:val="0"/>
              <w:snapToGrid w:val="0"/>
              <w:spacing w:before="120" w:beforeLines="50" w:line="240" w:lineRule="auto"/>
              <w:rPr>
                <w:rFonts w:ascii="Times New Roman" w:hAnsi="Times New Roman" w:eastAsia="宋体"/>
                <w:b/>
                <w:bCs/>
                <w:sz w:val="21"/>
              </w:rPr>
            </w:pPr>
            <w:r>
              <w:rPr>
                <w:rFonts w:ascii="Times New Roman" w:hAnsi="Times New Roman" w:eastAsia="宋体"/>
                <w:b/>
                <w:bCs/>
                <w:sz w:val="21"/>
              </w:rPr>
              <w:t>表3-</w:t>
            </w:r>
            <w:r>
              <w:rPr>
                <w:rFonts w:hint="eastAsia" w:ascii="Times New Roman" w:hAnsi="Times New Roman" w:eastAsia="宋体"/>
                <w:b/>
                <w:bCs/>
                <w:sz w:val="21"/>
                <w:lang w:val="en-US" w:eastAsia="zh-CN"/>
              </w:rPr>
              <w:t>3</w:t>
            </w:r>
            <w:r>
              <w:rPr>
                <w:rFonts w:ascii="Times New Roman" w:hAnsi="Times New Roman" w:eastAsia="宋体"/>
                <w:b/>
                <w:bCs/>
                <w:sz w:val="21"/>
              </w:rPr>
              <w:t xml:space="preserve"> 主要环境保护目标一览表</w:t>
            </w:r>
          </w:p>
          <w:tbl>
            <w:tblPr>
              <w:tblStyle w:val="81"/>
              <w:tblW w:w="4949" w:type="pct"/>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3"/>
              <w:gridCol w:w="2323"/>
              <w:gridCol w:w="1927"/>
              <w:gridCol w:w="1049"/>
              <w:gridCol w:w="1501"/>
            </w:tblGrid>
            <w:tr w14:paraId="44C3BD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687" w:type="pct"/>
                  <w:tcBorders>
                    <w:top w:val="single" w:color="auto" w:sz="4" w:space="0"/>
                    <w:left w:val="single" w:color="auto" w:sz="4" w:space="0"/>
                    <w:bottom w:val="single" w:color="auto" w:sz="4" w:space="0"/>
                    <w:right w:val="single" w:color="auto" w:sz="4" w:space="0"/>
                  </w:tcBorders>
                  <w:vAlign w:val="center"/>
                </w:tcPr>
                <w:p w14:paraId="1A950DAA">
                  <w:pPr>
                    <w:pStyle w:val="1266"/>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1473" w:type="pct"/>
                  <w:tcBorders>
                    <w:top w:val="single" w:color="auto" w:sz="4" w:space="0"/>
                    <w:left w:val="single" w:color="auto" w:sz="4" w:space="0"/>
                    <w:bottom w:val="single" w:color="auto" w:sz="4" w:space="0"/>
                    <w:right w:val="single" w:color="auto" w:sz="4" w:space="0"/>
                  </w:tcBorders>
                  <w:vAlign w:val="center"/>
                </w:tcPr>
                <w:p w14:paraId="08C413B6">
                  <w:pPr>
                    <w:pStyle w:val="1266"/>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保护对象</w:t>
                  </w:r>
                </w:p>
              </w:tc>
              <w:tc>
                <w:tcPr>
                  <w:tcW w:w="1222" w:type="pct"/>
                  <w:tcBorders>
                    <w:top w:val="single" w:color="auto" w:sz="4" w:space="0"/>
                    <w:left w:val="single" w:color="auto" w:sz="4" w:space="0"/>
                    <w:bottom w:val="single" w:color="auto" w:sz="4" w:space="0"/>
                    <w:right w:val="single" w:color="auto" w:sz="4" w:space="0"/>
                  </w:tcBorders>
                  <w:vAlign w:val="center"/>
                </w:tcPr>
                <w:p w14:paraId="09F3167B">
                  <w:pPr>
                    <w:pStyle w:val="1266"/>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环境功能区</w:t>
                  </w:r>
                </w:p>
              </w:tc>
              <w:tc>
                <w:tcPr>
                  <w:tcW w:w="665" w:type="pct"/>
                  <w:tcBorders>
                    <w:top w:val="single" w:color="auto" w:sz="4" w:space="0"/>
                    <w:left w:val="single" w:color="auto" w:sz="4" w:space="0"/>
                    <w:bottom w:val="single" w:color="auto" w:sz="4" w:space="0"/>
                    <w:right w:val="single" w:color="auto" w:sz="4" w:space="0"/>
                  </w:tcBorders>
                  <w:vAlign w:val="center"/>
                </w:tcPr>
                <w:p w14:paraId="1A47C9A6">
                  <w:pPr>
                    <w:pStyle w:val="1266"/>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相对厂</w:t>
                  </w:r>
                </w:p>
                <w:p w14:paraId="209527D7">
                  <w:pPr>
                    <w:pStyle w:val="1266"/>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址方位</w:t>
                  </w:r>
                </w:p>
              </w:tc>
              <w:tc>
                <w:tcPr>
                  <w:tcW w:w="951" w:type="pct"/>
                  <w:tcBorders>
                    <w:top w:val="single" w:color="auto" w:sz="4" w:space="0"/>
                    <w:left w:val="single" w:color="auto" w:sz="4" w:space="0"/>
                    <w:bottom w:val="single" w:color="auto" w:sz="4" w:space="0"/>
                    <w:right w:val="single" w:color="auto" w:sz="4" w:space="0"/>
                  </w:tcBorders>
                  <w:vAlign w:val="center"/>
                </w:tcPr>
                <w:p w14:paraId="3ADFA7E8">
                  <w:pPr>
                    <w:pStyle w:val="1266"/>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相对厂</w:t>
                  </w:r>
                </w:p>
                <w:p w14:paraId="7ECAAB5B">
                  <w:pPr>
                    <w:pStyle w:val="1266"/>
                    <w:adjustRightInd w:val="0"/>
                    <w:snapToGrid w:val="0"/>
                    <w:jc w:val="center"/>
                    <w:rPr>
                      <w:rFonts w:hint="default" w:ascii="Times New Roman" w:hAnsi="Times New Roman" w:cs="Times New Roman"/>
                      <w:b/>
                      <w:bCs/>
                      <w:sz w:val="18"/>
                      <w:szCs w:val="18"/>
                    </w:rPr>
                  </w:pPr>
                  <w:r>
                    <w:rPr>
                      <w:rFonts w:hint="default" w:ascii="Times New Roman" w:hAnsi="Times New Roman" w:cs="Times New Roman"/>
                      <w:b/>
                      <w:bCs/>
                      <w:sz w:val="18"/>
                      <w:szCs w:val="18"/>
                    </w:rPr>
                    <w:t>界距离/m</w:t>
                  </w:r>
                </w:p>
              </w:tc>
            </w:tr>
            <w:tr w14:paraId="6660D0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87" w:type="pct"/>
                  <w:vMerge w:val="restart"/>
                  <w:tcBorders>
                    <w:top w:val="single" w:color="auto" w:sz="4" w:space="0"/>
                    <w:left w:val="single" w:color="auto" w:sz="4" w:space="0"/>
                    <w:right w:val="single" w:color="auto" w:sz="4" w:space="0"/>
                  </w:tcBorders>
                  <w:vAlign w:val="center"/>
                </w:tcPr>
                <w:p w14:paraId="5B675840">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环境空气</w:t>
                  </w:r>
                </w:p>
              </w:tc>
              <w:tc>
                <w:tcPr>
                  <w:tcW w:w="1473" w:type="pct"/>
                  <w:tcBorders>
                    <w:top w:val="single" w:color="auto" w:sz="4" w:space="0"/>
                    <w:left w:val="single" w:color="auto" w:sz="4" w:space="0"/>
                    <w:bottom w:val="single" w:color="auto" w:sz="4" w:space="0"/>
                    <w:right w:val="single" w:color="auto" w:sz="4" w:space="0"/>
                  </w:tcBorders>
                  <w:vAlign w:val="center"/>
                </w:tcPr>
                <w:p w14:paraId="358E9F3D">
                  <w:pPr>
                    <w:pStyle w:val="1266"/>
                    <w:adjustRightInd w:val="0"/>
                    <w:snapToGrid w:val="0"/>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井家河村</w:t>
                  </w:r>
                </w:p>
              </w:tc>
              <w:tc>
                <w:tcPr>
                  <w:tcW w:w="1222" w:type="pct"/>
                  <w:vMerge w:val="restart"/>
                  <w:tcBorders>
                    <w:top w:val="single" w:color="auto" w:sz="4" w:space="0"/>
                    <w:left w:val="single" w:color="auto" w:sz="4" w:space="0"/>
                    <w:right w:val="single" w:color="auto" w:sz="4" w:space="0"/>
                  </w:tcBorders>
                  <w:vAlign w:val="center"/>
                </w:tcPr>
                <w:p w14:paraId="4866995C">
                  <w:pPr>
                    <w:pStyle w:val="1266"/>
                    <w:adjustRightInd w:val="0"/>
                    <w:snapToGrid w:val="0"/>
                    <w:jc w:val="center"/>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《环境空气质量标准》(GB3095-20</w:t>
                  </w:r>
                  <w:r>
                    <w:rPr>
                      <w:rFonts w:hint="eastAsia" w:cs="Times New Roman"/>
                      <w:sz w:val="18"/>
                      <w:szCs w:val="18"/>
                      <w:lang w:val="en-US" w:eastAsia="zh-CN"/>
                    </w:rPr>
                    <w:t>26</w:t>
                  </w:r>
                  <w:r>
                    <w:rPr>
                      <w:rFonts w:hint="default" w:ascii="Times New Roman" w:hAnsi="Times New Roman" w:cs="Times New Roman"/>
                      <w:sz w:val="18"/>
                      <w:szCs w:val="18"/>
                    </w:rPr>
                    <w:t>) 二级标准</w:t>
                  </w:r>
                  <w:r>
                    <w:rPr>
                      <w:rFonts w:hint="eastAsia" w:cs="Times New Roman"/>
                      <w:sz w:val="18"/>
                      <w:szCs w:val="18"/>
                      <w:lang w:eastAsia="zh-CN"/>
                    </w:rPr>
                    <w:t>（</w:t>
                  </w:r>
                  <w:r>
                    <w:rPr>
                      <w:rFonts w:hint="eastAsia" w:cs="Times New Roman"/>
                      <w:sz w:val="18"/>
                      <w:szCs w:val="18"/>
                      <w:lang w:val="en-US" w:eastAsia="zh-CN"/>
                    </w:rPr>
                    <w:t>过渡阶段</w:t>
                  </w:r>
                  <w:r>
                    <w:rPr>
                      <w:rFonts w:hint="eastAsia" w:cs="Times New Roman"/>
                      <w:sz w:val="18"/>
                      <w:szCs w:val="18"/>
                      <w:lang w:eastAsia="zh-CN"/>
                    </w:rPr>
                    <w:t>）</w:t>
                  </w:r>
                </w:p>
              </w:tc>
              <w:tc>
                <w:tcPr>
                  <w:tcW w:w="665" w:type="pct"/>
                  <w:tcBorders>
                    <w:top w:val="single" w:color="auto" w:sz="4" w:space="0"/>
                    <w:left w:val="single" w:color="auto" w:sz="4" w:space="0"/>
                    <w:bottom w:val="single" w:color="auto" w:sz="4" w:space="0"/>
                    <w:right w:val="single" w:color="auto" w:sz="4" w:space="0"/>
                  </w:tcBorders>
                  <w:vAlign w:val="center"/>
                </w:tcPr>
                <w:p w14:paraId="38952EDF">
                  <w:pPr>
                    <w:pStyle w:val="1266"/>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NE</w:t>
                  </w:r>
                </w:p>
              </w:tc>
              <w:tc>
                <w:tcPr>
                  <w:tcW w:w="951" w:type="pct"/>
                  <w:tcBorders>
                    <w:top w:val="single" w:color="auto" w:sz="4" w:space="0"/>
                    <w:left w:val="single" w:color="auto" w:sz="4" w:space="0"/>
                    <w:bottom w:val="single" w:color="auto" w:sz="4" w:space="0"/>
                    <w:right w:val="single" w:color="auto" w:sz="4" w:space="0"/>
                  </w:tcBorders>
                  <w:vAlign w:val="center"/>
                </w:tcPr>
                <w:p w14:paraId="27503868">
                  <w:pPr>
                    <w:pStyle w:val="1266"/>
                    <w:adjustRightInd w:val="0"/>
                    <w:snapToGrid w:val="0"/>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98</w:t>
                  </w:r>
                </w:p>
              </w:tc>
            </w:tr>
            <w:tr w14:paraId="0ED6A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vMerge w:val="continue"/>
                  <w:tcBorders>
                    <w:left w:val="single" w:color="auto" w:sz="4" w:space="0"/>
                    <w:right w:val="single" w:color="auto" w:sz="4" w:space="0"/>
                  </w:tcBorders>
                  <w:vAlign w:val="center"/>
                </w:tcPr>
                <w:p w14:paraId="780B8626">
                  <w:pPr>
                    <w:pStyle w:val="1266"/>
                    <w:adjustRightInd w:val="0"/>
                    <w:snapToGrid w:val="0"/>
                    <w:jc w:val="center"/>
                    <w:rPr>
                      <w:rFonts w:hint="default" w:ascii="Times New Roman" w:hAnsi="Times New Roman" w:cs="Times New Roman"/>
                      <w:sz w:val="18"/>
                      <w:szCs w:val="18"/>
                    </w:rPr>
                  </w:pPr>
                </w:p>
              </w:tc>
              <w:tc>
                <w:tcPr>
                  <w:tcW w:w="1473" w:type="pct"/>
                  <w:tcBorders>
                    <w:top w:val="single" w:color="auto" w:sz="4" w:space="0"/>
                    <w:left w:val="single" w:color="auto" w:sz="4" w:space="0"/>
                    <w:bottom w:val="single" w:color="auto" w:sz="4" w:space="0"/>
                    <w:right w:val="single" w:color="auto" w:sz="4" w:space="0"/>
                  </w:tcBorders>
                  <w:vAlign w:val="center"/>
                </w:tcPr>
                <w:p w14:paraId="53B9AC65">
                  <w:pPr>
                    <w:pStyle w:val="1266"/>
                    <w:adjustRightInd w:val="0"/>
                    <w:snapToGrid w:val="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eastAsia="zh-CN"/>
                    </w:rPr>
                    <w:t>高家村</w:t>
                  </w:r>
                </w:p>
              </w:tc>
              <w:tc>
                <w:tcPr>
                  <w:tcW w:w="1222" w:type="pct"/>
                  <w:vMerge w:val="continue"/>
                  <w:tcBorders>
                    <w:left w:val="single" w:color="auto" w:sz="4" w:space="0"/>
                    <w:right w:val="single" w:color="auto" w:sz="4" w:space="0"/>
                  </w:tcBorders>
                  <w:vAlign w:val="center"/>
                </w:tcPr>
                <w:p w14:paraId="730C38AB">
                  <w:pPr>
                    <w:pStyle w:val="1266"/>
                    <w:adjustRightInd w:val="0"/>
                    <w:snapToGrid w:val="0"/>
                    <w:jc w:val="center"/>
                    <w:rPr>
                      <w:rFonts w:hint="default" w:ascii="Times New Roman" w:hAnsi="Times New Roman" w:eastAsia="宋体" w:cs="Times New Roman"/>
                      <w:kern w:val="2"/>
                      <w:sz w:val="18"/>
                      <w:szCs w:val="18"/>
                      <w:lang w:val="en-US" w:eastAsia="zh-CN" w:bidi="ar-SA"/>
                    </w:rPr>
                  </w:pPr>
                </w:p>
              </w:tc>
              <w:tc>
                <w:tcPr>
                  <w:tcW w:w="665" w:type="pct"/>
                  <w:tcBorders>
                    <w:top w:val="single" w:color="auto" w:sz="4" w:space="0"/>
                    <w:left w:val="single" w:color="auto" w:sz="4" w:space="0"/>
                    <w:bottom w:val="single" w:color="auto" w:sz="4" w:space="0"/>
                    <w:right w:val="single" w:color="auto" w:sz="4" w:space="0"/>
                  </w:tcBorders>
                  <w:vAlign w:val="center"/>
                </w:tcPr>
                <w:p w14:paraId="2308E2F9">
                  <w:pPr>
                    <w:pStyle w:val="1266"/>
                    <w:adjustRightInd w:val="0"/>
                    <w:snapToGrid w:val="0"/>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SE</w:t>
                  </w:r>
                </w:p>
              </w:tc>
              <w:tc>
                <w:tcPr>
                  <w:tcW w:w="951" w:type="pct"/>
                  <w:tcBorders>
                    <w:top w:val="single" w:color="auto" w:sz="4" w:space="0"/>
                    <w:left w:val="single" w:color="auto" w:sz="4" w:space="0"/>
                    <w:bottom w:val="single" w:color="auto" w:sz="4" w:space="0"/>
                    <w:right w:val="single" w:color="auto" w:sz="4" w:space="0"/>
                  </w:tcBorders>
                  <w:vAlign w:val="center"/>
                </w:tcPr>
                <w:p w14:paraId="76C14E42">
                  <w:pPr>
                    <w:pStyle w:val="1266"/>
                    <w:adjustRightInd w:val="0"/>
                    <w:snapToGrid w:val="0"/>
                    <w:jc w:val="center"/>
                    <w:rPr>
                      <w:rFonts w:hint="eastAsia" w:ascii="Times New Roman" w:hAnsi="Times New Roman" w:eastAsia="宋体" w:cs="Times New Roman"/>
                      <w:kern w:val="2"/>
                      <w:sz w:val="18"/>
                      <w:szCs w:val="18"/>
                      <w:lang w:val="en-US" w:eastAsia="zh-CN" w:bidi="ar-SA"/>
                    </w:rPr>
                  </w:pPr>
                  <w:r>
                    <w:rPr>
                      <w:rFonts w:hint="eastAsia" w:ascii="Times New Roman" w:hAnsi="Times New Roman" w:cs="Times New Roman"/>
                      <w:sz w:val="18"/>
                      <w:szCs w:val="18"/>
                      <w:lang w:val="en-US" w:eastAsia="zh-CN"/>
                    </w:rPr>
                    <w:t>100</w:t>
                  </w:r>
                </w:p>
              </w:tc>
            </w:tr>
            <w:tr w14:paraId="730E36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tcBorders>
                    <w:top w:val="single" w:color="auto" w:sz="4" w:space="0"/>
                    <w:left w:val="single" w:color="auto" w:sz="4" w:space="0"/>
                    <w:bottom w:val="single" w:color="auto" w:sz="4" w:space="0"/>
                    <w:right w:val="single" w:color="auto" w:sz="4" w:space="0"/>
                  </w:tcBorders>
                  <w:vAlign w:val="center"/>
                </w:tcPr>
                <w:p w14:paraId="42D477D0">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声环境</w:t>
                  </w:r>
                </w:p>
              </w:tc>
              <w:tc>
                <w:tcPr>
                  <w:tcW w:w="4312" w:type="pct"/>
                  <w:gridSpan w:val="4"/>
                  <w:tcBorders>
                    <w:top w:val="single" w:color="auto" w:sz="4" w:space="0"/>
                    <w:left w:val="single" w:color="auto" w:sz="4" w:space="0"/>
                    <w:bottom w:val="single" w:color="auto" w:sz="4" w:space="0"/>
                    <w:right w:val="single" w:color="auto" w:sz="4" w:space="0"/>
                  </w:tcBorders>
                  <w:vAlign w:val="center"/>
                </w:tcPr>
                <w:p w14:paraId="5DE38B92">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本项目厂界50m范围内无声环境保护目标</w:t>
                  </w:r>
                </w:p>
              </w:tc>
            </w:tr>
            <w:tr w14:paraId="4ABCB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tcBorders>
                    <w:top w:val="single" w:color="auto" w:sz="4" w:space="0"/>
                    <w:left w:val="single" w:color="auto" w:sz="4" w:space="0"/>
                    <w:bottom w:val="single" w:color="auto" w:sz="4" w:space="0"/>
                    <w:right w:val="single" w:color="auto" w:sz="4" w:space="0"/>
                  </w:tcBorders>
                  <w:vAlign w:val="center"/>
                </w:tcPr>
                <w:p w14:paraId="195CDB2F">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地表水</w:t>
                  </w:r>
                </w:p>
              </w:tc>
              <w:tc>
                <w:tcPr>
                  <w:tcW w:w="1473" w:type="pct"/>
                  <w:tcBorders>
                    <w:top w:val="single" w:color="auto" w:sz="4" w:space="0"/>
                    <w:left w:val="single" w:color="auto" w:sz="4" w:space="0"/>
                    <w:bottom w:val="single" w:color="auto" w:sz="4" w:space="0"/>
                    <w:right w:val="single" w:color="auto" w:sz="4" w:space="0"/>
                  </w:tcBorders>
                  <w:vAlign w:val="center"/>
                </w:tcPr>
                <w:p w14:paraId="6E828FDB">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孝妇河</w:t>
                  </w:r>
                </w:p>
              </w:tc>
              <w:tc>
                <w:tcPr>
                  <w:tcW w:w="1222" w:type="pct"/>
                  <w:tcBorders>
                    <w:top w:val="single" w:color="auto" w:sz="4" w:space="0"/>
                    <w:left w:val="single" w:color="auto" w:sz="4" w:space="0"/>
                    <w:bottom w:val="single" w:color="auto" w:sz="4" w:space="0"/>
                    <w:right w:val="single" w:color="auto" w:sz="4" w:space="0"/>
                  </w:tcBorders>
                  <w:vAlign w:val="center"/>
                </w:tcPr>
                <w:p w14:paraId="24FD4C23">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《地表水环境质量标准》（GB3838-2002）</w:t>
                  </w:r>
                  <w:r>
                    <w:rPr>
                      <w:rFonts w:hint="default" w:ascii="Times New Roman" w:hAnsi="Times New Roman" w:cs="Times New Roman"/>
                      <w:kern w:val="0"/>
                      <w:sz w:val="18"/>
                      <w:szCs w:val="18"/>
                    </w:rPr>
                    <w:t>V</w:t>
                  </w:r>
                  <w:r>
                    <w:rPr>
                      <w:rFonts w:hint="default" w:ascii="Times New Roman" w:hAnsi="Times New Roman" w:cs="Times New Roman"/>
                      <w:sz w:val="18"/>
                      <w:szCs w:val="18"/>
                    </w:rPr>
                    <w:t>类标准</w:t>
                  </w:r>
                </w:p>
              </w:tc>
              <w:tc>
                <w:tcPr>
                  <w:tcW w:w="665" w:type="pct"/>
                  <w:tcBorders>
                    <w:top w:val="single" w:color="auto" w:sz="4" w:space="0"/>
                    <w:left w:val="single" w:color="auto" w:sz="4" w:space="0"/>
                    <w:bottom w:val="single" w:color="auto" w:sz="4" w:space="0"/>
                    <w:right w:val="single" w:color="auto" w:sz="4" w:space="0"/>
                  </w:tcBorders>
                  <w:vAlign w:val="center"/>
                </w:tcPr>
                <w:p w14:paraId="3CC9B08B">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E</w:t>
                  </w:r>
                </w:p>
              </w:tc>
              <w:tc>
                <w:tcPr>
                  <w:tcW w:w="951" w:type="pct"/>
                  <w:tcBorders>
                    <w:top w:val="single" w:color="auto" w:sz="4" w:space="0"/>
                    <w:left w:val="single" w:color="auto" w:sz="4" w:space="0"/>
                    <w:bottom w:val="single" w:color="auto" w:sz="4" w:space="0"/>
                    <w:right w:val="single" w:color="auto" w:sz="4" w:space="0"/>
                  </w:tcBorders>
                  <w:vAlign w:val="center"/>
                </w:tcPr>
                <w:p w14:paraId="6CEA293B">
                  <w:pPr>
                    <w:pStyle w:val="1266"/>
                    <w:adjustRightInd w:val="0"/>
                    <w:snapToGrid w:val="0"/>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3</w:t>
                  </w:r>
                  <w:r>
                    <w:rPr>
                      <w:rFonts w:hint="eastAsia" w:ascii="Times New Roman" w:hAnsi="Times New Roman" w:cs="Times New Roman"/>
                      <w:sz w:val="18"/>
                      <w:szCs w:val="18"/>
                      <w:lang w:val="en-US" w:eastAsia="zh-CN"/>
                    </w:rPr>
                    <w:t>050</w:t>
                  </w:r>
                </w:p>
              </w:tc>
            </w:tr>
            <w:tr w14:paraId="12954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tcBorders>
                    <w:top w:val="single" w:color="auto" w:sz="4" w:space="0"/>
                    <w:left w:val="single" w:color="auto" w:sz="4" w:space="0"/>
                    <w:bottom w:val="single" w:color="auto" w:sz="4" w:space="0"/>
                    <w:right w:val="single" w:color="auto" w:sz="4" w:space="0"/>
                  </w:tcBorders>
                  <w:vAlign w:val="center"/>
                </w:tcPr>
                <w:p w14:paraId="47891BDE">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地下水</w:t>
                  </w:r>
                </w:p>
              </w:tc>
              <w:tc>
                <w:tcPr>
                  <w:tcW w:w="4312" w:type="pct"/>
                  <w:gridSpan w:val="4"/>
                  <w:tcBorders>
                    <w:top w:val="single" w:color="auto" w:sz="4" w:space="0"/>
                    <w:left w:val="single" w:color="auto" w:sz="4" w:space="0"/>
                    <w:bottom w:val="single" w:color="auto" w:sz="4" w:space="0"/>
                    <w:right w:val="single" w:color="auto" w:sz="4" w:space="0"/>
                  </w:tcBorders>
                  <w:vAlign w:val="center"/>
                </w:tcPr>
                <w:p w14:paraId="4EF9AE0B">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厂界周边500m范围内无地下水集中式饮用水水源和热水、矿泉水、温泉等特殊地下水资源。</w:t>
                  </w:r>
                </w:p>
              </w:tc>
            </w:tr>
            <w:tr w14:paraId="10504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7" w:type="pct"/>
                  <w:tcBorders>
                    <w:top w:val="single" w:color="auto" w:sz="4" w:space="0"/>
                    <w:left w:val="single" w:color="auto" w:sz="4" w:space="0"/>
                    <w:bottom w:val="single" w:color="auto" w:sz="4" w:space="0"/>
                    <w:right w:val="single" w:color="auto" w:sz="4" w:space="0"/>
                  </w:tcBorders>
                  <w:vAlign w:val="center"/>
                </w:tcPr>
                <w:p w14:paraId="65FD0ABF">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生态</w:t>
                  </w:r>
                </w:p>
              </w:tc>
              <w:tc>
                <w:tcPr>
                  <w:tcW w:w="4312" w:type="pct"/>
                  <w:gridSpan w:val="4"/>
                  <w:tcBorders>
                    <w:top w:val="single" w:color="auto" w:sz="4" w:space="0"/>
                    <w:left w:val="single" w:color="auto" w:sz="4" w:space="0"/>
                    <w:bottom w:val="single" w:color="auto" w:sz="4" w:space="0"/>
                    <w:right w:val="single" w:color="auto" w:sz="4" w:space="0"/>
                  </w:tcBorders>
                  <w:vAlign w:val="center"/>
                </w:tcPr>
                <w:p w14:paraId="77078203">
                  <w:pPr>
                    <w:pStyle w:val="1266"/>
                    <w:adjustRightInd w:val="0"/>
                    <w:snapToGrid w:val="0"/>
                    <w:jc w:val="center"/>
                    <w:rPr>
                      <w:rFonts w:hint="default" w:ascii="Times New Roman" w:hAnsi="Times New Roman" w:cs="Times New Roman"/>
                      <w:sz w:val="18"/>
                      <w:szCs w:val="18"/>
                    </w:rPr>
                  </w:pPr>
                  <w:r>
                    <w:rPr>
                      <w:rFonts w:hint="default" w:ascii="Times New Roman" w:hAnsi="Times New Roman" w:cs="Times New Roman"/>
                      <w:sz w:val="18"/>
                      <w:szCs w:val="18"/>
                    </w:rPr>
                    <w:t>项目用地范围内无生态环境保护目标</w:t>
                  </w:r>
                </w:p>
              </w:tc>
            </w:tr>
          </w:tbl>
          <w:p w14:paraId="727E6FAA">
            <w:pPr>
              <w:pStyle w:val="2"/>
              <w:rPr>
                <w:color w:val="FF0000"/>
              </w:rPr>
            </w:pPr>
          </w:p>
        </w:tc>
      </w:tr>
      <w:tr w14:paraId="372CAB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34" w:hRule="atLeast"/>
          <w:jc w:val="center"/>
        </w:trPr>
        <w:tc>
          <w:tcPr>
            <w:tcW w:w="800" w:type="dxa"/>
            <w:tcMar>
              <w:left w:w="28" w:type="dxa"/>
              <w:right w:w="28" w:type="dxa"/>
            </w:tcMar>
            <w:vAlign w:val="center"/>
          </w:tcPr>
          <w:p w14:paraId="55985E5A">
            <w:pPr>
              <w:adjustRightInd w:val="0"/>
              <w:snapToGrid w:val="0"/>
              <w:spacing w:line="420" w:lineRule="exact"/>
              <w:jc w:val="center"/>
              <w:rPr>
                <w:kern w:val="0"/>
              </w:rPr>
            </w:pPr>
            <w:r>
              <w:rPr>
                <w:kern w:val="0"/>
              </w:rPr>
              <w:t>污染</w:t>
            </w:r>
          </w:p>
          <w:p w14:paraId="16CD933B">
            <w:pPr>
              <w:adjustRightInd w:val="0"/>
              <w:snapToGrid w:val="0"/>
              <w:spacing w:line="420" w:lineRule="exact"/>
              <w:jc w:val="center"/>
              <w:rPr>
                <w:kern w:val="0"/>
              </w:rPr>
            </w:pPr>
            <w:r>
              <w:rPr>
                <w:kern w:val="0"/>
              </w:rPr>
              <w:t>物排</w:t>
            </w:r>
          </w:p>
          <w:p w14:paraId="1E2BF68D">
            <w:pPr>
              <w:adjustRightInd w:val="0"/>
              <w:snapToGrid w:val="0"/>
              <w:spacing w:line="420" w:lineRule="exact"/>
              <w:jc w:val="center"/>
              <w:rPr>
                <w:kern w:val="0"/>
              </w:rPr>
            </w:pPr>
            <w:r>
              <w:rPr>
                <w:kern w:val="0"/>
              </w:rPr>
              <w:t>放控</w:t>
            </w:r>
          </w:p>
          <w:p w14:paraId="04034F13">
            <w:pPr>
              <w:adjustRightInd w:val="0"/>
              <w:snapToGrid w:val="0"/>
              <w:spacing w:line="420" w:lineRule="exact"/>
              <w:jc w:val="center"/>
              <w:rPr>
                <w:kern w:val="0"/>
              </w:rPr>
            </w:pPr>
            <w:r>
              <w:rPr>
                <w:kern w:val="0"/>
              </w:rPr>
              <w:t>制标</w:t>
            </w:r>
          </w:p>
          <w:p w14:paraId="67C42E43">
            <w:pPr>
              <w:adjustRightInd w:val="0"/>
              <w:snapToGrid w:val="0"/>
              <w:spacing w:line="420" w:lineRule="exact"/>
              <w:jc w:val="center"/>
              <w:rPr>
                <w:kern w:val="0"/>
              </w:rPr>
            </w:pPr>
            <w:r>
              <w:rPr>
                <w:kern w:val="0"/>
              </w:rPr>
              <w:t>准</w:t>
            </w:r>
          </w:p>
        </w:tc>
        <w:tc>
          <w:tcPr>
            <w:tcW w:w="8190" w:type="dxa"/>
            <w:vAlign w:val="center"/>
          </w:tcPr>
          <w:p w14:paraId="7E87C10E">
            <w:pPr>
              <w:pStyle w:val="1041"/>
              <w:spacing w:line="420" w:lineRule="exact"/>
              <w:ind w:left="-96" w:firstLine="422"/>
              <w:rPr>
                <w:b/>
                <w:szCs w:val="21"/>
              </w:rPr>
            </w:pPr>
            <w:r>
              <w:rPr>
                <w:b/>
                <w:szCs w:val="21"/>
              </w:rPr>
              <w:t>1、噪声</w:t>
            </w:r>
          </w:p>
          <w:p w14:paraId="48DF1A2E">
            <w:pPr>
              <w:spacing w:line="360" w:lineRule="auto"/>
              <w:ind w:firstLine="420" w:firstLineChars="200"/>
            </w:pPr>
            <w:r>
              <w:t>营运期噪声执行《工业企业厂界环境噪声排放标准》（GB12348-2008）2类标准，具体标准值见表3-</w:t>
            </w:r>
            <w:r>
              <w:rPr>
                <w:rFonts w:hint="eastAsia"/>
                <w:lang w:val="en-US" w:eastAsia="zh-CN"/>
              </w:rPr>
              <w:t>4</w:t>
            </w:r>
            <w:r>
              <w:t>。</w:t>
            </w:r>
          </w:p>
          <w:p w14:paraId="092088DD">
            <w:pPr>
              <w:spacing w:line="420" w:lineRule="exact"/>
              <w:jc w:val="center"/>
              <w:rPr>
                <w:b/>
              </w:rPr>
            </w:pPr>
            <w:r>
              <w:rPr>
                <w:b/>
              </w:rPr>
              <w:t>表3-</w:t>
            </w:r>
            <w:r>
              <w:rPr>
                <w:rFonts w:hint="eastAsia"/>
                <w:b/>
                <w:lang w:val="en-US" w:eastAsia="zh-CN"/>
              </w:rPr>
              <w:t>4</w:t>
            </w:r>
            <w:r>
              <w:rPr>
                <w:b/>
              </w:rPr>
              <w:t>工业企业厂界环境噪声排放标准       单位：</w:t>
            </w:r>
            <w:r>
              <w:rPr>
                <w:b/>
                <w:bCs/>
              </w:rPr>
              <w:t>dB（A）</w:t>
            </w:r>
          </w:p>
          <w:tbl>
            <w:tblPr>
              <w:tblStyle w:val="81"/>
              <w:tblW w:w="0" w:type="auto"/>
              <w:jc w:val="center"/>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Layout w:type="autofit"/>
              <w:tblCellMar>
                <w:top w:w="0" w:type="dxa"/>
                <w:left w:w="108" w:type="dxa"/>
                <w:bottom w:w="0" w:type="dxa"/>
                <w:right w:w="108" w:type="dxa"/>
              </w:tblCellMar>
            </w:tblPr>
            <w:tblGrid>
              <w:gridCol w:w="1289"/>
              <w:gridCol w:w="1218"/>
              <w:gridCol w:w="1293"/>
              <w:gridCol w:w="4084"/>
            </w:tblGrid>
            <w:tr w14:paraId="73384DAE">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279" w:hRule="atLeast"/>
                <w:jc w:val="center"/>
              </w:trPr>
              <w:tc>
                <w:tcPr>
                  <w:tcW w:w="1289" w:type="dxa"/>
                  <w:vAlign w:val="center"/>
                </w:tcPr>
                <w:p w14:paraId="278C3B3E">
                  <w:pPr>
                    <w:spacing w:line="420" w:lineRule="exact"/>
                    <w:jc w:val="center"/>
                    <w:rPr>
                      <w:b/>
                      <w:bCs/>
                      <w:sz w:val="18"/>
                      <w:szCs w:val="18"/>
                    </w:rPr>
                  </w:pPr>
                  <w:r>
                    <w:rPr>
                      <w:b/>
                      <w:bCs/>
                      <w:sz w:val="18"/>
                      <w:szCs w:val="18"/>
                    </w:rPr>
                    <w:t>类别</w:t>
                  </w:r>
                </w:p>
              </w:tc>
              <w:tc>
                <w:tcPr>
                  <w:tcW w:w="1218" w:type="dxa"/>
                  <w:vAlign w:val="center"/>
                </w:tcPr>
                <w:p w14:paraId="5D88CC4F">
                  <w:pPr>
                    <w:spacing w:line="420" w:lineRule="exact"/>
                    <w:jc w:val="center"/>
                    <w:rPr>
                      <w:b/>
                      <w:bCs/>
                      <w:sz w:val="18"/>
                      <w:szCs w:val="18"/>
                    </w:rPr>
                  </w:pPr>
                  <w:r>
                    <w:rPr>
                      <w:b/>
                      <w:bCs/>
                      <w:sz w:val="18"/>
                      <w:szCs w:val="18"/>
                    </w:rPr>
                    <w:t>昼间</w:t>
                  </w:r>
                </w:p>
              </w:tc>
              <w:tc>
                <w:tcPr>
                  <w:tcW w:w="1293" w:type="dxa"/>
                  <w:vAlign w:val="center"/>
                </w:tcPr>
                <w:p w14:paraId="1B25ABD2">
                  <w:pPr>
                    <w:spacing w:line="420" w:lineRule="exact"/>
                    <w:jc w:val="center"/>
                    <w:rPr>
                      <w:b/>
                      <w:bCs/>
                      <w:sz w:val="18"/>
                      <w:szCs w:val="18"/>
                    </w:rPr>
                  </w:pPr>
                  <w:r>
                    <w:rPr>
                      <w:b/>
                      <w:bCs/>
                      <w:sz w:val="18"/>
                      <w:szCs w:val="18"/>
                    </w:rPr>
                    <w:t>夜间</w:t>
                  </w:r>
                </w:p>
              </w:tc>
              <w:tc>
                <w:tcPr>
                  <w:tcW w:w="4084" w:type="dxa"/>
                  <w:vAlign w:val="center"/>
                </w:tcPr>
                <w:p w14:paraId="231CACA5">
                  <w:pPr>
                    <w:spacing w:line="420" w:lineRule="exact"/>
                    <w:jc w:val="center"/>
                    <w:rPr>
                      <w:b/>
                      <w:bCs/>
                      <w:sz w:val="18"/>
                      <w:szCs w:val="18"/>
                    </w:rPr>
                  </w:pPr>
                  <w:r>
                    <w:rPr>
                      <w:b/>
                      <w:bCs/>
                      <w:sz w:val="18"/>
                      <w:szCs w:val="18"/>
                    </w:rPr>
                    <w:t>标准来源</w:t>
                  </w:r>
                </w:p>
              </w:tc>
            </w:tr>
            <w:tr w14:paraId="247EFDDA">
              <w:tblPrEx>
                <w:tblBorders>
                  <w:top w:val="single" w:color="auto" w:sz="2" w:space="0"/>
                  <w:left w:val="single" w:color="auto" w:sz="4" w:space="0"/>
                  <w:bottom w:val="single" w:color="auto" w:sz="2"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397" w:hRule="atLeast"/>
                <w:jc w:val="center"/>
              </w:trPr>
              <w:tc>
                <w:tcPr>
                  <w:tcW w:w="1289" w:type="dxa"/>
                  <w:vAlign w:val="center"/>
                </w:tcPr>
                <w:p w14:paraId="24C2CAAC">
                  <w:pPr>
                    <w:spacing w:line="420" w:lineRule="exact"/>
                    <w:jc w:val="center"/>
                    <w:rPr>
                      <w:bCs/>
                      <w:sz w:val="18"/>
                      <w:szCs w:val="18"/>
                    </w:rPr>
                  </w:pPr>
                  <w:r>
                    <w:rPr>
                      <w:bCs/>
                      <w:sz w:val="18"/>
                      <w:szCs w:val="18"/>
                    </w:rPr>
                    <w:t>2</w:t>
                  </w:r>
                </w:p>
              </w:tc>
              <w:tc>
                <w:tcPr>
                  <w:tcW w:w="1218" w:type="dxa"/>
                  <w:vAlign w:val="center"/>
                </w:tcPr>
                <w:p w14:paraId="25D2C1E5">
                  <w:pPr>
                    <w:spacing w:line="420" w:lineRule="exact"/>
                    <w:jc w:val="center"/>
                    <w:rPr>
                      <w:bCs/>
                      <w:sz w:val="18"/>
                      <w:szCs w:val="18"/>
                    </w:rPr>
                  </w:pPr>
                  <w:r>
                    <w:rPr>
                      <w:bCs/>
                      <w:sz w:val="18"/>
                      <w:szCs w:val="18"/>
                    </w:rPr>
                    <w:t>60</w:t>
                  </w:r>
                </w:p>
              </w:tc>
              <w:tc>
                <w:tcPr>
                  <w:tcW w:w="1293" w:type="dxa"/>
                  <w:vAlign w:val="center"/>
                </w:tcPr>
                <w:p w14:paraId="4DAEEA32">
                  <w:pPr>
                    <w:spacing w:line="420" w:lineRule="exact"/>
                    <w:jc w:val="center"/>
                    <w:rPr>
                      <w:bCs/>
                      <w:sz w:val="18"/>
                      <w:szCs w:val="18"/>
                    </w:rPr>
                  </w:pPr>
                  <w:r>
                    <w:rPr>
                      <w:bCs/>
                      <w:sz w:val="18"/>
                      <w:szCs w:val="18"/>
                    </w:rPr>
                    <w:t>50</w:t>
                  </w:r>
                </w:p>
              </w:tc>
              <w:tc>
                <w:tcPr>
                  <w:tcW w:w="4084" w:type="dxa"/>
                  <w:vAlign w:val="center"/>
                </w:tcPr>
                <w:p w14:paraId="20D7BB6D">
                  <w:pPr>
                    <w:spacing w:line="420" w:lineRule="exact"/>
                    <w:jc w:val="center"/>
                    <w:rPr>
                      <w:bCs/>
                      <w:sz w:val="18"/>
                      <w:szCs w:val="18"/>
                    </w:rPr>
                  </w:pPr>
                  <w:r>
                    <w:rPr>
                      <w:sz w:val="18"/>
                      <w:szCs w:val="18"/>
                    </w:rPr>
                    <w:t>（GB12348-2008）</w:t>
                  </w:r>
                  <w:r>
                    <w:rPr>
                      <w:bCs/>
                      <w:sz w:val="18"/>
                      <w:szCs w:val="18"/>
                    </w:rPr>
                    <w:t>2</w:t>
                  </w:r>
                  <w:r>
                    <w:rPr>
                      <w:sz w:val="18"/>
                      <w:szCs w:val="18"/>
                    </w:rPr>
                    <w:t>类标准</w:t>
                  </w:r>
                </w:p>
              </w:tc>
            </w:tr>
          </w:tbl>
          <w:p w14:paraId="27F1473B">
            <w:pPr>
              <w:autoSpaceDE w:val="0"/>
              <w:autoSpaceDN w:val="0"/>
              <w:adjustRightInd w:val="0"/>
              <w:spacing w:line="360" w:lineRule="auto"/>
              <w:ind w:firstLine="422" w:firstLineChars="200"/>
              <w:rPr>
                <w:b/>
              </w:rPr>
            </w:pPr>
            <w:r>
              <w:rPr>
                <w:b/>
              </w:rPr>
              <w:t>2、废气</w:t>
            </w:r>
          </w:p>
          <w:p w14:paraId="0E95D457">
            <w:pPr>
              <w:keepNext w:val="0"/>
              <w:keepLines w:val="0"/>
              <w:widowControl/>
              <w:suppressLineNumbers w:val="0"/>
              <w:spacing w:line="360" w:lineRule="auto"/>
              <w:ind w:firstLine="420" w:firstLineChars="200"/>
              <w:jc w:val="both"/>
              <w:rPr>
                <w:sz w:val="21"/>
                <w:szCs w:val="21"/>
              </w:rPr>
            </w:pPr>
            <w:r>
              <w:rPr>
                <w:rFonts w:hint="default" w:ascii="Times New Roman" w:hAnsi="Times New Roman" w:cs="Times New Roman"/>
                <w:sz w:val="21"/>
                <w:szCs w:val="21"/>
              </w:rPr>
              <w:t>本项目</w:t>
            </w:r>
            <w:r>
              <w:rPr>
                <w:sz w:val="21"/>
                <w:szCs w:val="21"/>
              </w:rPr>
              <w:t>营运期</w:t>
            </w:r>
            <w:r>
              <w:rPr>
                <w:rFonts w:hint="eastAsia"/>
                <w:sz w:val="21"/>
                <w:szCs w:val="21"/>
                <w:lang w:val="en-US" w:eastAsia="zh-CN"/>
              </w:rPr>
              <w:t>DA001排气筒</w:t>
            </w:r>
            <w:r>
              <w:rPr>
                <w:rFonts w:hint="default" w:ascii="Times New Roman" w:hAnsi="Times New Roman" w:cs="Times New Roman"/>
                <w:sz w:val="21"/>
                <w:szCs w:val="21"/>
              </w:rPr>
              <w:t>有组织VOCs</w:t>
            </w:r>
            <w:r>
              <w:rPr>
                <w:rFonts w:hint="eastAsia" w:cs="Times New Roman"/>
                <w:sz w:val="21"/>
                <w:szCs w:val="21"/>
                <w:lang w:eastAsia="zh-CN"/>
              </w:rPr>
              <w:t>、苯乙烯</w:t>
            </w:r>
            <w:r>
              <w:rPr>
                <w:rFonts w:hint="eastAsia" w:ascii="Times New Roman" w:hAnsi="Times New Roman" w:cs="Times New Roman"/>
                <w:sz w:val="21"/>
                <w:szCs w:val="21"/>
                <w:lang w:eastAsia="zh-CN"/>
              </w:rPr>
              <w:t>排放</w:t>
            </w:r>
            <w:r>
              <w:rPr>
                <w:rFonts w:hint="default" w:ascii="Times New Roman" w:hAnsi="Times New Roman" w:cs="Times New Roman"/>
                <w:sz w:val="21"/>
                <w:szCs w:val="21"/>
                <w:highlight w:val="none"/>
              </w:rPr>
              <w:t>执行《挥发性有机物排放标准 第</w:t>
            </w:r>
            <w:r>
              <w:rPr>
                <w:rFonts w:hint="default"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部分：</w:t>
            </w:r>
            <w:r>
              <w:rPr>
                <w:rFonts w:hint="default" w:ascii="Times New Roman" w:hAnsi="Times New Roman" w:cs="Times New Roman"/>
                <w:sz w:val="21"/>
                <w:szCs w:val="21"/>
                <w:highlight w:val="none"/>
                <w:lang w:eastAsia="zh-CN"/>
              </w:rPr>
              <w:t>表面涂装</w:t>
            </w:r>
            <w:r>
              <w:rPr>
                <w:rFonts w:hint="default" w:ascii="Times New Roman" w:hAnsi="Times New Roman" w:cs="Times New Roman"/>
                <w:sz w:val="21"/>
                <w:szCs w:val="21"/>
                <w:highlight w:val="none"/>
              </w:rPr>
              <w:t>行业》（DB37/2801.</w:t>
            </w:r>
            <w:r>
              <w:rPr>
                <w:rFonts w:hint="default"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-201</w:t>
            </w:r>
            <w:r>
              <w:rPr>
                <w:rFonts w:hint="default" w:ascii="Times New Roman" w:hAnsi="Times New Roman" w:cs="Times New Roman"/>
                <w:sz w:val="21"/>
                <w:szCs w:val="21"/>
                <w:highlight w:val="none"/>
                <w:lang w:val="en-US" w:eastAsia="zh-CN"/>
              </w:rPr>
              <w:t>8</w:t>
            </w:r>
            <w:r>
              <w:rPr>
                <w:rFonts w:hint="default" w:ascii="Times New Roman" w:hAnsi="Times New Roman" w:cs="Times New Roman"/>
                <w:sz w:val="21"/>
                <w:szCs w:val="21"/>
                <w:highlight w:val="none"/>
              </w:rPr>
              <w:t>）表</w:t>
            </w:r>
            <w:r>
              <w:rPr>
                <w:rFonts w:hint="default" w:ascii="Times New Roman" w:hAnsi="Times New Roman" w:cs="Times New Roman"/>
                <w:sz w:val="21"/>
                <w:szCs w:val="21"/>
                <w:highlight w:val="none"/>
                <w:lang w:val="en-US" w:eastAsia="zh-CN"/>
              </w:rPr>
              <w:t>2</w:t>
            </w:r>
            <w:r>
              <w:rPr>
                <w:rFonts w:hint="eastAsia" w:ascii="宋体" w:hAnsi="宋体" w:eastAsia="宋体" w:cs="宋体"/>
                <w:color w:val="000000"/>
                <w:kern w:val="0"/>
                <w:sz w:val="21"/>
                <w:szCs w:val="21"/>
                <w:highlight w:val="none"/>
                <w:lang w:val="en-US" w:eastAsia="zh-CN" w:bidi="ar"/>
              </w:rPr>
              <w:t>通用设备制造业</w:t>
            </w:r>
            <w:r>
              <w:rPr>
                <w:rFonts w:hint="eastAsia" w:ascii="Times New Roman" w:hAnsi="Times New Roman" w:cs="Times New Roman"/>
                <w:sz w:val="21"/>
                <w:szCs w:val="21"/>
                <w:highlight w:val="none"/>
                <w:lang w:val="en-US" w:eastAsia="zh-CN"/>
              </w:rPr>
              <w:t>（C34）</w:t>
            </w:r>
            <w:r>
              <w:rPr>
                <w:rFonts w:hint="default" w:ascii="Times New Roman" w:hAnsi="Times New Roman" w:cs="Times New Roman"/>
                <w:sz w:val="21"/>
                <w:szCs w:val="21"/>
                <w:highlight w:val="none"/>
              </w:rPr>
              <w:t>VOCs排放限值</w:t>
            </w:r>
            <w:r>
              <w:rPr>
                <w:rFonts w:hint="eastAsia" w:cs="Times New Roman"/>
                <w:sz w:val="21"/>
                <w:szCs w:val="21"/>
                <w:highlight w:val="none"/>
                <w:lang w:eastAsia="zh-CN"/>
              </w:rPr>
              <w:t>，也执行</w:t>
            </w:r>
            <w:r>
              <w:rPr>
                <w:rFonts w:hint="eastAsia" w:eastAsiaTheme="minorEastAsia"/>
                <w:sz w:val="21"/>
                <w:szCs w:val="21"/>
                <w:highlight w:val="none"/>
                <w:lang w:val="en-US" w:eastAsia="zh-CN"/>
              </w:rPr>
              <w:t>《</w:t>
            </w:r>
            <w:r>
              <w:rPr>
                <w:rFonts w:hint="eastAsia" w:ascii="Times New Roman" w:hAnsi="Times New Roman" w:cs="Times New Roman" w:eastAsiaTheme="minorEastAsia"/>
                <w:sz w:val="21"/>
                <w:szCs w:val="21"/>
                <w:highlight w:val="none"/>
                <w:lang w:val="en-US" w:eastAsia="zh-CN"/>
              </w:rPr>
              <w:t>挥发性有机物排放标</w:t>
            </w:r>
            <w:r>
              <w:rPr>
                <w:rFonts w:hint="eastAsia" w:ascii="Times New Roman" w:hAnsi="Times New Roman" w:cs="Times New Roman" w:eastAsiaTheme="minorEastAsia"/>
                <w:sz w:val="21"/>
                <w:szCs w:val="21"/>
                <w:lang w:val="en-US" w:eastAsia="zh-CN"/>
              </w:rPr>
              <w:t>准 第 6 部分：有机化工行业》（</w:t>
            </w:r>
            <w:r>
              <w:rPr>
                <w:rFonts w:hint="default" w:ascii="Times New Roman" w:hAnsi="Times New Roman" w:cs="Times New Roman" w:eastAsiaTheme="minorEastAsia"/>
                <w:sz w:val="21"/>
                <w:szCs w:val="21"/>
                <w:lang w:val="en-US" w:eastAsia="zh-CN"/>
              </w:rPr>
              <w:t>D</w:t>
            </w:r>
            <w:r>
              <w:rPr>
                <w:rFonts w:hint="default" w:ascii="Times New Roman" w:hAnsi="Times New Roman" w:cs="Times New Roman"/>
                <w:sz w:val="21"/>
                <w:szCs w:val="21"/>
              </w:rPr>
              <w:t>B37/2801.</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eastAsia" w:eastAsiaTheme="minorEastAsia"/>
                <w:sz w:val="21"/>
                <w:szCs w:val="21"/>
                <w:lang w:val="en-US" w:eastAsia="zh-CN"/>
              </w:rPr>
              <w:t>）表1其他行业VOCs排放限值及表2中苯乙烯排放限值，有组织臭气浓度排放执行《恶臭污染物排放标准》（GB14554-1993）中表1中“二级-新改扩建”排放限值要求</w:t>
            </w:r>
            <w:r>
              <w:rPr>
                <w:rFonts w:hint="default" w:ascii="Times New Roman" w:hAnsi="Times New Roman" w:cs="Times New Roman"/>
                <w:sz w:val="21"/>
                <w:szCs w:val="21"/>
              </w:rPr>
              <w:t>。</w:t>
            </w:r>
            <w:r>
              <w:rPr>
                <w:rFonts w:hint="eastAsia" w:cs="Times New Roman"/>
                <w:sz w:val="21"/>
                <w:szCs w:val="21"/>
                <w:lang w:val="en-US" w:eastAsia="zh-CN"/>
              </w:rPr>
              <w:t>DA001、DA002排气筒</w:t>
            </w:r>
            <w:r>
              <w:rPr>
                <w:rFonts w:hint="eastAsia" w:ascii="Times New Roman" w:hAnsi="Times New Roman" w:cs="Times New Roman"/>
                <w:sz w:val="21"/>
                <w:szCs w:val="21"/>
                <w:lang w:eastAsia="zh-CN"/>
              </w:rPr>
              <w:t>有组织颗粒物排放执行</w:t>
            </w:r>
            <w:r>
              <w:rPr>
                <w:rFonts w:hint="default" w:ascii="Times New Roman" w:hAnsi="Times New Roman" w:cs="Times New Roman"/>
                <w:sz w:val="21"/>
                <w:szCs w:val="21"/>
              </w:rPr>
              <w:t>《区域性大气污染物综合排放标准》（DB37/2376-2019）表1中“重点控制区”标准限值</w:t>
            </w:r>
            <w:r>
              <w:rPr>
                <w:rFonts w:eastAsiaTheme="minorEastAsia"/>
                <w:sz w:val="21"/>
                <w:szCs w:val="21"/>
              </w:rPr>
              <w:t>；</w:t>
            </w:r>
            <w:r>
              <w:rPr>
                <w:rFonts w:hint="eastAsia" w:eastAsiaTheme="minorEastAsia"/>
                <w:sz w:val="21"/>
                <w:szCs w:val="21"/>
                <w:lang w:val="en-US" w:eastAsia="zh-CN"/>
              </w:rPr>
              <w:t>无组织</w:t>
            </w:r>
            <w:r>
              <w:rPr>
                <w:rFonts w:eastAsiaTheme="minorEastAsia"/>
                <w:sz w:val="21"/>
                <w:szCs w:val="21"/>
              </w:rPr>
              <w:t>颗粒物排放执行</w:t>
            </w:r>
            <w:r>
              <w:rPr>
                <w:rFonts w:hint="eastAsia" w:cs="Times New Roman"/>
                <w:szCs w:val="21"/>
                <w:lang w:eastAsia="zh-CN"/>
              </w:rPr>
              <w:t>《大气污染物综合排放标准》（</w:t>
            </w:r>
            <w:r>
              <w:rPr>
                <w:rFonts w:hint="eastAsia" w:cs="Times New Roman"/>
                <w:szCs w:val="21"/>
                <w:lang w:val="en-US" w:eastAsia="zh-CN"/>
              </w:rPr>
              <w:t>GB16297-1996</w:t>
            </w:r>
            <w:r>
              <w:rPr>
                <w:rFonts w:hint="eastAsia" w:cs="Times New Roman"/>
                <w:szCs w:val="21"/>
                <w:lang w:eastAsia="zh-CN"/>
              </w:rPr>
              <w:t>）表</w:t>
            </w:r>
            <w:r>
              <w:rPr>
                <w:rFonts w:hint="eastAsia" w:cs="Times New Roman"/>
                <w:szCs w:val="21"/>
                <w:lang w:val="en-US" w:eastAsia="zh-CN"/>
              </w:rPr>
              <w:t>2厂界监控点浓度限值，无组织VOCs排放执行</w:t>
            </w:r>
            <w:r>
              <w:rPr>
                <w:rFonts w:hint="eastAsia" w:eastAsiaTheme="minorEastAsia"/>
                <w:sz w:val="21"/>
                <w:szCs w:val="21"/>
                <w:lang w:val="en-US" w:eastAsia="zh-CN"/>
              </w:rPr>
              <w:t>《</w:t>
            </w:r>
            <w:r>
              <w:rPr>
                <w:rFonts w:hint="eastAsia" w:ascii="Times New Roman" w:hAnsi="Times New Roman" w:cs="Times New Roman" w:eastAsiaTheme="minorEastAsia"/>
                <w:sz w:val="21"/>
                <w:szCs w:val="21"/>
                <w:lang w:val="en-US" w:eastAsia="zh-CN"/>
              </w:rPr>
              <w:t>挥发性有机物排放标准 第 6 部分：有机化工行业》（</w:t>
            </w:r>
            <w:r>
              <w:rPr>
                <w:rFonts w:hint="default" w:ascii="Times New Roman" w:hAnsi="Times New Roman" w:cs="Times New Roman" w:eastAsiaTheme="minorEastAsia"/>
                <w:sz w:val="21"/>
                <w:szCs w:val="21"/>
                <w:lang w:val="en-US" w:eastAsia="zh-CN"/>
              </w:rPr>
              <w:t>D</w:t>
            </w:r>
            <w:r>
              <w:rPr>
                <w:rFonts w:hint="default" w:ascii="Times New Roman" w:hAnsi="Times New Roman" w:cs="Times New Roman"/>
                <w:sz w:val="21"/>
                <w:szCs w:val="21"/>
              </w:rPr>
              <w:t>B37/2801.</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eastAsia" w:eastAsiaTheme="minorEastAsia"/>
                <w:sz w:val="21"/>
                <w:szCs w:val="21"/>
                <w:lang w:val="en-US" w:eastAsia="zh-CN"/>
              </w:rPr>
              <w:t>）表3中厂界VOCs排放浓度限值，无组织苯乙烯、臭气浓度排放执行《恶臭污染物排放标准》（GB14554-1993）中表1中“二级-新改扩建”排放限值要求；</w:t>
            </w:r>
            <w:r>
              <w:rPr>
                <w:color w:val="auto"/>
              </w:rPr>
              <w:t>厂区内无组织VOCs浓度执行《挥发性有机物无组织排放控制标准》（GB37822-2019）中的控制标准及附录A中厂区内</w:t>
            </w:r>
            <w:r>
              <w:rPr>
                <w:rFonts w:hint="eastAsia"/>
                <w:color w:val="auto"/>
              </w:rPr>
              <w:t>N</w:t>
            </w:r>
            <w:r>
              <w:rPr>
                <w:color w:val="auto"/>
              </w:rPr>
              <w:t>MHC排放浓度（监控点处1h平均浓度值6mg/m</w:t>
            </w:r>
            <w:r>
              <w:rPr>
                <w:color w:val="auto"/>
                <w:vertAlign w:val="superscript"/>
              </w:rPr>
              <w:t>3</w:t>
            </w:r>
            <w:r>
              <w:rPr>
                <w:color w:val="auto"/>
              </w:rPr>
              <w:t>、监控点处任意一次浓度值20mg/m</w:t>
            </w:r>
            <w:r>
              <w:rPr>
                <w:color w:val="auto"/>
                <w:vertAlign w:val="superscript"/>
              </w:rPr>
              <w:t>3</w:t>
            </w:r>
            <w:r>
              <w:rPr>
                <w:color w:val="auto"/>
              </w:rPr>
              <w:t>）</w:t>
            </w:r>
            <w:r>
              <w:rPr>
                <w:rFonts w:hint="eastAsia" w:ascii="宋体" w:hAnsi="宋体" w:eastAsia="宋体" w:cs="宋体"/>
                <w:color w:val="000000"/>
                <w:kern w:val="0"/>
                <w:sz w:val="21"/>
                <w:szCs w:val="21"/>
                <w:lang w:val="en-US" w:eastAsia="zh-CN" w:bidi="ar"/>
              </w:rPr>
              <w:t>。</w:t>
            </w:r>
          </w:p>
          <w:p w14:paraId="71CC636C">
            <w:pPr>
              <w:spacing w:line="360" w:lineRule="auto"/>
              <w:ind w:firstLine="422" w:firstLineChars="200"/>
              <w:jc w:val="center"/>
              <w:rPr>
                <w:b/>
              </w:rPr>
            </w:pPr>
            <w:r>
              <w:rPr>
                <w:b/>
              </w:rPr>
              <w:t>表3-</w:t>
            </w:r>
            <w:r>
              <w:rPr>
                <w:rFonts w:hint="eastAsia"/>
                <w:b/>
                <w:lang w:val="en-US" w:eastAsia="zh-CN"/>
              </w:rPr>
              <w:t>5</w:t>
            </w:r>
            <w:r>
              <w:rPr>
                <w:b/>
              </w:rPr>
              <w:t>项目废气排放执行标准</w:t>
            </w:r>
          </w:p>
          <w:tbl>
            <w:tblPr>
              <w:tblStyle w:val="81"/>
              <w:tblW w:w="497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0" w:type="dxa"/>
                <w:bottom w:w="0" w:type="dxa"/>
                <w:right w:w="0" w:type="dxa"/>
              </w:tblCellMar>
            </w:tblPr>
            <w:tblGrid>
              <w:gridCol w:w="2038"/>
              <w:gridCol w:w="1075"/>
              <w:gridCol w:w="811"/>
              <w:gridCol w:w="788"/>
              <w:gridCol w:w="713"/>
              <w:gridCol w:w="1669"/>
              <w:gridCol w:w="830"/>
            </w:tblGrid>
            <w:tr w14:paraId="459FF85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2040" w:type="dxa"/>
                  <w:vMerge w:val="restart"/>
                  <w:vAlign w:val="center"/>
                </w:tcPr>
                <w:p w14:paraId="284509CC">
                  <w:pPr>
                    <w:autoSpaceDE w:val="0"/>
                    <w:autoSpaceDN w:val="0"/>
                    <w:adjustRightInd w:val="0"/>
                    <w:jc w:val="center"/>
                    <w:rPr>
                      <w:rFonts w:hint="eastAsia" w:eastAsia="宋体"/>
                      <w:sz w:val="18"/>
                      <w:szCs w:val="18"/>
                      <w:lang w:eastAsia="zh-CN"/>
                    </w:rPr>
                  </w:pPr>
                  <w:r>
                    <w:rPr>
                      <w:rFonts w:hint="eastAsia"/>
                      <w:sz w:val="18"/>
                      <w:szCs w:val="18"/>
                      <w:lang w:eastAsia="zh-CN"/>
                    </w:rPr>
                    <w:t>产污工序</w:t>
                  </w:r>
                </w:p>
              </w:tc>
              <w:tc>
                <w:tcPr>
                  <w:tcW w:w="1075" w:type="dxa"/>
                  <w:vMerge w:val="restart"/>
                  <w:vAlign w:val="center"/>
                </w:tcPr>
                <w:p w14:paraId="2750CD00">
                  <w:pPr>
                    <w:autoSpaceDE w:val="0"/>
                    <w:autoSpaceDN w:val="0"/>
                    <w:adjustRightInd w:val="0"/>
                    <w:jc w:val="center"/>
                    <w:rPr>
                      <w:sz w:val="18"/>
                      <w:szCs w:val="18"/>
                    </w:rPr>
                  </w:pPr>
                  <w:r>
                    <w:rPr>
                      <w:sz w:val="18"/>
                      <w:szCs w:val="18"/>
                    </w:rPr>
                    <w:t>污染物名称</w:t>
                  </w:r>
                </w:p>
              </w:tc>
              <w:tc>
                <w:tcPr>
                  <w:tcW w:w="811" w:type="dxa"/>
                  <w:vMerge w:val="restart"/>
                  <w:vAlign w:val="center"/>
                </w:tcPr>
                <w:p w14:paraId="2D0E3795">
                  <w:pPr>
                    <w:autoSpaceDE w:val="0"/>
                    <w:autoSpaceDN w:val="0"/>
                    <w:adjustRightInd w:val="0"/>
                    <w:jc w:val="center"/>
                    <w:rPr>
                      <w:sz w:val="18"/>
                      <w:szCs w:val="18"/>
                    </w:rPr>
                  </w:pPr>
                  <w:r>
                    <w:rPr>
                      <w:sz w:val="18"/>
                      <w:szCs w:val="18"/>
                    </w:rPr>
                    <w:t>排放浓度mg/m</w:t>
                  </w:r>
                  <w:r>
                    <w:rPr>
                      <w:sz w:val="18"/>
                      <w:szCs w:val="18"/>
                      <w:vertAlign w:val="superscript"/>
                    </w:rPr>
                    <w:t>3</w:t>
                  </w:r>
                </w:p>
              </w:tc>
              <w:tc>
                <w:tcPr>
                  <w:tcW w:w="1501" w:type="dxa"/>
                  <w:gridSpan w:val="2"/>
                  <w:vAlign w:val="center"/>
                </w:tcPr>
                <w:p w14:paraId="2F3A4ECC">
                  <w:pPr>
                    <w:autoSpaceDE w:val="0"/>
                    <w:autoSpaceDN w:val="0"/>
                    <w:adjustRightInd w:val="0"/>
                    <w:jc w:val="center"/>
                    <w:rPr>
                      <w:sz w:val="18"/>
                      <w:szCs w:val="18"/>
                    </w:rPr>
                  </w:pPr>
                  <w:r>
                    <w:rPr>
                      <w:sz w:val="18"/>
                      <w:szCs w:val="18"/>
                    </w:rPr>
                    <w:t>最高允许排放速率，kg/h</w:t>
                  </w:r>
                </w:p>
              </w:tc>
              <w:tc>
                <w:tcPr>
                  <w:tcW w:w="2499" w:type="dxa"/>
                  <w:gridSpan w:val="2"/>
                  <w:vAlign w:val="center"/>
                </w:tcPr>
                <w:p w14:paraId="397D5DE7">
                  <w:pPr>
                    <w:autoSpaceDE w:val="0"/>
                    <w:autoSpaceDN w:val="0"/>
                    <w:adjustRightInd w:val="0"/>
                    <w:jc w:val="center"/>
                    <w:rPr>
                      <w:sz w:val="18"/>
                      <w:szCs w:val="18"/>
                    </w:rPr>
                  </w:pPr>
                  <w:r>
                    <w:rPr>
                      <w:sz w:val="18"/>
                      <w:szCs w:val="18"/>
                    </w:rPr>
                    <w:t>无组织排放浓度限值</w:t>
                  </w:r>
                </w:p>
              </w:tc>
            </w:tr>
            <w:tr w14:paraId="63AC99E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2040" w:type="dxa"/>
                  <w:vMerge w:val="continue"/>
                  <w:vAlign w:val="center"/>
                </w:tcPr>
                <w:p w14:paraId="2BD07165">
                  <w:pPr>
                    <w:autoSpaceDE w:val="0"/>
                    <w:autoSpaceDN w:val="0"/>
                    <w:adjustRightInd w:val="0"/>
                    <w:jc w:val="center"/>
                    <w:rPr>
                      <w:sz w:val="18"/>
                      <w:szCs w:val="18"/>
                    </w:rPr>
                  </w:pPr>
                </w:p>
              </w:tc>
              <w:tc>
                <w:tcPr>
                  <w:tcW w:w="1075" w:type="dxa"/>
                  <w:vMerge w:val="continue"/>
                  <w:vAlign w:val="center"/>
                </w:tcPr>
                <w:p w14:paraId="26590851">
                  <w:pPr>
                    <w:autoSpaceDE w:val="0"/>
                    <w:autoSpaceDN w:val="0"/>
                    <w:adjustRightInd w:val="0"/>
                    <w:jc w:val="center"/>
                    <w:rPr>
                      <w:sz w:val="18"/>
                      <w:szCs w:val="18"/>
                    </w:rPr>
                  </w:pPr>
                </w:p>
              </w:tc>
              <w:tc>
                <w:tcPr>
                  <w:tcW w:w="811" w:type="dxa"/>
                  <w:vMerge w:val="continue"/>
                  <w:vAlign w:val="center"/>
                </w:tcPr>
                <w:p w14:paraId="32E6A3BF">
                  <w:pPr>
                    <w:autoSpaceDE w:val="0"/>
                    <w:autoSpaceDN w:val="0"/>
                    <w:adjustRightInd w:val="0"/>
                    <w:jc w:val="center"/>
                    <w:rPr>
                      <w:sz w:val="18"/>
                      <w:szCs w:val="18"/>
                    </w:rPr>
                  </w:pPr>
                </w:p>
              </w:tc>
              <w:tc>
                <w:tcPr>
                  <w:tcW w:w="788" w:type="dxa"/>
                  <w:vAlign w:val="center"/>
                </w:tcPr>
                <w:p w14:paraId="71D451FF">
                  <w:pPr>
                    <w:autoSpaceDE w:val="0"/>
                    <w:autoSpaceDN w:val="0"/>
                    <w:adjustRightInd w:val="0"/>
                    <w:jc w:val="center"/>
                    <w:rPr>
                      <w:sz w:val="18"/>
                      <w:szCs w:val="18"/>
                    </w:rPr>
                  </w:pPr>
                  <w:r>
                    <w:rPr>
                      <w:sz w:val="18"/>
                      <w:szCs w:val="18"/>
                    </w:rPr>
                    <w:t>排气筒高度</w:t>
                  </w:r>
                </w:p>
              </w:tc>
              <w:tc>
                <w:tcPr>
                  <w:tcW w:w="713" w:type="dxa"/>
                  <w:vAlign w:val="center"/>
                </w:tcPr>
                <w:p w14:paraId="6E29BF25">
                  <w:pPr>
                    <w:autoSpaceDE w:val="0"/>
                    <w:autoSpaceDN w:val="0"/>
                    <w:adjustRightInd w:val="0"/>
                    <w:jc w:val="center"/>
                    <w:rPr>
                      <w:sz w:val="18"/>
                      <w:szCs w:val="18"/>
                    </w:rPr>
                  </w:pPr>
                  <w:r>
                    <w:rPr>
                      <w:sz w:val="18"/>
                      <w:szCs w:val="18"/>
                    </w:rPr>
                    <w:t>速率限值</w:t>
                  </w:r>
                </w:p>
              </w:tc>
              <w:tc>
                <w:tcPr>
                  <w:tcW w:w="1669" w:type="dxa"/>
                  <w:vAlign w:val="center"/>
                </w:tcPr>
                <w:p w14:paraId="2864C9A7">
                  <w:pPr>
                    <w:autoSpaceDE w:val="0"/>
                    <w:autoSpaceDN w:val="0"/>
                    <w:adjustRightInd w:val="0"/>
                    <w:jc w:val="center"/>
                    <w:rPr>
                      <w:sz w:val="18"/>
                      <w:szCs w:val="18"/>
                    </w:rPr>
                  </w:pPr>
                  <w:r>
                    <w:rPr>
                      <w:sz w:val="18"/>
                      <w:szCs w:val="18"/>
                    </w:rPr>
                    <w:t>监控点</w:t>
                  </w:r>
                </w:p>
              </w:tc>
              <w:tc>
                <w:tcPr>
                  <w:tcW w:w="830" w:type="dxa"/>
                  <w:vAlign w:val="center"/>
                </w:tcPr>
                <w:p w14:paraId="0C616372">
                  <w:pPr>
                    <w:autoSpaceDE w:val="0"/>
                    <w:autoSpaceDN w:val="0"/>
                    <w:adjustRightInd w:val="0"/>
                    <w:jc w:val="center"/>
                    <w:rPr>
                      <w:sz w:val="18"/>
                      <w:szCs w:val="18"/>
                    </w:rPr>
                  </w:pPr>
                  <w:r>
                    <w:rPr>
                      <w:sz w:val="18"/>
                      <w:szCs w:val="18"/>
                    </w:rPr>
                    <w:t>浓度mg/m</w:t>
                  </w:r>
                  <w:r>
                    <w:rPr>
                      <w:sz w:val="18"/>
                      <w:szCs w:val="18"/>
                      <w:vertAlign w:val="superscript"/>
                    </w:rPr>
                    <w:t>3</w:t>
                  </w:r>
                </w:p>
              </w:tc>
            </w:tr>
            <w:tr w14:paraId="403DFA6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2040" w:type="dxa"/>
                  <w:vAlign w:val="center"/>
                </w:tcPr>
                <w:p w14:paraId="6E5BC8DC">
                  <w:pPr>
                    <w:autoSpaceDE w:val="0"/>
                    <w:autoSpaceDN w:val="0"/>
                    <w:adjustRightInd w:val="0"/>
                    <w:jc w:val="center"/>
                    <w:rPr>
                      <w:rFonts w:hint="eastAsia" w:eastAsia="宋体"/>
                      <w:sz w:val="18"/>
                      <w:szCs w:val="18"/>
                      <w:lang w:eastAsia="zh-CN"/>
                    </w:rPr>
                  </w:pPr>
                  <w:r>
                    <w:rPr>
                      <w:rFonts w:hint="eastAsia"/>
                      <w:sz w:val="18"/>
                      <w:szCs w:val="18"/>
                      <w:lang w:eastAsia="zh-CN"/>
                    </w:rPr>
                    <w:t>所有工序</w:t>
                  </w:r>
                </w:p>
              </w:tc>
              <w:tc>
                <w:tcPr>
                  <w:tcW w:w="1075" w:type="dxa"/>
                  <w:vAlign w:val="center"/>
                </w:tcPr>
                <w:p w14:paraId="64C97CB2">
                  <w:pPr>
                    <w:autoSpaceDE w:val="0"/>
                    <w:autoSpaceDN w:val="0"/>
                    <w:adjustRightInd w:val="0"/>
                    <w:jc w:val="center"/>
                    <w:rPr>
                      <w:rFonts w:ascii="Times New Roman" w:hAnsi="Times New Roman" w:eastAsia="宋体" w:cs="Times New Roman"/>
                      <w:kern w:val="2"/>
                      <w:sz w:val="18"/>
                      <w:szCs w:val="18"/>
                      <w:lang w:val="en-US" w:eastAsia="zh-CN" w:bidi="ar-SA"/>
                    </w:rPr>
                  </w:pPr>
                  <w:r>
                    <w:rPr>
                      <w:sz w:val="18"/>
                      <w:szCs w:val="18"/>
                    </w:rPr>
                    <w:t>颗粒物</w:t>
                  </w:r>
                </w:p>
              </w:tc>
              <w:tc>
                <w:tcPr>
                  <w:tcW w:w="811" w:type="dxa"/>
                  <w:vAlign w:val="center"/>
                </w:tcPr>
                <w:p w14:paraId="0750896B">
                  <w:pPr>
                    <w:autoSpaceDE w:val="0"/>
                    <w:autoSpaceDN w:val="0"/>
                    <w:adjustRightInd w:val="0"/>
                    <w:jc w:val="center"/>
                    <w:rPr>
                      <w:sz w:val="18"/>
                      <w:szCs w:val="18"/>
                    </w:rPr>
                  </w:pPr>
                  <w:r>
                    <w:rPr>
                      <w:sz w:val="18"/>
                      <w:szCs w:val="18"/>
                    </w:rPr>
                    <w:t>10</w:t>
                  </w:r>
                </w:p>
              </w:tc>
              <w:tc>
                <w:tcPr>
                  <w:tcW w:w="788" w:type="dxa"/>
                  <w:vAlign w:val="center"/>
                </w:tcPr>
                <w:p w14:paraId="7D3F08EA">
                  <w:pPr>
                    <w:autoSpaceDE w:val="0"/>
                    <w:autoSpaceDN w:val="0"/>
                    <w:adjustRightInd w:val="0"/>
                    <w:jc w:val="center"/>
                    <w:rPr>
                      <w:rFonts w:hint="default" w:eastAsia="宋体"/>
                      <w:sz w:val="18"/>
                      <w:szCs w:val="18"/>
                      <w:lang w:val="en-US" w:eastAsia="zh-CN"/>
                    </w:rPr>
                  </w:pPr>
                  <w:r>
                    <w:rPr>
                      <w:rFonts w:hint="eastAsia"/>
                      <w:sz w:val="18"/>
                      <w:szCs w:val="18"/>
                      <w:lang w:val="en-US" w:eastAsia="zh-CN"/>
                    </w:rPr>
                    <w:t>15</w:t>
                  </w:r>
                </w:p>
              </w:tc>
              <w:tc>
                <w:tcPr>
                  <w:tcW w:w="713" w:type="dxa"/>
                  <w:vAlign w:val="center"/>
                </w:tcPr>
                <w:p w14:paraId="5FA27456">
                  <w:pPr>
                    <w:autoSpaceDE w:val="0"/>
                    <w:autoSpaceDN w:val="0"/>
                    <w:adjustRightInd w:val="0"/>
                    <w:jc w:val="center"/>
                    <w:rPr>
                      <w:sz w:val="18"/>
                      <w:szCs w:val="18"/>
                    </w:rPr>
                  </w:pPr>
                  <w:r>
                    <w:rPr>
                      <w:sz w:val="18"/>
                      <w:szCs w:val="18"/>
                    </w:rPr>
                    <w:t>-</w:t>
                  </w:r>
                </w:p>
              </w:tc>
              <w:tc>
                <w:tcPr>
                  <w:tcW w:w="1669" w:type="dxa"/>
                  <w:vAlign w:val="center"/>
                </w:tcPr>
                <w:p w14:paraId="26C4EF6B">
                  <w:pPr>
                    <w:autoSpaceDE w:val="0"/>
                    <w:autoSpaceDN w:val="0"/>
                    <w:adjustRightInd w:val="0"/>
                    <w:jc w:val="center"/>
                    <w:rPr>
                      <w:sz w:val="18"/>
                      <w:szCs w:val="18"/>
                    </w:rPr>
                  </w:pPr>
                  <w:r>
                    <w:rPr>
                      <w:sz w:val="18"/>
                      <w:szCs w:val="18"/>
                    </w:rPr>
                    <w:t>厂界监控点浓度限值</w:t>
                  </w:r>
                </w:p>
              </w:tc>
              <w:tc>
                <w:tcPr>
                  <w:tcW w:w="830" w:type="dxa"/>
                  <w:vAlign w:val="center"/>
                </w:tcPr>
                <w:p w14:paraId="232C4E1E">
                  <w:pPr>
                    <w:autoSpaceDE w:val="0"/>
                    <w:autoSpaceDN w:val="0"/>
                    <w:adjustRightInd w:val="0"/>
                    <w:jc w:val="center"/>
                    <w:rPr>
                      <w:rFonts w:hint="default" w:eastAsia="宋体"/>
                      <w:spacing w:val="6"/>
                      <w:sz w:val="18"/>
                      <w:szCs w:val="18"/>
                      <w:lang w:val="en-US" w:eastAsia="zh-CN"/>
                    </w:rPr>
                  </w:pPr>
                  <w:r>
                    <w:rPr>
                      <w:rFonts w:hint="eastAsia"/>
                      <w:spacing w:val="6"/>
                      <w:sz w:val="18"/>
                      <w:szCs w:val="18"/>
                      <w:lang w:val="en-US" w:eastAsia="zh-CN"/>
                    </w:rPr>
                    <w:t>1.0</w:t>
                  </w:r>
                </w:p>
              </w:tc>
            </w:tr>
            <w:tr w14:paraId="5951409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2040" w:type="dxa"/>
                  <w:vMerge w:val="restart"/>
                  <w:vAlign w:val="center"/>
                </w:tcPr>
                <w:p w14:paraId="28A6700A">
                  <w:pPr>
                    <w:autoSpaceDE w:val="0"/>
                    <w:autoSpaceDN w:val="0"/>
                    <w:adjustRightInd w:val="0"/>
                    <w:jc w:val="center"/>
                    <w:rPr>
                      <w:rFonts w:hint="default" w:eastAsia="宋体"/>
                      <w:sz w:val="18"/>
                      <w:szCs w:val="18"/>
                      <w:vertAlign w:val="subscript"/>
                      <w:lang w:val="en-US" w:eastAsia="zh-CN"/>
                    </w:rPr>
                  </w:pPr>
                  <w:r>
                    <w:rPr>
                      <w:rFonts w:hint="eastAsia"/>
                      <w:sz w:val="18"/>
                      <w:szCs w:val="18"/>
                      <w:vertAlign w:val="baseline"/>
                      <w:lang w:val="en-US" w:eastAsia="zh-CN"/>
                    </w:rPr>
                    <w:t>喷漆房涂装、浸漆、烘干、</w:t>
                  </w:r>
                  <w:r>
                    <w:rPr>
                      <w:rFonts w:hint="eastAsia" w:eastAsiaTheme="minorEastAsia"/>
                      <w:sz w:val="18"/>
                      <w:szCs w:val="18"/>
                      <w:lang w:val="en-US" w:eastAsia="zh-CN"/>
                    </w:rPr>
                    <w:t>PPH缠绕罐及玻璃钢缠绕罐投料、缠绕成型、固化、原料装模、组装、粘接、加热熔融、人工装模</w:t>
                  </w:r>
                </w:p>
              </w:tc>
              <w:tc>
                <w:tcPr>
                  <w:tcW w:w="1075" w:type="dxa"/>
                  <w:vMerge w:val="restart"/>
                  <w:vAlign w:val="center"/>
                </w:tcPr>
                <w:p w14:paraId="687E2CF2">
                  <w:pPr>
                    <w:autoSpaceDE w:val="0"/>
                    <w:autoSpaceDN w:val="0"/>
                    <w:adjustRightInd w:val="0"/>
                    <w:jc w:val="center"/>
                    <w:rPr>
                      <w:rFonts w:hint="eastAsia"/>
                      <w:sz w:val="18"/>
                      <w:szCs w:val="18"/>
                      <w:lang w:val="en-US" w:eastAsia="zh-CN"/>
                    </w:rPr>
                  </w:pPr>
                  <w:r>
                    <w:rPr>
                      <w:rFonts w:hint="eastAsia"/>
                      <w:sz w:val="18"/>
                      <w:szCs w:val="18"/>
                      <w:lang w:val="en-US" w:eastAsia="zh-CN"/>
                    </w:rPr>
                    <w:t>VOCs</w:t>
                  </w:r>
                </w:p>
              </w:tc>
              <w:tc>
                <w:tcPr>
                  <w:tcW w:w="811" w:type="dxa"/>
                  <w:vMerge w:val="restart"/>
                  <w:vAlign w:val="center"/>
                </w:tcPr>
                <w:p w14:paraId="7FA73176">
                  <w:pPr>
                    <w:autoSpaceDE w:val="0"/>
                    <w:autoSpaceDN w:val="0"/>
                    <w:adjustRightInd w:val="0"/>
                    <w:jc w:val="center"/>
                    <w:rPr>
                      <w:rFonts w:hint="default"/>
                      <w:sz w:val="18"/>
                      <w:szCs w:val="18"/>
                      <w:lang w:val="en-US" w:eastAsia="zh-CN"/>
                    </w:rPr>
                  </w:pPr>
                  <w:r>
                    <w:rPr>
                      <w:rFonts w:hint="eastAsia"/>
                      <w:sz w:val="18"/>
                      <w:szCs w:val="18"/>
                      <w:lang w:val="en-US" w:eastAsia="zh-CN"/>
                    </w:rPr>
                    <w:t>60</w:t>
                  </w:r>
                </w:p>
              </w:tc>
              <w:tc>
                <w:tcPr>
                  <w:tcW w:w="788" w:type="dxa"/>
                  <w:vMerge w:val="restart"/>
                  <w:vAlign w:val="center"/>
                </w:tcPr>
                <w:p w14:paraId="16921360">
                  <w:pPr>
                    <w:autoSpaceDE w:val="0"/>
                    <w:autoSpaceDN w:val="0"/>
                    <w:adjustRightInd w:val="0"/>
                    <w:jc w:val="center"/>
                    <w:rPr>
                      <w:rFonts w:hint="default" w:eastAsia="宋体"/>
                      <w:sz w:val="18"/>
                      <w:szCs w:val="18"/>
                      <w:lang w:val="en-US" w:eastAsia="zh-CN"/>
                    </w:rPr>
                  </w:pPr>
                  <w:r>
                    <w:rPr>
                      <w:rFonts w:hint="eastAsia"/>
                      <w:sz w:val="18"/>
                      <w:szCs w:val="18"/>
                      <w:lang w:val="en-US" w:eastAsia="zh-CN"/>
                    </w:rPr>
                    <w:t>15</w:t>
                  </w:r>
                </w:p>
              </w:tc>
              <w:tc>
                <w:tcPr>
                  <w:tcW w:w="713" w:type="dxa"/>
                  <w:vMerge w:val="restart"/>
                  <w:vAlign w:val="center"/>
                </w:tcPr>
                <w:p w14:paraId="1611F00F">
                  <w:pPr>
                    <w:autoSpaceDE w:val="0"/>
                    <w:autoSpaceDN w:val="0"/>
                    <w:adjustRightInd w:val="0"/>
                    <w:jc w:val="center"/>
                    <w:rPr>
                      <w:rFonts w:hint="default" w:eastAsia="宋体"/>
                      <w:sz w:val="18"/>
                      <w:szCs w:val="18"/>
                      <w:lang w:val="en-US" w:eastAsia="zh-CN"/>
                    </w:rPr>
                  </w:pPr>
                  <w:r>
                    <w:rPr>
                      <w:rFonts w:hint="eastAsia"/>
                      <w:sz w:val="18"/>
                      <w:szCs w:val="18"/>
                      <w:lang w:val="en-US" w:eastAsia="zh-CN"/>
                    </w:rPr>
                    <w:t>3.0</w:t>
                  </w:r>
                </w:p>
              </w:tc>
              <w:tc>
                <w:tcPr>
                  <w:tcW w:w="1669" w:type="dxa"/>
                  <w:vAlign w:val="center"/>
                </w:tcPr>
                <w:p w14:paraId="0A40B541">
                  <w:pPr>
                    <w:autoSpaceDE w:val="0"/>
                    <w:autoSpaceDN w:val="0"/>
                    <w:adjustRightInd w:val="0"/>
                    <w:jc w:val="center"/>
                    <w:rPr>
                      <w:sz w:val="18"/>
                      <w:szCs w:val="18"/>
                    </w:rPr>
                  </w:pPr>
                  <w:r>
                    <w:rPr>
                      <w:sz w:val="18"/>
                      <w:szCs w:val="18"/>
                    </w:rPr>
                    <w:t>厂界监控点浓度限值</w:t>
                  </w:r>
                </w:p>
              </w:tc>
              <w:tc>
                <w:tcPr>
                  <w:tcW w:w="830" w:type="dxa"/>
                  <w:vAlign w:val="center"/>
                </w:tcPr>
                <w:p w14:paraId="33F18282">
                  <w:pPr>
                    <w:autoSpaceDE w:val="0"/>
                    <w:autoSpaceDN w:val="0"/>
                    <w:adjustRightInd w:val="0"/>
                    <w:jc w:val="center"/>
                    <w:rPr>
                      <w:rFonts w:hint="eastAsia"/>
                      <w:sz w:val="18"/>
                      <w:szCs w:val="18"/>
                      <w:lang w:val="en-US" w:eastAsia="zh-CN"/>
                    </w:rPr>
                  </w:pPr>
                  <w:r>
                    <w:rPr>
                      <w:rFonts w:hint="eastAsia"/>
                      <w:sz w:val="18"/>
                      <w:szCs w:val="18"/>
                      <w:lang w:val="en-US" w:eastAsia="zh-CN"/>
                    </w:rPr>
                    <w:t>2.0</w:t>
                  </w:r>
                </w:p>
              </w:tc>
            </w:tr>
            <w:tr w14:paraId="0E80CF2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2040" w:type="dxa"/>
                  <w:vMerge w:val="continue"/>
                  <w:vAlign w:val="center"/>
                </w:tcPr>
                <w:p w14:paraId="47B12F90">
                  <w:pPr>
                    <w:autoSpaceDE w:val="0"/>
                    <w:autoSpaceDN w:val="0"/>
                    <w:adjustRightInd w:val="0"/>
                    <w:jc w:val="center"/>
                    <w:rPr>
                      <w:rFonts w:hint="eastAsia"/>
                      <w:sz w:val="18"/>
                      <w:szCs w:val="18"/>
                      <w:vertAlign w:val="baseline"/>
                      <w:lang w:val="en-US" w:eastAsia="zh-CN"/>
                    </w:rPr>
                  </w:pPr>
                </w:p>
              </w:tc>
              <w:tc>
                <w:tcPr>
                  <w:tcW w:w="1075" w:type="dxa"/>
                  <w:vMerge w:val="continue"/>
                  <w:vAlign w:val="center"/>
                </w:tcPr>
                <w:p w14:paraId="36D087F7">
                  <w:pPr>
                    <w:autoSpaceDE w:val="0"/>
                    <w:autoSpaceDN w:val="0"/>
                    <w:adjustRightInd w:val="0"/>
                    <w:jc w:val="center"/>
                    <w:rPr>
                      <w:rFonts w:hint="eastAsia"/>
                      <w:sz w:val="18"/>
                      <w:szCs w:val="18"/>
                      <w:lang w:val="en-US" w:eastAsia="zh-CN"/>
                    </w:rPr>
                  </w:pPr>
                </w:p>
              </w:tc>
              <w:tc>
                <w:tcPr>
                  <w:tcW w:w="811" w:type="dxa"/>
                  <w:vMerge w:val="continue"/>
                  <w:vAlign w:val="center"/>
                </w:tcPr>
                <w:p w14:paraId="33DA2AE3">
                  <w:pPr>
                    <w:autoSpaceDE w:val="0"/>
                    <w:autoSpaceDN w:val="0"/>
                    <w:adjustRightInd w:val="0"/>
                    <w:jc w:val="center"/>
                    <w:rPr>
                      <w:rFonts w:hint="eastAsia"/>
                      <w:sz w:val="18"/>
                      <w:szCs w:val="18"/>
                      <w:lang w:val="en-US" w:eastAsia="zh-CN"/>
                    </w:rPr>
                  </w:pPr>
                </w:p>
              </w:tc>
              <w:tc>
                <w:tcPr>
                  <w:tcW w:w="788" w:type="dxa"/>
                  <w:vMerge w:val="continue"/>
                  <w:vAlign w:val="center"/>
                </w:tcPr>
                <w:p w14:paraId="446E559A">
                  <w:pPr>
                    <w:autoSpaceDE w:val="0"/>
                    <w:autoSpaceDN w:val="0"/>
                    <w:adjustRightInd w:val="0"/>
                    <w:jc w:val="center"/>
                    <w:rPr>
                      <w:rFonts w:hint="default"/>
                      <w:sz w:val="18"/>
                      <w:szCs w:val="18"/>
                      <w:lang w:val="en-US" w:eastAsia="zh-CN"/>
                    </w:rPr>
                  </w:pPr>
                </w:p>
              </w:tc>
              <w:tc>
                <w:tcPr>
                  <w:tcW w:w="713" w:type="dxa"/>
                  <w:vMerge w:val="continue"/>
                  <w:vAlign w:val="center"/>
                </w:tcPr>
                <w:p w14:paraId="58FE14C3">
                  <w:pPr>
                    <w:autoSpaceDE w:val="0"/>
                    <w:autoSpaceDN w:val="0"/>
                    <w:adjustRightInd w:val="0"/>
                    <w:jc w:val="center"/>
                    <w:rPr>
                      <w:rFonts w:hint="eastAsia"/>
                      <w:sz w:val="18"/>
                      <w:szCs w:val="18"/>
                      <w:lang w:val="en-US" w:eastAsia="zh-CN"/>
                    </w:rPr>
                  </w:pPr>
                </w:p>
              </w:tc>
              <w:tc>
                <w:tcPr>
                  <w:tcW w:w="1669" w:type="dxa"/>
                  <w:vAlign w:val="center"/>
                </w:tcPr>
                <w:p w14:paraId="27CFADCC">
                  <w:pPr>
                    <w:autoSpaceDE w:val="0"/>
                    <w:autoSpaceDN w:val="0"/>
                    <w:adjustRightInd w:val="0"/>
                    <w:jc w:val="center"/>
                    <w:rPr>
                      <w:sz w:val="18"/>
                      <w:szCs w:val="18"/>
                    </w:rPr>
                  </w:pPr>
                  <w:r>
                    <w:rPr>
                      <w:color w:val="auto"/>
                      <w:sz w:val="18"/>
                      <w:szCs w:val="18"/>
                    </w:rPr>
                    <w:t>厂内监控处1h平均浓度值（以NMHC表征）</w:t>
                  </w:r>
                </w:p>
              </w:tc>
              <w:tc>
                <w:tcPr>
                  <w:tcW w:w="830" w:type="dxa"/>
                  <w:vAlign w:val="center"/>
                </w:tcPr>
                <w:p w14:paraId="4F070B96">
                  <w:pPr>
                    <w:autoSpaceDE w:val="0"/>
                    <w:autoSpaceDN w:val="0"/>
                    <w:adjustRightInd w:val="0"/>
                    <w:jc w:val="center"/>
                    <w:rPr>
                      <w:rFonts w:hint="eastAsia"/>
                      <w:sz w:val="18"/>
                      <w:szCs w:val="18"/>
                      <w:lang w:val="en-US" w:eastAsia="zh-CN"/>
                    </w:rPr>
                  </w:pPr>
                  <w:r>
                    <w:rPr>
                      <w:color w:val="auto"/>
                      <w:spacing w:val="6"/>
                      <w:sz w:val="18"/>
                      <w:szCs w:val="18"/>
                    </w:rPr>
                    <w:t>6</w:t>
                  </w:r>
                </w:p>
              </w:tc>
            </w:tr>
            <w:tr w14:paraId="2FCDD52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617" w:hRule="atLeast"/>
                <w:jc w:val="center"/>
              </w:trPr>
              <w:tc>
                <w:tcPr>
                  <w:tcW w:w="2040" w:type="dxa"/>
                  <w:vMerge w:val="continue"/>
                  <w:vAlign w:val="center"/>
                </w:tcPr>
                <w:p w14:paraId="04C39A61">
                  <w:pPr>
                    <w:autoSpaceDE w:val="0"/>
                    <w:autoSpaceDN w:val="0"/>
                    <w:adjustRightInd w:val="0"/>
                    <w:jc w:val="center"/>
                    <w:rPr>
                      <w:rFonts w:hint="eastAsia"/>
                      <w:sz w:val="18"/>
                      <w:szCs w:val="18"/>
                      <w:vertAlign w:val="baseline"/>
                      <w:lang w:val="en-US" w:eastAsia="zh-CN"/>
                    </w:rPr>
                  </w:pPr>
                </w:p>
              </w:tc>
              <w:tc>
                <w:tcPr>
                  <w:tcW w:w="1075" w:type="dxa"/>
                  <w:vMerge w:val="continue"/>
                  <w:vAlign w:val="center"/>
                </w:tcPr>
                <w:p w14:paraId="5E41A94A">
                  <w:pPr>
                    <w:autoSpaceDE w:val="0"/>
                    <w:autoSpaceDN w:val="0"/>
                    <w:adjustRightInd w:val="0"/>
                    <w:jc w:val="center"/>
                    <w:rPr>
                      <w:rFonts w:hint="eastAsia"/>
                      <w:sz w:val="18"/>
                      <w:szCs w:val="18"/>
                      <w:lang w:val="en-US" w:eastAsia="zh-CN"/>
                    </w:rPr>
                  </w:pPr>
                </w:p>
              </w:tc>
              <w:tc>
                <w:tcPr>
                  <w:tcW w:w="811" w:type="dxa"/>
                  <w:vMerge w:val="continue"/>
                  <w:vAlign w:val="center"/>
                </w:tcPr>
                <w:p w14:paraId="2E989E97">
                  <w:pPr>
                    <w:autoSpaceDE w:val="0"/>
                    <w:autoSpaceDN w:val="0"/>
                    <w:adjustRightInd w:val="0"/>
                    <w:jc w:val="center"/>
                    <w:rPr>
                      <w:rFonts w:hint="eastAsia"/>
                      <w:sz w:val="18"/>
                      <w:szCs w:val="18"/>
                      <w:lang w:val="en-US" w:eastAsia="zh-CN"/>
                    </w:rPr>
                  </w:pPr>
                </w:p>
              </w:tc>
              <w:tc>
                <w:tcPr>
                  <w:tcW w:w="788" w:type="dxa"/>
                  <w:vMerge w:val="continue"/>
                  <w:vAlign w:val="center"/>
                </w:tcPr>
                <w:p w14:paraId="057CD7CE">
                  <w:pPr>
                    <w:autoSpaceDE w:val="0"/>
                    <w:autoSpaceDN w:val="0"/>
                    <w:adjustRightInd w:val="0"/>
                    <w:jc w:val="center"/>
                    <w:rPr>
                      <w:rFonts w:hint="default"/>
                      <w:sz w:val="18"/>
                      <w:szCs w:val="18"/>
                      <w:lang w:val="en-US" w:eastAsia="zh-CN"/>
                    </w:rPr>
                  </w:pPr>
                </w:p>
              </w:tc>
              <w:tc>
                <w:tcPr>
                  <w:tcW w:w="713" w:type="dxa"/>
                  <w:vMerge w:val="continue"/>
                  <w:vAlign w:val="center"/>
                </w:tcPr>
                <w:p w14:paraId="49F04B29">
                  <w:pPr>
                    <w:autoSpaceDE w:val="0"/>
                    <w:autoSpaceDN w:val="0"/>
                    <w:adjustRightInd w:val="0"/>
                    <w:jc w:val="center"/>
                    <w:rPr>
                      <w:rFonts w:hint="eastAsia"/>
                      <w:sz w:val="18"/>
                      <w:szCs w:val="18"/>
                      <w:lang w:val="en-US" w:eastAsia="zh-CN"/>
                    </w:rPr>
                  </w:pPr>
                </w:p>
              </w:tc>
              <w:tc>
                <w:tcPr>
                  <w:tcW w:w="1669" w:type="dxa"/>
                  <w:vAlign w:val="center"/>
                </w:tcPr>
                <w:p w14:paraId="1E7E0ED9">
                  <w:pPr>
                    <w:autoSpaceDE w:val="0"/>
                    <w:autoSpaceDN w:val="0"/>
                    <w:adjustRightInd w:val="0"/>
                    <w:jc w:val="center"/>
                    <w:rPr>
                      <w:sz w:val="18"/>
                      <w:szCs w:val="18"/>
                    </w:rPr>
                  </w:pPr>
                  <w:r>
                    <w:rPr>
                      <w:color w:val="auto"/>
                      <w:sz w:val="18"/>
                      <w:szCs w:val="18"/>
                    </w:rPr>
                    <w:t>厂内监控处任意一次浓度值（以NMHC表征）</w:t>
                  </w:r>
                </w:p>
              </w:tc>
              <w:tc>
                <w:tcPr>
                  <w:tcW w:w="830" w:type="dxa"/>
                  <w:vAlign w:val="center"/>
                </w:tcPr>
                <w:p w14:paraId="35CF90B8">
                  <w:pPr>
                    <w:autoSpaceDE w:val="0"/>
                    <w:autoSpaceDN w:val="0"/>
                    <w:adjustRightInd w:val="0"/>
                    <w:jc w:val="center"/>
                    <w:rPr>
                      <w:rFonts w:hint="eastAsia"/>
                      <w:sz w:val="18"/>
                      <w:szCs w:val="18"/>
                      <w:lang w:val="en-US" w:eastAsia="zh-CN"/>
                    </w:rPr>
                  </w:pPr>
                  <w:r>
                    <w:rPr>
                      <w:color w:val="auto"/>
                      <w:spacing w:val="6"/>
                      <w:sz w:val="18"/>
                      <w:szCs w:val="18"/>
                    </w:rPr>
                    <w:t>20</w:t>
                  </w:r>
                </w:p>
              </w:tc>
            </w:tr>
            <w:tr w14:paraId="40F763A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320" w:hRule="atLeast"/>
                <w:jc w:val="center"/>
              </w:trPr>
              <w:tc>
                <w:tcPr>
                  <w:tcW w:w="2040" w:type="dxa"/>
                  <w:vMerge w:val="continue"/>
                  <w:vAlign w:val="center"/>
                </w:tcPr>
                <w:p w14:paraId="5CD23FE5">
                  <w:pPr>
                    <w:autoSpaceDE w:val="0"/>
                    <w:autoSpaceDN w:val="0"/>
                    <w:adjustRightInd w:val="0"/>
                    <w:jc w:val="center"/>
                    <w:rPr>
                      <w:rFonts w:hint="default" w:eastAsia="宋体"/>
                      <w:sz w:val="18"/>
                      <w:szCs w:val="18"/>
                      <w:vertAlign w:val="subscript"/>
                      <w:lang w:val="en-US" w:eastAsia="zh-CN"/>
                    </w:rPr>
                  </w:pPr>
                </w:p>
              </w:tc>
              <w:tc>
                <w:tcPr>
                  <w:tcW w:w="1075" w:type="dxa"/>
                  <w:vAlign w:val="center"/>
                </w:tcPr>
                <w:p w14:paraId="5A92D02F">
                  <w:pPr>
                    <w:autoSpaceDE w:val="0"/>
                    <w:autoSpaceDN w:val="0"/>
                    <w:adjustRightInd w:val="0"/>
                    <w:jc w:val="center"/>
                    <w:rPr>
                      <w:rFonts w:hint="eastAsia" w:ascii="Times New Roman" w:hAnsi="Times New Roman" w:eastAsia="宋体" w:cs="Times New Roman"/>
                      <w:kern w:val="2"/>
                      <w:sz w:val="18"/>
                      <w:szCs w:val="18"/>
                      <w:vertAlign w:val="subscript"/>
                      <w:lang w:val="en-US" w:eastAsia="zh-CN" w:bidi="ar-SA"/>
                    </w:rPr>
                  </w:pPr>
                  <w:r>
                    <w:rPr>
                      <w:rFonts w:hint="eastAsia" w:ascii="Times New Roman" w:hAnsi="Times New Roman" w:cs="Times New Roman"/>
                      <w:sz w:val="18"/>
                      <w:szCs w:val="18"/>
                      <w:lang w:val="en-US" w:eastAsia="zh-CN"/>
                    </w:rPr>
                    <w:t>苯乙烯</w:t>
                  </w:r>
                </w:p>
              </w:tc>
              <w:tc>
                <w:tcPr>
                  <w:tcW w:w="811" w:type="dxa"/>
                  <w:vAlign w:val="center"/>
                </w:tcPr>
                <w:p w14:paraId="150903FC">
                  <w:pPr>
                    <w:autoSpaceDE w:val="0"/>
                    <w:autoSpaceDN w:val="0"/>
                    <w:adjustRightInd w:val="0"/>
                    <w:jc w:val="center"/>
                    <w:rPr>
                      <w:rFonts w:hint="default" w:eastAsia="宋体"/>
                      <w:sz w:val="18"/>
                      <w:szCs w:val="18"/>
                      <w:lang w:val="en-US" w:eastAsia="zh-CN"/>
                    </w:rPr>
                  </w:pPr>
                  <w:r>
                    <w:rPr>
                      <w:rFonts w:hint="eastAsia"/>
                      <w:sz w:val="18"/>
                      <w:szCs w:val="18"/>
                      <w:lang w:val="en-US" w:eastAsia="zh-CN"/>
                    </w:rPr>
                    <w:t>20</w:t>
                  </w:r>
                </w:p>
              </w:tc>
              <w:tc>
                <w:tcPr>
                  <w:tcW w:w="788" w:type="dxa"/>
                  <w:vAlign w:val="center"/>
                </w:tcPr>
                <w:p w14:paraId="0AEBBB01">
                  <w:pPr>
                    <w:autoSpaceDE w:val="0"/>
                    <w:autoSpaceDN w:val="0"/>
                    <w:adjustRightInd w:val="0"/>
                    <w:jc w:val="center"/>
                    <w:rPr>
                      <w:rFonts w:hint="default" w:eastAsia="宋体"/>
                      <w:sz w:val="18"/>
                      <w:szCs w:val="18"/>
                      <w:lang w:val="en-US" w:eastAsia="zh-CN"/>
                    </w:rPr>
                  </w:pPr>
                  <w:r>
                    <w:rPr>
                      <w:rFonts w:hint="eastAsia"/>
                      <w:sz w:val="18"/>
                      <w:szCs w:val="18"/>
                      <w:lang w:val="en-US" w:eastAsia="zh-CN"/>
                    </w:rPr>
                    <w:t>15</w:t>
                  </w:r>
                </w:p>
              </w:tc>
              <w:tc>
                <w:tcPr>
                  <w:tcW w:w="713" w:type="dxa"/>
                  <w:vAlign w:val="center"/>
                </w:tcPr>
                <w:p w14:paraId="0D8EACBE">
                  <w:pPr>
                    <w:autoSpaceDE w:val="0"/>
                    <w:autoSpaceDN w:val="0"/>
                    <w:adjustRightInd w:val="0"/>
                    <w:jc w:val="center"/>
                    <w:rPr>
                      <w:sz w:val="18"/>
                      <w:szCs w:val="18"/>
                    </w:rPr>
                  </w:pPr>
                  <w:r>
                    <w:rPr>
                      <w:sz w:val="18"/>
                      <w:szCs w:val="18"/>
                    </w:rPr>
                    <w:t>-</w:t>
                  </w:r>
                </w:p>
              </w:tc>
              <w:tc>
                <w:tcPr>
                  <w:tcW w:w="1669" w:type="dxa"/>
                  <w:vAlign w:val="center"/>
                </w:tcPr>
                <w:p w14:paraId="05DD9946">
                  <w:pPr>
                    <w:autoSpaceDE w:val="0"/>
                    <w:autoSpaceDN w:val="0"/>
                    <w:adjustRightInd w:val="0"/>
                    <w:jc w:val="center"/>
                    <w:rPr>
                      <w:sz w:val="18"/>
                      <w:szCs w:val="18"/>
                    </w:rPr>
                  </w:pPr>
                  <w:r>
                    <w:rPr>
                      <w:sz w:val="18"/>
                      <w:szCs w:val="18"/>
                    </w:rPr>
                    <w:t>厂界监控点浓度限值</w:t>
                  </w:r>
                </w:p>
              </w:tc>
              <w:tc>
                <w:tcPr>
                  <w:tcW w:w="830" w:type="dxa"/>
                  <w:vAlign w:val="center"/>
                </w:tcPr>
                <w:p w14:paraId="53FB0F20">
                  <w:pPr>
                    <w:autoSpaceDE w:val="0"/>
                    <w:autoSpaceDN w:val="0"/>
                    <w:adjustRightInd w:val="0"/>
                    <w:jc w:val="center"/>
                    <w:rPr>
                      <w:rFonts w:hint="default" w:eastAsia="宋体"/>
                      <w:spacing w:val="6"/>
                      <w:sz w:val="18"/>
                      <w:szCs w:val="18"/>
                      <w:lang w:val="en-US" w:eastAsia="zh-CN"/>
                    </w:rPr>
                  </w:pPr>
                  <w:r>
                    <w:rPr>
                      <w:rFonts w:hint="eastAsia"/>
                      <w:sz w:val="18"/>
                      <w:szCs w:val="18"/>
                      <w:lang w:val="en-US" w:eastAsia="zh-CN"/>
                    </w:rPr>
                    <w:t>5.0</w:t>
                  </w:r>
                </w:p>
              </w:tc>
            </w:tr>
            <w:tr w14:paraId="37C9BBA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0" w:type="dxa"/>
                  <w:bottom w:w="0" w:type="dxa"/>
                  <w:right w:w="0" w:type="dxa"/>
                </w:tblCellMar>
              </w:tblPrEx>
              <w:trPr>
                <w:trHeight w:val="0" w:hRule="atLeast"/>
                <w:jc w:val="center"/>
              </w:trPr>
              <w:tc>
                <w:tcPr>
                  <w:tcW w:w="2040" w:type="dxa"/>
                  <w:vMerge w:val="continue"/>
                  <w:vAlign w:val="center"/>
                </w:tcPr>
                <w:p w14:paraId="7681FA05">
                  <w:pPr>
                    <w:autoSpaceDE w:val="0"/>
                    <w:autoSpaceDN w:val="0"/>
                    <w:adjustRightInd w:val="0"/>
                    <w:jc w:val="center"/>
                    <w:rPr>
                      <w:rFonts w:hint="default" w:eastAsia="宋体"/>
                      <w:sz w:val="18"/>
                      <w:szCs w:val="18"/>
                      <w:vertAlign w:val="subscript"/>
                      <w:lang w:val="en-US" w:eastAsia="zh-CN"/>
                    </w:rPr>
                  </w:pPr>
                </w:p>
              </w:tc>
              <w:tc>
                <w:tcPr>
                  <w:tcW w:w="1075" w:type="dxa"/>
                  <w:vAlign w:val="center"/>
                </w:tcPr>
                <w:p w14:paraId="637C1BB4">
                  <w:pPr>
                    <w:autoSpaceDE w:val="0"/>
                    <w:autoSpaceDN w:val="0"/>
                    <w:adjustRightInd w:val="0"/>
                    <w:jc w:val="center"/>
                    <w:rPr>
                      <w:rFonts w:hint="default" w:ascii="Times New Roman" w:hAnsi="Times New Roman" w:cs="Times New Roman"/>
                      <w:sz w:val="18"/>
                      <w:szCs w:val="18"/>
                      <w:lang w:val="en-US" w:eastAsia="zh-CN"/>
                    </w:rPr>
                  </w:pPr>
                  <w:r>
                    <w:rPr>
                      <w:rFonts w:hint="eastAsia" w:cs="Times New Roman"/>
                      <w:sz w:val="18"/>
                      <w:szCs w:val="18"/>
                      <w:lang w:val="en-US" w:eastAsia="zh-CN"/>
                    </w:rPr>
                    <w:t>臭气浓度</w:t>
                  </w:r>
                </w:p>
              </w:tc>
              <w:tc>
                <w:tcPr>
                  <w:tcW w:w="811" w:type="dxa"/>
                  <w:vAlign w:val="center"/>
                </w:tcPr>
                <w:p w14:paraId="6C1C64AE">
                  <w:pPr>
                    <w:autoSpaceDE w:val="0"/>
                    <w:autoSpaceDN w:val="0"/>
                    <w:adjustRightInd w:val="0"/>
                    <w:jc w:val="center"/>
                    <w:rPr>
                      <w:rFonts w:hint="eastAsia"/>
                      <w:sz w:val="18"/>
                      <w:szCs w:val="18"/>
                      <w:lang w:val="en-US" w:eastAsia="zh-CN"/>
                    </w:rPr>
                  </w:pPr>
                  <w:r>
                    <w:rPr>
                      <w:rFonts w:hint="eastAsia"/>
                      <w:sz w:val="18"/>
                      <w:szCs w:val="18"/>
                      <w:lang w:val="en-US" w:eastAsia="zh-CN"/>
                    </w:rPr>
                    <w:t>2000</w:t>
                  </w:r>
                </w:p>
                <w:p w14:paraId="72B51FC5">
                  <w:pPr>
                    <w:autoSpaceDE w:val="0"/>
                    <w:autoSpaceDN w:val="0"/>
                    <w:adjustRightInd w:val="0"/>
                    <w:jc w:val="center"/>
                    <w:rPr>
                      <w:rFonts w:hint="default"/>
                      <w:sz w:val="18"/>
                      <w:szCs w:val="18"/>
                      <w:lang w:val="en-US" w:eastAsia="zh-CN"/>
                    </w:rPr>
                  </w:pPr>
                  <w:r>
                    <w:rPr>
                      <w:rFonts w:hint="eastAsia"/>
                      <w:sz w:val="18"/>
                      <w:szCs w:val="18"/>
                      <w:lang w:val="en-US" w:eastAsia="zh-CN"/>
                    </w:rPr>
                    <w:t>无量纲</w:t>
                  </w:r>
                </w:p>
              </w:tc>
              <w:tc>
                <w:tcPr>
                  <w:tcW w:w="788" w:type="dxa"/>
                  <w:vAlign w:val="center"/>
                </w:tcPr>
                <w:p w14:paraId="4081A731">
                  <w:pPr>
                    <w:autoSpaceDE w:val="0"/>
                    <w:autoSpaceDN w:val="0"/>
                    <w:adjustRightInd w:val="0"/>
                    <w:jc w:val="center"/>
                    <w:rPr>
                      <w:rFonts w:hint="default" w:eastAsia="宋体"/>
                      <w:sz w:val="18"/>
                      <w:szCs w:val="18"/>
                      <w:lang w:val="en-US" w:eastAsia="zh-CN"/>
                    </w:rPr>
                  </w:pPr>
                  <w:r>
                    <w:rPr>
                      <w:rFonts w:hint="eastAsia"/>
                      <w:sz w:val="18"/>
                      <w:szCs w:val="18"/>
                      <w:lang w:val="en-US" w:eastAsia="zh-CN"/>
                    </w:rPr>
                    <w:t>15</w:t>
                  </w:r>
                </w:p>
              </w:tc>
              <w:tc>
                <w:tcPr>
                  <w:tcW w:w="713" w:type="dxa"/>
                  <w:vAlign w:val="center"/>
                </w:tcPr>
                <w:p w14:paraId="0BA86C14">
                  <w:pPr>
                    <w:autoSpaceDE w:val="0"/>
                    <w:autoSpaceDN w:val="0"/>
                    <w:adjustRightInd w:val="0"/>
                    <w:jc w:val="center"/>
                    <w:rPr>
                      <w:rFonts w:hint="eastAsia" w:eastAsia="宋体"/>
                      <w:sz w:val="18"/>
                      <w:szCs w:val="18"/>
                      <w:lang w:val="en-US" w:eastAsia="zh-CN"/>
                    </w:rPr>
                  </w:pPr>
                  <w:r>
                    <w:rPr>
                      <w:rFonts w:hint="eastAsia"/>
                      <w:sz w:val="18"/>
                      <w:szCs w:val="18"/>
                      <w:lang w:val="en-US" w:eastAsia="zh-CN"/>
                    </w:rPr>
                    <w:t>-</w:t>
                  </w:r>
                </w:p>
              </w:tc>
              <w:tc>
                <w:tcPr>
                  <w:tcW w:w="1669" w:type="dxa"/>
                  <w:vAlign w:val="center"/>
                </w:tcPr>
                <w:p w14:paraId="2F2DA397">
                  <w:pPr>
                    <w:autoSpaceDE w:val="0"/>
                    <w:autoSpaceDN w:val="0"/>
                    <w:adjustRightInd w:val="0"/>
                    <w:jc w:val="center"/>
                    <w:rPr>
                      <w:sz w:val="18"/>
                      <w:szCs w:val="18"/>
                    </w:rPr>
                  </w:pPr>
                  <w:r>
                    <w:rPr>
                      <w:sz w:val="18"/>
                      <w:szCs w:val="18"/>
                    </w:rPr>
                    <w:t>厂界监控点浓度限值</w:t>
                  </w:r>
                </w:p>
              </w:tc>
              <w:tc>
                <w:tcPr>
                  <w:tcW w:w="830" w:type="dxa"/>
                  <w:vAlign w:val="center"/>
                </w:tcPr>
                <w:p w14:paraId="4D9E29F5">
                  <w:pPr>
                    <w:autoSpaceDE w:val="0"/>
                    <w:autoSpaceDN w:val="0"/>
                    <w:adjustRightInd w:val="0"/>
                    <w:jc w:val="center"/>
                    <w:rPr>
                      <w:rFonts w:hint="default"/>
                      <w:sz w:val="18"/>
                      <w:szCs w:val="18"/>
                      <w:lang w:val="en-US" w:eastAsia="zh-CN"/>
                    </w:rPr>
                  </w:pPr>
                  <w:r>
                    <w:rPr>
                      <w:rFonts w:hint="eastAsia"/>
                      <w:sz w:val="18"/>
                      <w:szCs w:val="18"/>
                      <w:lang w:val="en-US" w:eastAsia="zh-CN"/>
                    </w:rPr>
                    <w:t>20无量纲</w:t>
                  </w:r>
                </w:p>
              </w:tc>
            </w:tr>
          </w:tbl>
          <w:p w14:paraId="1969BC2A">
            <w:pPr>
              <w:spacing w:line="360" w:lineRule="auto"/>
              <w:ind w:firstLine="422" w:firstLineChars="200"/>
              <w:rPr>
                <w:rFonts w:hint="eastAsia" w:ascii="宋体" w:hAnsi="宋体" w:eastAsia="宋体" w:cs="宋体"/>
                <w:b/>
                <w:bCs w:val="0"/>
                <w:szCs w:val="21"/>
              </w:rPr>
            </w:pPr>
            <w:r>
              <w:rPr>
                <w:rFonts w:hint="eastAsia" w:ascii="宋体" w:hAnsi="宋体" w:eastAsia="宋体" w:cs="宋体"/>
                <w:b/>
                <w:bCs w:val="0"/>
                <w:szCs w:val="21"/>
              </w:rPr>
              <w:t>3、废水</w:t>
            </w:r>
          </w:p>
          <w:p w14:paraId="24DF308D">
            <w:pPr>
              <w:pStyle w:val="2"/>
              <w:spacing w:after="0" w:line="360" w:lineRule="auto"/>
              <w:ind w:left="0" w:leftChars="0" w:firstLine="31680"/>
              <w:rPr>
                <w:rFonts w:hint="default" w:ascii="Times New Roman" w:hAnsi="Times New Roman" w:cs="Times New Roman"/>
                <w:szCs w:val="21"/>
              </w:rPr>
            </w:pPr>
            <w:r>
              <w:rPr>
                <w:rFonts w:hint="eastAsia" w:cs="Times New Roman"/>
                <w:sz w:val="21"/>
                <w:szCs w:val="21"/>
                <w:lang w:eastAsia="zh-CN"/>
              </w:rPr>
              <w:t>项目仅排放生活污水，</w:t>
            </w:r>
            <w:r>
              <w:rPr>
                <w:rFonts w:hint="default" w:ascii="Times New Roman" w:hAnsi="Times New Roman" w:cs="Times New Roman"/>
                <w:sz w:val="21"/>
                <w:szCs w:val="21"/>
              </w:rPr>
              <w:t>生活污水中的</w:t>
            </w:r>
            <w:r>
              <w:rPr>
                <w:rFonts w:hint="eastAsia" w:cs="Times New Roman"/>
                <w:sz w:val="21"/>
                <w:szCs w:val="21"/>
                <w:lang w:eastAsia="zh-CN"/>
              </w:rPr>
              <w:t>各</w:t>
            </w:r>
            <w:r>
              <w:rPr>
                <w:rFonts w:hint="default" w:ascii="Times New Roman" w:hAnsi="Times New Roman" w:cs="Times New Roman"/>
                <w:sz w:val="21"/>
                <w:szCs w:val="21"/>
              </w:rPr>
              <w:t>污染</w:t>
            </w:r>
            <w:r>
              <w:rPr>
                <w:rFonts w:hint="eastAsia" w:cs="Times New Roman"/>
                <w:sz w:val="21"/>
                <w:szCs w:val="21"/>
                <w:lang w:eastAsia="zh-CN"/>
              </w:rPr>
              <w:t>物</w:t>
            </w:r>
            <w:r>
              <w:rPr>
                <w:rFonts w:hint="default" w:ascii="Times New Roman" w:hAnsi="Times New Roman" w:cs="Times New Roman"/>
                <w:sz w:val="21"/>
                <w:szCs w:val="21"/>
              </w:rPr>
              <w:t>排放执行《污水排入城镇下水道水质标准》（GB/T31962-2015）</w:t>
            </w:r>
            <w:r>
              <w:rPr>
                <w:rFonts w:hint="eastAsia" w:cs="Times New Roman"/>
                <w:sz w:val="21"/>
                <w:szCs w:val="21"/>
                <w:lang w:eastAsia="zh-CN"/>
              </w:rPr>
              <w:t>表</w:t>
            </w:r>
            <w:r>
              <w:rPr>
                <w:rFonts w:hint="eastAsia" w:cs="Times New Roman"/>
                <w:sz w:val="21"/>
                <w:szCs w:val="21"/>
                <w:lang w:val="en-US" w:eastAsia="zh-CN"/>
              </w:rPr>
              <w:t>1中</w:t>
            </w:r>
            <w:r>
              <w:rPr>
                <w:rFonts w:hint="default" w:ascii="Times New Roman" w:hAnsi="Times New Roman" w:cs="Times New Roman"/>
                <w:sz w:val="21"/>
                <w:szCs w:val="21"/>
              </w:rPr>
              <w:t>B等级标准，见下表：</w:t>
            </w:r>
          </w:p>
          <w:p w14:paraId="043774D2">
            <w:pPr>
              <w:pStyle w:val="1312"/>
              <w:adjustRightInd w:val="0"/>
              <w:snapToGrid w:val="0"/>
              <w:rPr>
                <w:rFonts w:hint="default" w:ascii="Times New Roman" w:hAnsi="Times New Roman" w:eastAsia="宋体" w:cs="Times New Roman"/>
                <w:b/>
                <w:kern w:val="2"/>
                <w:sz w:val="21"/>
                <w:szCs w:val="21"/>
                <w:lang w:val="en-US" w:eastAsia="zh-CN" w:bidi="ar-SA"/>
              </w:rPr>
            </w:pPr>
            <w:r>
              <w:rPr>
                <w:rFonts w:hint="default" w:ascii="Times New Roman" w:hAnsi="Times New Roman" w:eastAsia="宋体" w:cs="Times New Roman"/>
                <w:b/>
                <w:kern w:val="2"/>
                <w:sz w:val="21"/>
                <w:szCs w:val="21"/>
                <w:lang w:val="en-US" w:eastAsia="zh-CN" w:bidi="ar-SA"/>
              </w:rPr>
              <w:t>表3-</w:t>
            </w:r>
            <w:r>
              <w:rPr>
                <w:rFonts w:hint="eastAsia" w:ascii="Times New Roman" w:hAnsi="Times New Roman" w:eastAsia="宋体" w:cs="Times New Roman"/>
                <w:b/>
                <w:kern w:val="2"/>
                <w:sz w:val="21"/>
                <w:szCs w:val="21"/>
                <w:lang w:val="en-US" w:eastAsia="zh-CN" w:bidi="ar-SA"/>
              </w:rPr>
              <w:t>6</w:t>
            </w:r>
            <w:r>
              <w:rPr>
                <w:rFonts w:hint="default" w:ascii="Times New Roman" w:hAnsi="Times New Roman" w:eastAsia="宋体" w:cs="Times New Roman"/>
                <w:b/>
                <w:kern w:val="2"/>
                <w:sz w:val="21"/>
                <w:szCs w:val="21"/>
                <w:lang w:val="en-US" w:eastAsia="zh-CN" w:bidi="ar-SA"/>
              </w:rPr>
              <w:t>本项目污水排放限值    单位：mg/L，pH无量纲</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6"/>
              <w:gridCol w:w="1200"/>
              <w:gridCol w:w="1356"/>
              <w:gridCol w:w="1244"/>
              <w:gridCol w:w="1299"/>
              <w:gridCol w:w="1299"/>
            </w:tblGrid>
            <w:tr w14:paraId="15427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jc w:val="center"/>
              </w:trPr>
              <w:tc>
                <w:tcPr>
                  <w:tcW w:w="983" w:type="pct"/>
                  <w:tcBorders>
                    <w:top w:val="single" w:color="auto" w:sz="4" w:space="0"/>
                    <w:left w:val="single" w:color="auto" w:sz="4" w:space="0"/>
                    <w:bottom w:val="single" w:color="auto" w:sz="4" w:space="0"/>
                    <w:right w:val="single" w:color="auto" w:sz="4" w:space="0"/>
                  </w:tcBorders>
                  <w:vAlign w:val="center"/>
                </w:tcPr>
                <w:p w14:paraId="69BD2EE8">
                  <w:pPr>
                    <w:jc w:val="center"/>
                    <w:rPr>
                      <w:rFonts w:hint="default" w:ascii="Times New Roman" w:hAnsi="Times New Roman" w:cs="Times New Roman"/>
                      <w:sz w:val="18"/>
                      <w:szCs w:val="18"/>
                    </w:rPr>
                  </w:pPr>
                  <w:r>
                    <w:rPr>
                      <w:rFonts w:hint="default" w:ascii="Times New Roman" w:hAnsi="Times New Roman" w:cs="Times New Roman"/>
                      <w:sz w:val="18"/>
                      <w:szCs w:val="18"/>
                    </w:rPr>
                    <w:t>污染因子</w:t>
                  </w:r>
                </w:p>
              </w:tc>
              <w:tc>
                <w:tcPr>
                  <w:tcW w:w="753" w:type="pct"/>
                  <w:tcBorders>
                    <w:top w:val="single" w:color="auto" w:sz="4" w:space="0"/>
                    <w:left w:val="single" w:color="auto" w:sz="4" w:space="0"/>
                    <w:bottom w:val="single" w:color="auto" w:sz="4" w:space="0"/>
                    <w:right w:val="single" w:color="auto" w:sz="4" w:space="0"/>
                  </w:tcBorders>
                  <w:vAlign w:val="center"/>
                </w:tcPr>
                <w:p w14:paraId="1D4E0570">
                  <w:pPr>
                    <w:jc w:val="center"/>
                    <w:rPr>
                      <w:rFonts w:hint="default" w:ascii="Times New Roman" w:hAnsi="Times New Roman" w:cs="Times New Roman"/>
                      <w:sz w:val="18"/>
                      <w:szCs w:val="18"/>
                    </w:rPr>
                  </w:pPr>
                  <w:r>
                    <w:rPr>
                      <w:rFonts w:hint="default" w:ascii="Times New Roman" w:hAnsi="Times New Roman" w:cs="Times New Roman"/>
                      <w:sz w:val="18"/>
                      <w:szCs w:val="18"/>
                    </w:rPr>
                    <w:t>COD</w:t>
                  </w:r>
                </w:p>
              </w:tc>
              <w:tc>
                <w:tcPr>
                  <w:tcW w:w="851" w:type="pct"/>
                  <w:tcBorders>
                    <w:top w:val="single" w:color="auto" w:sz="4" w:space="0"/>
                    <w:left w:val="single" w:color="auto" w:sz="4" w:space="0"/>
                    <w:bottom w:val="single" w:color="auto" w:sz="4" w:space="0"/>
                    <w:right w:val="single" w:color="auto" w:sz="4" w:space="0"/>
                  </w:tcBorders>
                  <w:vAlign w:val="center"/>
                </w:tcPr>
                <w:p w14:paraId="2B2FBA2C">
                  <w:pPr>
                    <w:jc w:val="center"/>
                    <w:rPr>
                      <w:rFonts w:hint="default" w:ascii="Times New Roman" w:hAnsi="Times New Roman" w:cs="Times New Roman"/>
                      <w:sz w:val="18"/>
                      <w:szCs w:val="18"/>
                    </w:rPr>
                  </w:pPr>
                  <w:r>
                    <w:rPr>
                      <w:rFonts w:hint="default" w:ascii="Times New Roman" w:hAnsi="Times New Roman" w:cs="Times New Roman"/>
                      <w:sz w:val="18"/>
                      <w:szCs w:val="18"/>
                    </w:rPr>
                    <w:t>BOD</w:t>
                  </w:r>
                  <w:r>
                    <w:rPr>
                      <w:rFonts w:hint="default" w:ascii="Times New Roman" w:hAnsi="Times New Roman" w:cs="Times New Roman"/>
                      <w:sz w:val="18"/>
                      <w:szCs w:val="18"/>
                      <w:vertAlign w:val="subscript"/>
                    </w:rPr>
                    <w:t>5</w:t>
                  </w:r>
                </w:p>
              </w:tc>
              <w:tc>
                <w:tcPr>
                  <w:tcW w:w="781" w:type="pct"/>
                  <w:tcBorders>
                    <w:top w:val="single" w:color="auto" w:sz="4" w:space="0"/>
                    <w:left w:val="single" w:color="auto" w:sz="4" w:space="0"/>
                    <w:bottom w:val="single" w:color="auto" w:sz="4" w:space="0"/>
                    <w:right w:val="single" w:color="auto" w:sz="4" w:space="0"/>
                  </w:tcBorders>
                  <w:vAlign w:val="center"/>
                </w:tcPr>
                <w:p w14:paraId="14FF076C">
                  <w:pPr>
                    <w:jc w:val="center"/>
                    <w:rPr>
                      <w:rFonts w:hint="default" w:ascii="Times New Roman" w:hAnsi="Times New Roman" w:cs="Times New Roman"/>
                      <w:sz w:val="18"/>
                      <w:szCs w:val="18"/>
                    </w:rPr>
                  </w:pPr>
                  <w:r>
                    <w:rPr>
                      <w:rFonts w:hint="default" w:ascii="Times New Roman" w:hAnsi="Times New Roman" w:cs="Times New Roman"/>
                      <w:sz w:val="18"/>
                      <w:szCs w:val="18"/>
                    </w:rPr>
                    <w:t>氨氮</w:t>
                  </w:r>
                </w:p>
              </w:tc>
              <w:tc>
                <w:tcPr>
                  <w:tcW w:w="815" w:type="pct"/>
                  <w:tcBorders>
                    <w:top w:val="single" w:color="auto" w:sz="4" w:space="0"/>
                    <w:left w:val="single" w:color="auto" w:sz="4" w:space="0"/>
                    <w:bottom w:val="single" w:color="auto" w:sz="4" w:space="0"/>
                    <w:right w:val="single" w:color="auto" w:sz="4" w:space="0"/>
                  </w:tcBorders>
                  <w:vAlign w:val="center"/>
                </w:tcPr>
                <w:p w14:paraId="40A6230B">
                  <w:pPr>
                    <w:jc w:val="center"/>
                    <w:rPr>
                      <w:rFonts w:hint="default" w:ascii="Times New Roman" w:hAnsi="Times New Roman" w:cs="Times New Roman"/>
                      <w:sz w:val="18"/>
                      <w:szCs w:val="18"/>
                    </w:rPr>
                  </w:pPr>
                  <w:r>
                    <w:rPr>
                      <w:rFonts w:hint="default" w:ascii="Times New Roman" w:hAnsi="Times New Roman" w:cs="Times New Roman"/>
                      <w:sz w:val="18"/>
                      <w:szCs w:val="18"/>
                    </w:rPr>
                    <w:t>悬浮物</w:t>
                  </w:r>
                </w:p>
              </w:tc>
              <w:tc>
                <w:tcPr>
                  <w:tcW w:w="815" w:type="pct"/>
                  <w:tcBorders>
                    <w:top w:val="single" w:color="auto" w:sz="4" w:space="0"/>
                    <w:left w:val="single" w:color="auto" w:sz="4" w:space="0"/>
                    <w:bottom w:val="single" w:color="auto" w:sz="4" w:space="0"/>
                    <w:right w:val="single" w:color="auto" w:sz="4" w:space="0"/>
                  </w:tcBorders>
                  <w:vAlign w:val="center"/>
                </w:tcPr>
                <w:p w14:paraId="174E9935">
                  <w:pPr>
                    <w:jc w:val="center"/>
                    <w:rPr>
                      <w:rFonts w:hint="default" w:cs="Times New Roman"/>
                      <w:sz w:val="18"/>
                      <w:szCs w:val="18"/>
                      <w:lang w:val="en-US" w:eastAsia="zh-CN"/>
                    </w:rPr>
                  </w:pPr>
                  <w:r>
                    <w:rPr>
                      <w:rFonts w:hint="eastAsia" w:cs="Times New Roman"/>
                      <w:sz w:val="18"/>
                      <w:szCs w:val="18"/>
                      <w:lang w:val="en-US" w:eastAsia="zh-CN"/>
                    </w:rPr>
                    <w:t>pH</w:t>
                  </w:r>
                </w:p>
              </w:tc>
            </w:tr>
            <w:tr w14:paraId="09B2D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83" w:type="pct"/>
                  <w:tcBorders>
                    <w:top w:val="single" w:color="auto" w:sz="4" w:space="0"/>
                    <w:left w:val="single" w:color="auto" w:sz="4" w:space="0"/>
                    <w:bottom w:val="single" w:color="auto" w:sz="4" w:space="0"/>
                    <w:right w:val="single" w:color="auto" w:sz="4" w:space="0"/>
                  </w:tcBorders>
                  <w:vAlign w:val="center"/>
                </w:tcPr>
                <w:p w14:paraId="13A930CD">
                  <w:pPr>
                    <w:jc w:val="center"/>
                    <w:rPr>
                      <w:rFonts w:hint="default" w:ascii="Times New Roman" w:hAnsi="Times New Roman" w:cs="Times New Roman"/>
                      <w:sz w:val="18"/>
                      <w:szCs w:val="18"/>
                    </w:rPr>
                  </w:pPr>
                  <w:r>
                    <w:rPr>
                      <w:rFonts w:hint="default" w:ascii="Times New Roman" w:hAnsi="Times New Roman" w:cs="Times New Roman"/>
                      <w:sz w:val="18"/>
                      <w:szCs w:val="18"/>
                    </w:rPr>
                    <w:t>浓度限值</w:t>
                  </w:r>
                </w:p>
              </w:tc>
              <w:tc>
                <w:tcPr>
                  <w:tcW w:w="753" w:type="pct"/>
                  <w:tcBorders>
                    <w:top w:val="single" w:color="auto" w:sz="4" w:space="0"/>
                    <w:left w:val="single" w:color="auto" w:sz="4" w:space="0"/>
                    <w:bottom w:val="single" w:color="auto" w:sz="4" w:space="0"/>
                    <w:right w:val="single" w:color="auto" w:sz="4" w:space="0"/>
                  </w:tcBorders>
                  <w:vAlign w:val="center"/>
                </w:tcPr>
                <w:p w14:paraId="5694A13F">
                  <w:pPr>
                    <w:jc w:val="center"/>
                    <w:rPr>
                      <w:rFonts w:hint="default" w:ascii="Times New Roman" w:hAnsi="Times New Roman" w:cs="Times New Roman"/>
                      <w:sz w:val="18"/>
                      <w:szCs w:val="18"/>
                    </w:rPr>
                  </w:pPr>
                  <w:r>
                    <w:rPr>
                      <w:rFonts w:hint="default" w:ascii="Times New Roman" w:hAnsi="Times New Roman" w:cs="Times New Roman"/>
                      <w:sz w:val="18"/>
                      <w:szCs w:val="18"/>
                    </w:rPr>
                    <w:t>500</w:t>
                  </w:r>
                </w:p>
              </w:tc>
              <w:tc>
                <w:tcPr>
                  <w:tcW w:w="851" w:type="pct"/>
                  <w:tcBorders>
                    <w:top w:val="single" w:color="auto" w:sz="4" w:space="0"/>
                    <w:left w:val="single" w:color="auto" w:sz="4" w:space="0"/>
                    <w:bottom w:val="single" w:color="auto" w:sz="4" w:space="0"/>
                    <w:right w:val="single" w:color="auto" w:sz="4" w:space="0"/>
                  </w:tcBorders>
                  <w:vAlign w:val="center"/>
                </w:tcPr>
                <w:p w14:paraId="5006DC99">
                  <w:pPr>
                    <w:jc w:val="center"/>
                    <w:rPr>
                      <w:rFonts w:hint="default" w:ascii="Times New Roman" w:hAnsi="Times New Roman" w:cs="Times New Roman"/>
                      <w:sz w:val="18"/>
                      <w:szCs w:val="18"/>
                    </w:rPr>
                  </w:pPr>
                  <w:r>
                    <w:rPr>
                      <w:rFonts w:hint="default" w:ascii="Times New Roman" w:hAnsi="Times New Roman" w:cs="Times New Roman"/>
                      <w:sz w:val="18"/>
                      <w:szCs w:val="18"/>
                    </w:rPr>
                    <w:t>3</w:t>
                  </w:r>
                  <w:r>
                    <w:rPr>
                      <w:rFonts w:hint="eastAsia" w:cs="Times New Roman"/>
                      <w:sz w:val="18"/>
                      <w:szCs w:val="18"/>
                      <w:lang w:val="en-US" w:eastAsia="zh-CN"/>
                    </w:rPr>
                    <w:t>5</w:t>
                  </w:r>
                  <w:r>
                    <w:rPr>
                      <w:rFonts w:hint="default" w:ascii="Times New Roman" w:hAnsi="Times New Roman" w:cs="Times New Roman"/>
                      <w:sz w:val="18"/>
                      <w:szCs w:val="18"/>
                    </w:rPr>
                    <w:t>0</w:t>
                  </w:r>
                </w:p>
              </w:tc>
              <w:tc>
                <w:tcPr>
                  <w:tcW w:w="781" w:type="pct"/>
                  <w:tcBorders>
                    <w:top w:val="single" w:color="auto" w:sz="4" w:space="0"/>
                    <w:left w:val="single" w:color="auto" w:sz="4" w:space="0"/>
                    <w:bottom w:val="single" w:color="auto" w:sz="4" w:space="0"/>
                    <w:right w:val="single" w:color="auto" w:sz="4" w:space="0"/>
                  </w:tcBorders>
                  <w:vAlign w:val="center"/>
                </w:tcPr>
                <w:p w14:paraId="538DD64E">
                  <w:pPr>
                    <w:jc w:val="center"/>
                    <w:rPr>
                      <w:rFonts w:hint="default" w:ascii="Times New Roman" w:hAnsi="Times New Roman" w:cs="Times New Roman"/>
                      <w:sz w:val="18"/>
                      <w:szCs w:val="18"/>
                    </w:rPr>
                  </w:pPr>
                  <w:r>
                    <w:rPr>
                      <w:rFonts w:hint="default" w:ascii="Times New Roman" w:hAnsi="Times New Roman" w:cs="Times New Roman"/>
                      <w:sz w:val="18"/>
                      <w:szCs w:val="18"/>
                    </w:rPr>
                    <w:t>45</w:t>
                  </w:r>
                </w:p>
              </w:tc>
              <w:tc>
                <w:tcPr>
                  <w:tcW w:w="815" w:type="pct"/>
                  <w:tcBorders>
                    <w:top w:val="single" w:color="auto" w:sz="4" w:space="0"/>
                    <w:left w:val="single" w:color="auto" w:sz="4" w:space="0"/>
                    <w:bottom w:val="single" w:color="auto" w:sz="4" w:space="0"/>
                    <w:right w:val="single" w:color="auto" w:sz="4" w:space="0"/>
                  </w:tcBorders>
                  <w:vAlign w:val="center"/>
                </w:tcPr>
                <w:p w14:paraId="443F94DD">
                  <w:pPr>
                    <w:jc w:val="center"/>
                    <w:rPr>
                      <w:rFonts w:hint="default" w:ascii="Times New Roman" w:hAnsi="Times New Roman" w:cs="Times New Roman"/>
                      <w:sz w:val="18"/>
                      <w:szCs w:val="18"/>
                    </w:rPr>
                  </w:pPr>
                  <w:r>
                    <w:rPr>
                      <w:rFonts w:hint="default" w:ascii="Times New Roman" w:hAnsi="Times New Roman" w:cs="Times New Roman"/>
                      <w:sz w:val="18"/>
                      <w:szCs w:val="18"/>
                    </w:rPr>
                    <w:t>400</w:t>
                  </w:r>
                </w:p>
              </w:tc>
              <w:tc>
                <w:tcPr>
                  <w:tcW w:w="815" w:type="pct"/>
                  <w:tcBorders>
                    <w:top w:val="single" w:color="auto" w:sz="4" w:space="0"/>
                    <w:left w:val="single" w:color="auto" w:sz="4" w:space="0"/>
                    <w:bottom w:val="single" w:color="auto" w:sz="4" w:space="0"/>
                    <w:right w:val="single" w:color="auto" w:sz="4" w:space="0"/>
                  </w:tcBorders>
                  <w:vAlign w:val="center"/>
                </w:tcPr>
                <w:p w14:paraId="174A9285">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6.5-9.5</w:t>
                  </w:r>
                </w:p>
              </w:tc>
            </w:tr>
          </w:tbl>
          <w:p w14:paraId="3B0B2F3C">
            <w:pPr>
              <w:spacing w:line="420" w:lineRule="exact"/>
              <w:ind w:firstLine="422" w:firstLineChars="200"/>
              <w:rPr>
                <w:b/>
              </w:rPr>
            </w:pPr>
            <w:r>
              <w:rPr>
                <w:rFonts w:hint="eastAsia"/>
                <w:b/>
                <w:lang w:val="en-US" w:eastAsia="zh-CN"/>
              </w:rPr>
              <w:t>4</w:t>
            </w:r>
            <w:r>
              <w:rPr>
                <w:b/>
              </w:rPr>
              <w:t>、固废</w:t>
            </w:r>
          </w:p>
          <w:p w14:paraId="2DB32237">
            <w:pPr>
              <w:adjustRightInd w:val="0"/>
              <w:snapToGrid w:val="0"/>
              <w:spacing w:line="420" w:lineRule="exact"/>
              <w:ind w:firstLine="420" w:firstLineChars="200"/>
              <w:rPr>
                <w:color w:val="auto"/>
              </w:rPr>
            </w:pPr>
            <w:r>
              <w:rPr>
                <w:rFonts w:hint="default" w:ascii="Times New Roman" w:hAnsi="Times New Roman" w:cs="Times New Roman"/>
                <w:szCs w:val="21"/>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rFonts w:hint="default" w:ascii="Times New Roman" w:hAnsi="Times New Roman" w:cs="Times New Roman"/>
                <w:lang w:eastAsia="zh-CN"/>
              </w:rPr>
              <w:t>。</w:t>
            </w:r>
            <w:r>
              <w:rPr>
                <w:rFonts w:hint="default" w:ascii="Times New Roman" w:hAnsi="Times New Roman" w:cs="Times New Roman"/>
              </w:rPr>
              <w:t>危险废物执行《危险废物贮存污染控制标准》（GB18597-2023）</w:t>
            </w:r>
            <w:r>
              <w:rPr>
                <w:rFonts w:ascii="宋体" w:hAnsi="宋体"/>
              </w:rPr>
              <w:t>及淄博市对固废处置的有关规定</w:t>
            </w:r>
            <w:r>
              <w:rPr>
                <w:color w:val="auto"/>
              </w:rPr>
              <w:t>。</w:t>
            </w:r>
          </w:p>
          <w:p w14:paraId="0128EFFD">
            <w:pPr>
              <w:adjustRightInd w:val="0"/>
              <w:snapToGrid w:val="0"/>
              <w:spacing w:line="420" w:lineRule="exact"/>
            </w:pPr>
          </w:p>
          <w:p w14:paraId="0BDD6A01">
            <w:pPr>
              <w:pStyle w:val="2"/>
            </w:pPr>
          </w:p>
        </w:tc>
      </w:tr>
      <w:tr w14:paraId="3EF22C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14:paraId="4F85E44C">
            <w:pPr>
              <w:adjustRightInd w:val="0"/>
              <w:snapToGrid w:val="0"/>
              <w:spacing w:line="420" w:lineRule="exact"/>
              <w:jc w:val="center"/>
              <w:rPr>
                <w:kern w:val="0"/>
              </w:rPr>
            </w:pPr>
            <w:r>
              <w:rPr>
                <w:kern w:val="0"/>
              </w:rPr>
              <w:t>总量</w:t>
            </w:r>
          </w:p>
          <w:p w14:paraId="46E0B5DA">
            <w:pPr>
              <w:adjustRightInd w:val="0"/>
              <w:snapToGrid w:val="0"/>
              <w:spacing w:line="420" w:lineRule="exact"/>
              <w:jc w:val="center"/>
              <w:rPr>
                <w:kern w:val="0"/>
              </w:rPr>
            </w:pPr>
            <w:r>
              <w:rPr>
                <w:kern w:val="0"/>
              </w:rPr>
              <w:t>控制</w:t>
            </w:r>
          </w:p>
          <w:p w14:paraId="4808A723">
            <w:pPr>
              <w:adjustRightInd w:val="0"/>
              <w:snapToGrid w:val="0"/>
              <w:spacing w:line="420" w:lineRule="exact"/>
              <w:jc w:val="center"/>
              <w:rPr>
                <w:color w:val="FF0000"/>
                <w:kern w:val="0"/>
              </w:rPr>
            </w:pPr>
            <w:r>
              <w:rPr>
                <w:kern w:val="0"/>
              </w:rPr>
              <w:t>指标</w:t>
            </w:r>
          </w:p>
        </w:tc>
        <w:tc>
          <w:tcPr>
            <w:tcW w:w="8190" w:type="dxa"/>
            <w:vAlign w:val="center"/>
          </w:tcPr>
          <w:p w14:paraId="7A36D3D2">
            <w:pPr>
              <w:spacing w:line="360" w:lineRule="auto"/>
              <w:ind w:firstLine="420" w:firstLineChars="200"/>
            </w:pPr>
          </w:p>
          <w:p w14:paraId="2D31708B">
            <w:pPr>
              <w:spacing w:line="360" w:lineRule="auto"/>
              <w:ind w:firstLine="420" w:firstLineChars="200"/>
            </w:pPr>
          </w:p>
          <w:p w14:paraId="6F838A8E">
            <w:pPr>
              <w:spacing w:line="360" w:lineRule="auto"/>
              <w:ind w:firstLine="420" w:firstLineChars="200"/>
              <w:rPr>
                <w:sz w:val="21"/>
                <w:szCs w:val="21"/>
              </w:rPr>
            </w:pPr>
          </w:p>
          <w:p w14:paraId="479CDF10">
            <w:pPr>
              <w:spacing w:line="360" w:lineRule="auto"/>
              <w:ind w:firstLine="420" w:firstLineChars="200"/>
              <w:rPr>
                <w:sz w:val="21"/>
                <w:szCs w:val="21"/>
              </w:rPr>
            </w:pPr>
          </w:p>
          <w:p w14:paraId="0212C492">
            <w:pPr>
              <w:spacing w:line="360" w:lineRule="auto"/>
              <w:ind w:firstLine="420" w:firstLineChars="200"/>
              <w:rPr>
                <w:sz w:val="21"/>
                <w:szCs w:val="21"/>
              </w:rPr>
            </w:pPr>
          </w:p>
          <w:p w14:paraId="595518E2">
            <w:pPr>
              <w:spacing w:line="360" w:lineRule="auto"/>
              <w:ind w:firstLine="420" w:firstLineChars="200"/>
              <w:rPr>
                <w:sz w:val="21"/>
                <w:szCs w:val="21"/>
              </w:rPr>
            </w:pPr>
          </w:p>
          <w:p w14:paraId="4B5DDF39">
            <w:pPr>
              <w:spacing w:line="360" w:lineRule="auto"/>
              <w:ind w:firstLine="420" w:firstLineChars="200"/>
              <w:rPr>
                <w:sz w:val="21"/>
                <w:szCs w:val="21"/>
              </w:rPr>
            </w:pPr>
          </w:p>
          <w:p w14:paraId="7E00AD3D">
            <w:pPr>
              <w:spacing w:line="360" w:lineRule="auto"/>
              <w:ind w:firstLine="420" w:firstLineChars="200"/>
              <w:rPr>
                <w:sz w:val="21"/>
                <w:szCs w:val="21"/>
              </w:rPr>
            </w:pPr>
          </w:p>
          <w:p w14:paraId="53ECD43A">
            <w:pPr>
              <w:spacing w:line="360" w:lineRule="auto"/>
              <w:ind w:firstLine="420" w:firstLineChars="200"/>
              <w:rPr>
                <w:sz w:val="21"/>
                <w:szCs w:val="21"/>
              </w:rPr>
            </w:pPr>
          </w:p>
          <w:p w14:paraId="37D2DAFA">
            <w:pPr>
              <w:spacing w:line="360" w:lineRule="auto"/>
              <w:ind w:firstLine="420" w:firstLineChars="200"/>
              <w:rPr>
                <w:sz w:val="21"/>
                <w:szCs w:val="21"/>
              </w:rPr>
            </w:pPr>
            <w:r>
              <w:rPr>
                <w:sz w:val="21"/>
                <w:szCs w:val="21"/>
              </w:rPr>
              <w:t>根据《山东省建设项目主要大气污染物排放总量替代指标核算及管理办法》（鲁环发[2019]132号），山东省二氧化硫、氮氧化物、烟粉尘、挥发性有机物四项大气污染物排放总量进行替代指标的核算。用于建设项目的“可替代总量指标”不得低于建设项目所需替代的主要大气污染物排放总量指标。上一年度环境空气质量年平均浓度达标的城市，相关污染物进行等量替代。上一年度环境空气质量年平均浓度不达标的城市，相关污染物应按照建设项目所需替代的污染物排放总量指标的2倍进行削减替代（燃煤发电机组大气污染物排放浓度达到超低排放标准的进行等量替代）。上一年度细颗粒物年平均浓度超标的设区的市，实行二氧化硫、氮氧化物、烟粉尘、挥发性有机物四项污染物排放总量指标2倍削减替代。</w:t>
            </w:r>
          </w:p>
          <w:p w14:paraId="474D3F94">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sz w:val="21"/>
                <w:szCs w:val="21"/>
                <w:highlight w:val="none"/>
                <w:lang w:val="en-US" w:eastAsia="zh-CN"/>
              </w:rPr>
            </w:pPr>
            <w:r>
              <w:rPr>
                <w:rFonts w:hint="eastAsia"/>
                <w:sz w:val="21"/>
                <w:szCs w:val="21"/>
                <w:highlight w:val="none"/>
                <w:lang w:val="en-US" w:eastAsia="zh-CN"/>
              </w:rPr>
              <w:t>项目建成后，新厂区</w:t>
            </w:r>
            <w:r>
              <w:rPr>
                <w:sz w:val="21"/>
                <w:szCs w:val="21"/>
                <w:highlight w:val="none"/>
                <w:lang w:val="en-US" w:eastAsia="zh-CN"/>
              </w:rPr>
              <w:t>有组织颗粒物排放量为</w:t>
            </w:r>
            <w:r>
              <w:rPr>
                <w:rFonts w:hint="eastAsia"/>
                <w:sz w:val="21"/>
                <w:szCs w:val="21"/>
                <w:highlight w:val="none"/>
                <w:lang w:val="en-US" w:eastAsia="zh-CN"/>
              </w:rPr>
              <w:t>0.1173</w:t>
            </w:r>
            <w:r>
              <w:rPr>
                <w:sz w:val="21"/>
                <w:szCs w:val="21"/>
                <w:highlight w:val="none"/>
                <w:lang w:val="en-US" w:eastAsia="zh-CN"/>
              </w:rPr>
              <w:t>t/a</w:t>
            </w:r>
            <w:r>
              <w:rPr>
                <w:rFonts w:hint="eastAsia"/>
                <w:sz w:val="21"/>
                <w:szCs w:val="21"/>
                <w:highlight w:val="none"/>
                <w:lang w:val="en-US" w:eastAsia="zh-CN"/>
              </w:rPr>
              <w:t>；有组织VOCs</w:t>
            </w:r>
            <w:r>
              <w:rPr>
                <w:rFonts w:hint="eastAsia"/>
                <w:sz w:val="21"/>
                <w:szCs w:val="21"/>
                <w:highlight w:val="none"/>
                <w:vertAlign w:val="baseline"/>
                <w:lang w:val="en-US" w:eastAsia="zh-CN"/>
              </w:rPr>
              <w:t>排放量为0.3922t/a</w:t>
            </w:r>
            <w:r>
              <w:rPr>
                <w:sz w:val="21"/>
                <w:szCs w:val="21"/>
                <w:highlight w:val="none"/>
                <w:lang w:val="en-US" w:eastAsia="zh-CN"/>
              </w:rPr>
              <w:t>。</w:t>
            </w:r>
          </w:p>
          <w:p w14:paraId="3FECD906">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textAlignment w:val="auto"/>
              <w:rPr>
                <w:rFonts w:hint="default"/>
                <w:sz w:val="21"/>
                <w:szCs w:val="21"/>
                <w:highlight w:val="none"/>
                <w:lang w:val="en-US" w:eastAsia="zh-CN"/>
              </w:rPr>
            </w:pPr>
            <w:r>
              <w:rPr>
                <w:rFonts w:hint="eastAsia"/>
                <w:sz w:val="21"/>
                <w:szCs w:val="21"/>
                <w:highlight w:val="none"/>
                <w:lang w:val="en-US" w:eastAsia="zh-CN"/>
              </w:rPr>
              <w:t>本项目建成后，需申请污染物总量指标为颗粒物0.1173t/a，VOCs</w:t>
            </w:r>
            <w:r>
              <w:rPr>
                <w:rFonts w:hint="eastAsia"/>
                <w:sz w:val="21"/>
                <w:szCs w:val="21"/>
                <w:highlight w:val="none"/>
                <w:vertAlign w:val="baseline"/>
                <w:lang w:val="en-US" w:eastAsia="zh-CN"/>
              </w:rPr>
              <w:t>0.3922t/a</w:t>
            </w:r>
            <w:r>
              <w:rPr>
                <w:rFonts w:hint="eastAsia"/>
                <w:sz w:val="21"/>
                <w:szCs w:val="21"/>
                <w:highlight w:val="none"/>
                <w:lang w:val="en-US" w:eastAsia="zh-CN"/>
              </w:rPr>
              <w:t>。</w:t>
            </w:r>
          </w:p>
          <w:p w14:paraId="4181AF35">
            <w:pPr>
              <w:spacing w:line="360" w:lineRule="auto"/>
              <w:ind w:firstLine="420" w:firstLineChars="200"/>
              <w:rPr>
                <w:rFonts w:hint="eastAsia"/>
                <w:sz w:val="21"/>
                <w:szCs w:val="21"/>
                <w:highlight w:val="none"/>
                <w:lang w:val="en-US" w:eastAsia="zh-CN"/>
              </w:rPr>
            </w:pPr>
            <w:r>
              <w:rPr>
                <w:rFonts w:hint="eastAsia"/>
                <w:sz w:val="21"/>
                <w:szCs w:val="21"/>
                <w:highlight w:val="none"/>
                <w:lang w:val="en-US" w:eastAsia="zh-CN"/>
              </w:rPr>
              <w:t>根据淄博市生态环境局《关于统筹使用“十四五”建设项目主要大气污染物总量指标的通知》（淄环函〔2021〕55号）规定，</w:t>
            </w:r>
            <w:r>
              <w:rPr>
                <w:rFonts w:hint="default" w:ascii="Times New Roman" w:hAnsi="Times New Roman" w:cs="Times New Roman"/>
                <w:color w:val="auto"/>
                <w:highlight w:val="none"/>
              </w:rPr>
              <w:t>上一年度淄博市细颗粒物不达标，实行二氧化硫、氮氧化物、烟粉尘、挥发性有机物四项污染物排放总量指标2倍削减替代</w:t>
            </w:r>
            <w:r>
              <w:rPr>
                <w:sz w:val="21"/>
                <w:szCs w:val="21"/>
                <w:highlight w:val="none"/>
              </w:rPr>
              <w:t>。</w:t>
            </w:r>
            <w:r>
              <w:rPr>
                <w:rFonts w:hint="eastAsia"/>
                <w:sz w:val="21"/>
                <w:szCs w:val="21"/>
                <w:highlight w:val="none"/>
                <w:lang w:val="en-US" w:eastAsia="zh-CN"/>
              </w:rPr>
              <w:t>该项目所需颗粒物、VOCs按1:2比例替代，即需调剂颗粒物0.2346t/a，VOCs</w:t>
            </w:r>
            <w:r>
              <w:rPr>
                <w:rFonts w:hint="eastAsia"/>
                <w:sz w:val="21"/>
                <w:szCs w:val="21"/>
                <w:highlight w:val="none"/>
                <w:vertAlign w:val="baseline"/>
                <w:lang w:val="en-US" w:eastAsia="zh-CN"/>
              </w:rPr>
              <w:t>0.7844t/a</w:t>
            </w:r>
            <w:r>
              <w:rPr>
                <w:rFonts w:hint="eastAsia"/>
                <w:sz w:val="21"/>
                <w:szCs w:val="21"/>
                <w:highlight w:val="none"/>
                <w:lang w:val="en-US" w:eastAsia="zh-CN"/>
              </w:rPr>
              <w:t>方可达到污染物倍量替代要求。</w:t>
            </w:r>
          </w:p>
          <w:p w14:paraId="09CE124F">
            <w:pPr>
              <w:pStyle w:val="2"/>
              <w:rPr>
                <w:rFonts w:hint="eastAsia"/>
                <w:sz w:val="21"/>
                <w:szCs w:val="21"/>
                <w:highlight w:val="none"/>
                <w:lang w:val="en-US" w:eastAsia="zh-CN"/>
              </w:rPr>
            </w:pPr>
          </w:p>
          <w:p w14:paraId="18777133">
            <w:pPr>
              <w:rPr>
                <w:rFonts w:hint="eastAsia"/>
                <w:sz w:val="21"/>
                <w:szCs w:val="21"/>
                <w:highlight w:val="none"/>
                <w:lang w:val="en-US" w:eastAsia="zh-CN"/>
              </w:rPr>
            </w:pPr>
          </w:p>
          <w:p w14:paraId="5D82BC1E">
            <w:pPr>
              <w:pStyle w:val="2"/>
              <w:rPr>
                <w:rFonts w:hint="eastAsia"/>
                <w:sz w:val="21"/>
                <w:szCs w:val="21"/>
                <w:highlight w:val="none"/>
                <w:lang w:val="en-US" w:eastAsia="zh-CN"/>
              </w:rPr>
            </w:pPr>
          </w:p>
          <w:p w14:paraId="16BAC8FA">
            <w:pPr>
              <w:rPr>
                <w:rFonts w:hint="eastAsia"/>
                <w:lang w:val="en-US" w:eastAsia="zh-CN"/>
              </w:rPr>
            </w:pPr>
          </w:p>
          <w:p w14:paraId="7418CD9E">
            <w:pPr>
              <w:pStyle w:val="2"/>
              <w:rPr>
                <w:rFonts w:hint="eastAsia"/>
                <w:lang w:val="en-US" w:eastAsia="zh-CN"/>
              </w:rPr>
            </w:pPr>
          </w:p>
          <w:p w14:paraId="21CB6E34">
            <w:pPr>
              <w:spacing w:line="360" w:lineRule="auto"/>
              <w:ind w:firstLine="420" w:firstLineChars="200"/>
              <w:rPr>
                <w:rFonts w:hint="eastAsia"/>
                <w:sz w:val="21"/>
                <w:szCs w:val="21"/>
                <w:highlight w:val="none"/>
                <w:lang w:val="en-US" w:eastAsia="zh-CN"/>
              </w:rPr>
            </w:pPr>
          </w:p>
          <w:p w14:paraId="3F337138">
            <w:pPr>
              <w:spacing w:line="360" w:lineRule="auto"/>
              <w:ind w:firstLine="420" w:firstLineChars="200"/>
              <w:rPr>
                <w:rFonts w:hint="eastAsia"/>
                <w:sz w:val="21"/>
                <w:szCs w:val="21"/>
                <w:highlight w:val="none"/>
                <w:lang w:val="en-US" w:eastAsia="zh-CN"/>
              </w:rPr>
            </w:pPr>
          </w:p>
          <w:p w14:paraId="62CBF8AE">
            <w:pPr>
              <w:pStyle w:val="2"/>
              <w:ind w:left="0" w:leftChars="0" w:firstLine="0" w:firstLineChars="0"/>
            </w:pPr>
          </w:p>
        </w:tc>
      </w:tr>
    </w:tbl>
    <w:p w14:paraId="722D9711">
      <w:pPr>
        <w:pStyle w:val="76"/>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color w:val="FF0000"/>
          <w:sz w:val="36"/>
          <w:szCs w:val="36"/>
        </w:rPr>
        <w:br w:type="page"/>
      </w:r>
      <w:r>
        <w:rPr>
          <w:rFonts w:ascii="Times New Roman" w:hAnsi="Times New Roman" w:eastAsia="黑体"/>
          <w:snapToGrid w:val="0"/>
          <w:sz w:val="30"/>
          <w:szCs w:val="30"/>
        </w:rPr>
        <w:t>四、主要环境影响和保护措施</w:t>
      </w:r>
    </w:p>
    <w:tbl>
      <w:tblPr>
        <w:tblStyle w:val="81"/>
        <w:tblpPr w:leftFromText="180" w:rightFromText="180" w:vertAnchor="text" w:tblpXSpec="right"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6"/>
        <w:gridCol w:w="8178"/>
      </w:tblGrid>
      <w:tr w14:paraId="64BD5A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1550" w:hRule="atLeast"/>
        </w:trPr>
        <w:tc>
          <w:tcPr>
            <w:tcW w:w="736" w:type="dxa"/>
            <w:vAlign w:val="center"/>
          </w:tcPr>
          <w:p w14:paraId="7CD8A944">
            <w:pPr>
              <w:pStyle w:val="76"/>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施工</w:t>
            </w:r>
          </w:p>
          <w:p w14:paraId="343F9185">
            <w:pPr>
              <w:pStyle w:val="76"/>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期环</w:t>
            </w:r>
          </w:p>
          <w:p w14:paraId="1B51C53F">
            <w:pPr>
              <w:pStyle w:val="76"/>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境保</w:t>
            </w:r>
          </w:p>
          <w:p w14:paraId="60F67A5A">
            <w:pPr>
              <w:pStyle w:val="76"/>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护措</w:t>
            </w:r>
          </w:p>
          <w:p w14:paraId="4234FCDE">
            <w:pPr>
              <w:pStyle w:val="76"/>
              <w:adjustRightInd w:val="0"/>
              <w:snapToGrid w:val="0"/>
              <w:spacing w:before="0" w:beforeAutospacing="0" w:after="0" w:afterAutospacing="0" w:line="420" w:lineRule="exact"/>
              <w:jc w:val="center"/>
              <w:rPr>
                <w:rFonts w:ascii="Times New Roman" w:hAnsi="Times New Roman"/>
                <w:kern w:val="2"/>
                <w:sz w:val="21"/>
                <w:szCs w:val="21"/>
              </w:rPr>
            </w:pPr>
            <w:r>
              <w:rPr>
                <w:rFonts w:ascii="Times New Roman" w:hAnsi="Times New Roman"/>
                <w:kern w:val="2"/>
                <w:sz w:val="21"/>
                <w:szCs w:val="21"/>
              </w:rPr>
              <w:t>施</w:t>
            </w:r>
          </w:p>
        </w:tc>
        <w:tc>
          <w:tcPr>
            <w:tcW w:w="8178" w:type="dxa"/>
            <w:vAlign w:val="center"/>
          </w:tcPr>
          <w:p w14:paraId="2868F784">
            <w:pPr>
              <w:widowControl/>
              <w:spacing w:line="360" w:lineRule="auto"/>
              <w:ind w:firstLine="480"/>
              <w:rPr>
                <w:b/>
              </w:rPr>
            </w:pPr>
            <w:r>
              <w:rPr>
                <w:b/>
              </w:rPr>
              <w:t>施工期环境影响简要分析：</w:t>
            </w:r>
          </w:p>
          <w:p w14:paraId="363AB0A8">
            <w:pPr>
              <w:pStyle w:val="102"/>
              <w:snapToGrid w:val="0"/>
              <w:spacing w:beforeLines="50" w:line="360" w:lineRule="auto"/>
              <w:ind w:firstLine="420" w:firstLineChars="200"/>
              <w:rPr>
                <w:rFonts w:hint="eastAsia" w:eastAsia="宋体"/>
                <w:sz w:val="21"/>
                <w:szCs w:val="21"/>
                <w:highlight w:val="none"/>
                <w:lang w:eastAsia="zh-CN"/>
              </w:rPr>
            </w:pPr>
            <w:r>
              <w:rPr>
                <w:rFonts w:hint="eastAsia"/>
                <w:sz w:val="21"/>
                <w:szCs w:val="21"/>
                <w:highlight w:val="none"/>
              </w:rPr>
              <w:t>本项目</w:t>
            </w:r>
            <w:r>
              <w:rPr>
                <w:rFonts w:hint="eastAsia"/>
                <w:sz w:val="21"/>
                <w:szCs w:val="21"/>
                <w:highlight w:val="none"/>
                <w:lang w:eastAsia="zh-CN"/>
              </w:rPr>
              <w:t>在已建成厂房内进行生产，</w:t>
            </w:r>
            <w:r>
              <w:rPr>
                <w:rFonts w:hint="eastAsia"/>
                <w:sz w:val="21"/>
                <w:szCs w:val="21"/>
                <w:highlight w:val="none"/>
              </w:rPr>
              <w:t>施工期不进行土木建设，</w:t>
            </w:r>
            <w:r>
              <w:rPr>
                <w:sz w:val="21"/>
                <w:szCs w:val="21"/>
                <w:highlight w:val="none"/>
              </w:rPr>
              <w:t>主要为设备安装及调试，故施工期的主要影响因素是</w:t>
            </w:r>
            <w:r>
              <w:rPr>
                <w:rFonts w:hint="eastAsia"/>
                <w:sz w:val="21"/>
                <w:szCs w:val="21"/>
                <w:highlight w:val="none"/>
                <w:lang w:eastAsia="zh-CN"/>
              </w:rPr>
              <w:t>设备安装过程产生的焊接烟尘，</w:t>
            </w:r>
            <w:r>
              <w:rPr>
                <w:sz w:val="21"/>
                <w:szCs w:val="21"/>
                <w:highlight w:val="none"/>
              </w:rPr>
              <w:t>设备调试运行时产生的机械噪声</w:t>
            </w:r>
            <w:r>
              <w:rPr>
                <w:rFonts w:hint="eastAsia"/>
                <w:sz w:val="21"/>
                <w:szCs w:val="21"/>
                <w:highlight w:val="none"/>
                <w:lang w:eastAsia="zh-CN"/>
              </w:rPr>
              <w:t>振动</w:t>
            </w:r>
            <w:r>
              <w:rPr>
                <w:sz w:val="21"/>
                <w:szCs w:val="21"/>
                <w:highlight w:val="none"/>
              </w:rPr>
              <w:t>和设备安装时产生的少量固废</w:t>
            </w:r>
            <w:r>
              <w:rPr>
                <w:rFonts w:hint="eastAsia"/>
                <w:sz w:val="21"/>
                <w:szCs w:val="21"/>
                <w:highlight w:val="none"/>
                <w:lang w:eastAsia="zh-CN"/>
              </w:rPr>
              <w:t>。焊接过程配套焊烟净化器，设备调试过程保证车间密闭，设备安装时产生的少量固废全部外卖处理，均已配套相应污染防范措施，</w:t>
            </w:r>
            <w:r>
              <w:rPr>
                <w:sz w:val="21"/>
                <w:szCs w:val="21"/>
                <w:highlight w:val="none"/>
              </w:rPr>
              <w:t>对周围环境影响较小，</w:t>
            </w:r>
            <w:r>
              <w:rPr>
                <w:rFonts w:hint="eastAsia"/>
                <w:sz w:val="21"/>
                <w:szCs w:val="21"/>
                <w:highlight w:val="none"/>
                <w:lang w:eastAsia="zh-CN"/>
              </w:rPr>
              <w:t>且施工期较短，对周围的影响随着施工期的结束而结束</w:t>
            </w:r>
            <w:r>
              <w:rPr>
                <w:sz w:val="21"/>
                <w:szCs w:val="21"/>
                <w:highlight w:val="none"/>
              </w:rPr>
              <w:t>。</w:t>
            </w:r>
          </w:p>
          <w:p w14:paraId="2FFD8BCD">
            <w:pPr>
              <w:pStyle w:val="2"/>
              <w:adjustRightInd w:val="0"/>
              <w:snapToGrid w:val="0"/>
              <w:spacing w:line="360" w:lineRule="auto"/>
              <w:ind w:left="0" w:leftChars="0" w:firstLine="480" w:firstLineChars="200"/>
            </w:pPr>
          </w:p>
        </w:tc>
      </w:tr>
    </w:tbl>
    <w:p w14:paraId="628CB648">
      <w:pPr>
        <w:adjustRightInd w:val="0"/>
        <w:snapToGrid w:val="0"/>
        <w:spacing w:line="420" w:lineRule="exact"/>
        <w:rPr>
          <w:b/>
          <w:color w:val="FF0000"/>
          <w:kern w:val="0"/>
          <w:sz w:val="28"/>
          <w:szCs w:val="28"/>
        </w:rPr>
        <w:sectPr>
          <w:footerReference r:id="rId5" w:type="default"/>
          <w:pgSz w:w="11907" w:h="16840"/>
          <w:pgMar w:top="1701" w:right="1531" w:bottom="2127" w:left="1531" w:header="851" w:footer="1587" w:gutter="0"/>
          <w:pgNumType w:fmt="decimal"/>
          <w:cols w:space="720" w:num="1"/>
          <w:docGrid w:linePitch="312" w:charSpace="0"/>
        </w:sectPr>
      </w:pP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12807"/>
      </w:tblGrid>
      <w:tr w14:paraId="12E013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95" w:hRule="atLeast"/>
          <w:jc w:val="center"/>
        </w:trPr>
        <w:tc>
          <w:tcPr>
            <w:tcW w:w="845" w:type="dxa"/>
            <w:vAlign w:val="center"/>
          </w:tcPr>
          <w:p w14:paraId="54A9177F">
            <w:pPr>
              <w:adjustRightInd w:val="0"/>
              <w:snapToGrid w:val="0"/>
              <w:spacing w:line="420" w:lineRule="exact"/>
              <w:jc w:val="center"/>
              <w:rPr>
                <w:bCs/>
              </w:rPr>
            </w:pPr>
            <w:r>
              <w:rPr>
                <w:bCs/>
              </w:rPr>
              <w:t>运营</w:t>
            </w:r>
          </w:p>
          <w:p w14:paraId="3DF93EBC">
            <w:pPr>
              <w:adjustRightInd w:val="0"/>
              <w:snapToGrid w:val="0"/>
              <w:spacing w:line="420" w:lineRule="exact"/>
              <w:jc w:val="center"/>
              <w:rPr>
                <w:bCs/>
              </w:rPr>
            </w:pPr>
            <w:r>
              <w:rPr>
                <w:bCs/>
              </w:rPr>
              <w:t>期环</w:t>
            </w:r>
          </w:p>
          <w:p w14:paraId="561D8F85">
            <w:pPr>
              <w:adjustRightInd w:val="0"/>
              <w:snapToGrid w:val="0"/>
              <w:spacing w:line="420" w:lineRule="exact"/>
              <w:jc w:val="center"/>
              <w:rPr>
                <w:bCs/>
              </w:rPr>
            </w:pPr>
            <w:r>
              <w:rPr>
                <w:bCs/>
              </w:rPr>
              <w:t>境影</w:t>
            </w:r>
          </w:p>
          <w:p w14:paraId="7BFC671A">
            <w:pPr>
              <w:adjustRightInd w:val="0"/>
              <w:snapToGrid w:val="0"/>
              <w:spacing w:line="420" w:lineRule="exact"/>
              <w:jc w:val="center"/>
              <w:rPr>
                <w:bCs/>
              </w:rPr>
            </w:pPr>
            <w:r>
              <w:rPr>
                <w:bCs/>
              </w:rPr>
              <w:t>响和</w:t>
            </w:r>
          </w:p>
          <w:p w14:paraId="51AC7B0B">
            <w:pPr>
              <w:adjustRightInd w:val="0"/>
              <w:snapToGrid w:val="0"/>
              <w:spacing w:line="420" w:lineRule="exact"/>
              <w:jc w:val="center"/>
              <w:rPr>
                <w:bCs/>
              </w:rPr>
            </w:pPr>
            <w:r>
              <w:rPr>
                <w:bCs/>
              </w:rPr>
              <w:t>保护</w:t>
            </w:r>
          </w:p>
          <w:p w14:paraId="699F0399">
            <w:pPr>
              <w:adjustRightInd w:val="0"/>
              <w:snapToGrid w:val="0"/>
              <w:spacing w:line="420" w:lineRule="exact"/>
              <w:jc w:val="center"/>
              <w:rPr>
                <w:color w:val="FF0000"/>
              </w:rPr>
            </w:pPr>
            <w:r>
              <w:rPr>
                <w:bCs/>
              </w:rPr>
              <w:t>措施</w:t>
            </w:r>
          </w:p>
        </w:tc>
        <w:tc>
          <w:tcPr>
            <w:tcW w:w="12807" w:type="dxa"/>
          </w:tcPr>
          <w:p w14:paraId="378368C1">
            <w:pPr>
              <w:pStyle w:val="381"/>
              <w:ind w:firstLine="422"/>
              <w:rPr>
                <w:b/>
                <w:bCs/>
                <w:sz w:val="21"/>
              </w:rPr>
            </w:pPr>
            <w:r>
              <w:rPr>
                <w:b/>
                <w:bCs/>
                <w:sz w:val="21"/>
              </w:rPr>
              <w:t>一、大气污染物</w:t>
            </w:r>
          </w:p>
          <w:p w14:paraId="3CC5F764">
            <w:pPr>
              <w:pStyle w:val="2"/>
              <w:ind w:firstLine="422"/>
              <w:jc w:val="left"/>
              <w:rPr>
                <w:b/>
                <w:bCs/>
                <w:szCs w:val="21"/>
              </w:rPr>
            </w:pPr>
            <w:r>
              <w:rPr>
                <w:b/>
                <w:bCs/>
                <w:szCs w:val="21"/>
              </w:rPr>
              <w:t>（一）产排污环节、污染物及污染治理设施</w:t>
            </w:r>
          </w:p>
          <w:p w14:paraId="5568384B">
            <w:pPr>
              <w:jc w:val="center"/>
              <w:rPr>
                <w:b/>
                <w:bCs/>
              </w:rPr>
            </w:pPr>
            <w:r>
              <w:rPr>
                <w:b/>
                <w:bCs/>
              </w:rPr>
              <w:t>表 4-</w:t>
            </w:r>
            <w:r>
              <w:rPr>
                <w:rFonts w:hint="eastAsia"/>
                <w:b/>
                <w:bCs/>
                <w:lang w:val="en-US" w:eastAsia="zh-CN"/>
              </w:rPr>
              <w:t>1本项目</w:t>
            </w:r>
            <w:r>
              <w:rPr>
                <w:b/>
                <w:bCs/>
              </w:rPr>
              <w:t>废气产排污节点、污染物及污染治理设施信息表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63"/>
              <w:gridCol w:w="821"/>
              <w:gridCol w:w="924"/>
              <w:gridCol w:w="1078"/>
              <w:gridCol w:w="946"/>
              <w:gridCol w:w="968"/>
              <w:gridCol w:w="880"/>
              <w:gridCol w:w="726"/>
              <w:gridCol w:w="770"/>
              <w:gridCol w:w="550"/>
              <w:gridCol w:w="682"/>
              <w:gridCol w:w="877"/>
              <w:gridCol w:w="719"/>
              <w:gridCol w:w="741"/>
              <w:gridCol w:w="543"/>
              <w:gridCol w:w="793"/>
            </w:tblGrid>
            <w:tr w14:paraId="54DA0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563" w:type="dxa"/>
                  <w:vMerge w:val="restart"/>
                  <w:tcBorders>
                    <w:top w:val="single" w:color="auto" w:sz="4" w:space="0"/>
                    <w:left w:val="single" w:color="auto" w:sz="4" w:space="0"/>
                    <w:bottom w:val="single" w:color="auto" w:sz="4" w:space="0"/>
                    <w:right w:val="single" w:color="auto" w:sz="4" w:space="0"/>
                  </w:tcBorders>
                  <w:vAlign w:val="center"/>
                </w:tcPr>
                <w:p w14:paraId="09747C02">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产污环节</w:t>
                  </w:r>
                </w:p>
              </w:tc>
              <w:tc>
                <w:tcPr>
                  <w:tcW w:w="821" w:type="dxa"/>
                  <w:vMerge w:val="restart"/>
                  <w:tcBorders>
                    <w:top w:val="single" w:color="auto" w:sz="4" w:space="0"/>
                    <w:left w:val="single" w:color="auto" w:sz="4" w:space="0"/>
                    <w:bottom w:val="single" w:color="auto" w:sz="4" w:space="0"/>
                    <w:right w:val="single" w:color="auto" w:sz="4" w:space="0"/>
                  </w:tcBorders>
                  <w:vAlign w:val="center"/>
                </w:tcPr>
                <w:p w14:paraId="7EBC7400">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污染物</w:t>
                  </w:r>
                </w:p>
                <w:p w14:paraId="2C4CB86C">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种类</w:t>
                  </w:r>
                </w:p>
              </w:tc>
              <w:tc>
                <w:tcPr>
                  <w:tcW w:w="3916" w:type="dxa"/>
                  <w:gridSpan w:val="4"/>
                  <w:tcBorders>
                    <w:top w:val="single" w:color="auto" w:sz="4" w:space="0"/>
                    <w:left w:val="single" w:color="auto" w:sz="4" w:space="0"/>
                    <w:bottom w:val="single" w:color="auto" w:sz="4" w:space="0"/>
                    <w:right w:val="single" w:color="auto" w:sz="4" w:space="0"/>
                  </w:tcBorders>
                  <w:vAlign w:val="center"/>
                </w:tcPr>
                <w:p w14:paraId="4E5F8E4E">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污染物产生</w:t>
                  </w:r>
                </w:p>
              </w:tc>
              <w:tc>
                <w:tcPr>
                  <w:tcW w:w="3608" w:type="dxa"/>
                  <w:gridSpan w:val="5"/>
                  <w:tcBorders>
                    <w:top w:val="single" w:color="auto" w:sz="4" w:space="0"/>
                    <w:left w:val="single" w:color="auto" w:sz="4" w:space="0"/>
                    <w:bottom w:val="single" w:color="auto" w:sz="4" w:space="0"/>
                    <w:right w:val="single" w:color="auto" w:sz="4" w:space="0"/>
                  </w:tcBorders>
                  <w:vAlign w:val="center"/>
                </w:tcPr>
                <w:p w14:paraId="281B69A6">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治理设施</w:t>
                  </w:r>
                </w:p>
              </w:tc>
              <w:tc>
                <w:tcPr>
                  <w:tcW w:w="3673" w:type="dxa"/>
                  <w:gridSpan w:val="5"/>
                  <w:tcBorders>
                    <w:top w:val="single" w:color="auto" w:sz="4" w:space="0"/>
                    <w:left w:val="single" w:color="auto" w:sz="4" w:space="0"/>
                    <w:bottom w:val="single" w:color="auto" w:sz="4" w:space="0"/>
                    <w:right w:val="single" w:color="auto" w:sz="4" w:space="0"/>
                  </w:tcBorders>
                  <w:vAlign w:val="center"/>
                </w:tcPr>
                <w:p w14:paraId="3E91B2E6">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污染物排放</w:t>
                  </w:r>
                </w:p>
              </w:tc>
            </w:tr>
            <w:tr w14:paraId="288F51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563" w:type="dxa"/>
                  <w:vMerge w:val="continue"/>
                  <w:tcBorders>
                    <w:top w:val="single" w:color="auto" w:sz="4" w:space="0"/>
                    <w:left w:val="single" w:color="auto" w:sz="4" w:space="0"/>
                    <w:bottom w:val="single" w:color="auto" w:sz="4" w:space="0"/>
                    <w:right w:val="single" w:color="auto" w:sz="4" w:space="0"/>
                  </w:tcBorders>
                  <w:vAlign w:val="center"/>
                </w:tcPr>
                <w:p w14:paraId="4007C114">
                  <w:pPr>
                    <w:spacing w:line="240" w:lineRule="auto"/>
                    <w:jc w:val="center"/>
                    <w:rPr>
                      <w:rFonts w:hint="default" w:ascii="Times New Roman" w:hAnsi="Times New Roman" w:eastAsia="宋体" w:cs="Times New Roman"/>
                      <w:sz w:val="18"/>
                      <w:szCs w:val="18"/>
                    </w:rPr>
                  </w:pPr>
                </w:p>
              </w:tc>
              <w:tc>
                <w:tcPr>
                  <w:tcW w:w="821" w:type="dxa"/>
                  <w:vMerge w:val="continue"/>
                  <w:tcBorders>
                    <w:top w:val="single" w:color="auto" w:sz="4" w:space="0"/>
                    <w:left w:val="single" w:color="auto" w:sz="4" w:space="0"/>
                    <w:bottom w:val="single" w:color="auto" w:sz="4" w:space="0"/>
                    <w:right w:val="single" w:color="auto" w:sz="4" w:space="0"/>
                  </w:tcBorders>
                  <w:vAlign w:val="center"/>
                </w:tcPr>
                <w:p w14:paraId="3235535C">
                  <w:pPr>
                    <w:spacing w:line="240" w:lineRule="auto"/>
                    <w:jc w:val="center"/>
                    <w:rPr>
                      <w:rFonts w:hint="default" w:ascii="Times New Roman" w:hAnsi="Times New Roman" w:eastAsia="宋体" w:cs="Times New Roman"/>
                      <w:sz w:val="18"/>
                      <w:szCs w:val="18"/>
                    </w:rPr>
                  </w:pPr>
                </w:p>
              </w:tc>
              <w:tc>
                <w:tcPr>
                  <w:tcW w:w="924" w:type="dxa"/>
                  <w:tcBorders>
                    <w:top w:val="single" w:color="auto" w:sz="4" w:space="0"/>
                    <w:left w:val="single" w:color="auto" w:sz="4" w:space="0"/>
                    <w:bottom w:val="single" w:color="auto" w:sz="4" w:space="0"/>
                    <w:right w:val="single" w:color="auto" w:sz="4" w:space="0"/>
                  </w:tcBorders>
                  <w:vAlign w:val="center"/>
                </w:tcPr>
                <w:p w14:paraId="09051708">
                  <w:pPr>
                    <w:spacing w:line="240" w:lineRule="auto"/>
                    <w:jc w:val="center"/>
                    <w:rPr>
                      <w:rFonts w:hint="eastAsia" w:cs="Times New Roman"/>
                      <w:sz w:val="18"/>
                      <w:szCs w:val="18"/>
                      <w:lang w:eastAsia="zh-CN"/>
                    </w:rPr>
                  </w:pPr>
                  <w:r>
                    <w:rPr>
                      <w:rFonts w:hint="eastAsia" w:cs="Times New Roman"/>
                      <w:sz w:val="18"/>
                      <w:szCs w:val="18"/>
                      <w:lang w:eastAsia="zh-CN"/>
                    </w:rPr>
                    <w:t>产生量</w:t>
                  </w:r>
                  <w:r>
                    <w:rPr>
                      <w:rFonts w:hint="default" w:ascii="Times New Roman" w:hAnsi="Times New Roman" w:eastAsia="宋体" w:cs="Times New Roman"/>
                      <w:sz w:val="18"/>
                      <w:szCs w:val="18"/>
                    </w:rPr>
                    <w:t>t/a</w:t>
                  </w:r>
                </w:p>
              </w:tc>
              <w:tc>
                <w:tcPr>
                  <w:tcW w:w="1078" w:type="dxa"/>
                  <w:tcBorders>
                    <w:top w:val="single" w:color="auto" w:sz="4" w:space="0"/>
                    <w:left w:val="single" w:color="auto" w:sz="4" w:space="0"/>
                    <w:bottom w:val="single" w:color="auto" w:sz="4" w:space="0"/>
                    <w:right w:val="single" w:color="auto" w:sz="4" w:space="0"/>
                  </w:tcBorders>
                  <w:vAlign w:val="center"/>
                </w:tcPr>
                <w:p w14:paraId="12F128C7">
                  <w:pPr>
                    <w:spacing w:line="240" w:lineRule="auto"/>
                    <w:jc w:val="center"/>
                    <w:rPr>
                      <w:rFonts w:hint="default" w:ascii="Times New Roman" w:hAnsi="Times New Roman" w:eastAsia="宋体" w:cs="Times New Roman"/>
                      <w:sz w:val="18"/>
                      <w:szCs w:val="18"/>
                    </w:rPr>
                  </w:pPr>
                  <w:r>
                    <w:rPr>
                      <w:rFonts w:hint="eastAsia" w:cs="Times New Roman"/>
                      <w:sz w:val="18"/>
                      <w:szCs w:val="18"/>
                      <w:lang w:eastAsia="zh-CN"/>
                    </w:rPr>
                    <w:t>有组织收集</w:t>
                  </w:r>
                  <w:r>
                    <w:rPr>
                      <w:rFonts w:hint="default" w:ascii="Times New Roman" w:hAnsi="Times New Roman" w:eastAsia="宋体" w:cs="Times New Roman"/>
                      <w:sz w:val="18"/>
                      <w:szCs w:val="18"/>
                    </w:rPr>
                    <w:t>量t/a</w:t>
                  </w:r>
                </w:p>
              </w:tc>
              <w:tc>
                <w:tcPr>
                  <w:tcW w:w="946" w:type="dxa"/>
                  <w:tcBorders>
                    <w:top w:val="single" w:color="auto" w:sz="4" w:space="0"/>
                    <w:left w:val="single" w:color="auto" w:sz="4" w:space="0"/>
                    <w:bottom w:val="single" w:color="auto" w:sz="4" w:space="0"/>
                    <w:right w:val="single" w:color="auto" w:sz="4" w:space="0"/>
                  </w:tcBorders>
                  <w:vAlign w:val="center"/>
                </w:tcPr>
                <w:p w14:paraId="4C95B01E">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产生浓度mg/m</w:t>
                  </w:r>
                  <w:r>
                    <w:rPr>
                      <w:rFonts w:hint="default" w:ascii="Times New Roman" w:hAnsi="Times New Roman" w:eastAsia="宋体" w:cs="Times New Roman"/>
                      <w:sz w:val="18"/>
                      <w:szCs w:val="18"/>
                      <w:vertAlign w:val="superscript"/>
                    </w:rPr>
                    <w:t>3</w:t>
                  </w:r>
                </w:p>
              </w:tc>
              <w:tc>
                <w:tcPr>
                  <w:tcW w:w="968" w:type="dxa"/>
                  <w:tcBorders>
                    <w:top w:val="single" w:color="auto" w:sz="4" w:space="0"/>
                    <w:left w:val="single" w:color="auto" w:sz="4" w:space="0"/>
                    <w:bottom w:val="single" w:color="auto" w:sz="4" w:space="0"/>
                    <w:right w:val="single" w:color="auto" w:sz="4" w:space="0"/>
                  </w:tcBorders>
                  <w:vAlign w:val="center"/>
                </w:tcPr>
                <w:p w14:paraId="1B4EE293">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产生速率</w:t>
                  </w:r>
                  <w:r>
                    <w:rPr>
                      <w:rFonts w:hint="default" w:ascii="Times New Roman" w:hAnsi="Times New Roman" w:eastAsia="宋体" w:cs="Times New Roman"/>
                      <w:sz w:val="18"/>
                      <w:szCs w:val="18"/>
                      <w:lang w:val="en-US" w:eastAsia="zh-CN"/>
                    </w:rPr>
                    <w:t>kg/h</w:t>
                  </w:r>
                </w:p>
              </w:tc>
              <w:tc>
                <w:tcPr>
                  <w:tcW w:w="880" w:type="dxa"/>
                  <w:tcBorders>
                    <w:top w:val="single" w:color="auto" w:sz="4" w:space="0"/>
                    <w:left w:val="single" w:color="auto" w:sz="4" w:space="0"/>
                    <w:bottom w:val="single" w:color="auto" w:sz="4" w:space="0"/>
                    <w:right w:val="single" w:color="auto" w:sz="4" w:space="0"/>
                  </w:tcBorders>
                  <w:vAlign w:val="center"/>
                </w:tcPr>
                <w:p w14:paraId="6BEE4BAD">
                  <w:pPr>
                    <w:spacing w:line="240" w:lineRule="auto"/>
                    <w:jc w:val="center"/>
                    <w:rPr>
                      <w:rFonts w:hint="eastAsia" w:ascii="Times New Roman" w:hAnsi="Times New Roman" w:eastAsia="宋体" w:cs="Times New Roman"/>
                      <w:sz w:val="18"/>
                      <w:szCs w:val="18"/>
                      <w:lang w:eastAsia="zh-CN"/>
                    </w:rPr>
                  </w:pPr>
                  <w:r>
                    <w:rPr>
                      <w:rFonts w:hint="default" w:ascii="Times New Roman" w:hAnsi="Times New Roman" w:eastAsia="宋体" w:cs="Times New Roman"/>
                      <w:sz w:val="18"/>
                      <w:szCs w:val="18"/>
                    </w:rPr>
                    <w:t>处理能力m</w:t>
                  </w:r>
                  <w:r>
                    <w:rPr>
                      <w:rFonts w:hint="default" w:ascii="Times New Roman" w:hAnsi="Times New Roman" w:eastAsia="宋体" w:cs="Times New Roman"/>
                      <w:sz w:val="18"/>
                      <w:szCs w:val="18"/>
                      <w:vertAlign w:val="superscript"/>
                    </w:rPr>
                    <w:t>3</w:t>
                  </w:r>
                  <w:r>
                    <w:rPr>
                      <w:rFonts w:hint="default" w:ascii="Times New Roman" w:hAnsi="Times New Roman" w:eastAsia="宋体" w:cs="Times New Roman"/>
                      <w:sz w:val="18"/>
                      <w:szCs w:val="18"/>
                    </w:rPr>
                    <w:t>/</w:t>
                  </w:r>
                  <w:r>
                    <w:rPr>
                      <w:rFonts w:hint="eastAsia" w:ascii="Times New Roman" w:hAnsi="Times New Roman" w:eastAsia="宋体" w:cs="Times New Roman"/>
                      <w:sz w:val="18"/>
                      <w:szCs w:val="18"/>
                      <w:lang w:val="en-US" w:eastAsia="zh-CN"/>
                    </w:rPr>
                    <w:t>h</w:t>
                  </w:r>
                </w:p>
              </w:tc>
              <w:tc>
                <w:tcPr>
                  <w:tcW w:w="726" w:type="dxa"/>
                  <w:tcBorders>
                    <w:top w:val="single" w:color="auto" w:sz="4" w:space="0"/>
                    <w:left w:val="single" w:color="auto" w:sz="4" w:space="0"/>
                    <w:bottom w:val="single" w:color="auto" w:sz="4" w:space="0"/>
                    <w:right w:val="single" w:color="auto" w:sz="4" w:space="0"/>
                  </w:tcBorders>
                  <w:vAlign w:val="center"/>
                </w:tcPr>
                <w:p w14:paraId="392335BF">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收集率%</w:t>
                  </w:r>
                </w:p>
              </w:tc>
              <w:tc>
                <w:tcPr>
                  <w:tcW w:w="770" w:type="dxa"/>
                  <w:tcBorders>
                    <w:top w:val="single" w:color="auto" w:sz="4" w:space="0"/>
                    <w:left w:val="single" w:color="auto" w:sz="4" w:space="0"/>
                    <w:bottom w:val="single" w:color="auto" w:sz="4" w:space="0"/>
                    <w:right w:val="single" w:color="auto" w:sz="4" w:space="0"/>
                  </w:tcBorders>
                  <w:vAlign w:val="center"/>
                </w:tcPr>
                <w:p w14:paraId="0B09A3C0">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治理工艺</w:t>
                  </w:r>
                </w:p>
              </w:tc>
              <w:tc>
                <w:tcPr>
                  <w:tcW w:w="550" w:type="dxa"/>
                  <w:tcBorders>
                    <w:top w:val="single" w:color="auto" w:sz="4" w:space="0"/>
                    <w:left w:val="single" w:color="auto" w:sz="4" w:space="0"/>
                    <w:bottom w:val="single" w:color="auto" w:sz="4" w:space="0"/>
                    <w:right w:val="single" w:color="auto" w:sz="4" w:space="0"/>
                  </w:tcBorders>
                  <w:vAlign w:val="center"/>
                </w:tcPr>
                <w:p w14:paraId="403BC289">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去除率%</w:t>
                  </w:r>
                </w:p>
              </w:tc>
              <w:tc>
                <w:tcPr>
                  <w:tcW w:w="682" w:type="dxa"/>
                  <w:tcBorders>
                    <w:top w:val="single" w:color="auto" w:sz="4" w:space="0"/>
                    <w:left w:val="single" w:color="auto" w:sz="4" w:space="0"/>
                    <w:bottom w:val="single" w:color="auto" w:sz="4" w:space="0"/>
                    <w:right w:val="single" w:color="auto" w:sz="4" w:space="0"/>
                  </w:tcBorders>
                  <w:vAlign w:val="center"/>
                </w:tcPr>
                <w:p w14:paraId="5898DDB9">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是否为可行技术</w:t>
                  </w:r>
                </w:p>
              </w:tc>
              <w:tc>
                <w:tcPr>
                  <w:tcW w:w="877" w:type="dxa"/>
                  <w:tcBorders>
                    <w:top w:val="single" w:color="auto" w:sz="4" w:space="0"/>
                    <w:left w:val="single" w:color="auto" w:sz="4" w:space="0"/>
                    <w:bottom w:val="single" w:color="auto" w:sz="4" w:space="0"/>
                    <w:right w:val="single" w:color="auto" w:sz="4" w:space="0"/>
                  </w:tcBorders>
                  <w:vAlign w:val="center"/>
                </w:tcPr>
                <w:p w14:paraId="5000098C">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排放量t/a</w:t>
                  </w:r>
                </w:p>
              </w:tc>
              <w:tc>
                <w:tcPr>
                  <w:tcW w:w="719" w:type="dxa"/>
                  <w:tcBorders>
                    <w:top w:val="single" w:color="auto" w:sz="4" w:space="0"/>
                    <w:left w:val="single" w:color="auto" w:sz="4" w:space="0"/>
                    <w:bottom w:val="single" w:color="auto" w:sz="4" w:space="0"/>
                    <w:right w:val="single" w:color="auto" w:sz="4" w:space="0"/>
                  </w:tcBorders>
                  <w:vAlign w:val="center"/>
                </w:tcPr>
                <w:p w14:paraId="1ED734A3">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排放浓度mg/m</w:t>
                  </w:r>
                  <w:r>
                    <w:rPr>
                      <w:rFonts w:hint="default" w:ascii="Times New Roman" w:hAnsi="Times New Roman" w:eastAsia="宋体" w:cs="Times New Roman"/>
                      <w:sz w:val="18"/>
                      <w:szCs w:val="18"/>
                      <w:vertAlign w:val="superscript"/>
                    </w:rPr>
                    <w:t>3</w:t>
                  </w:r>
                </w:p>
              </w:tc>
              <w:tc>
                <w:tcPr>
                  <w:tcW w:w="741" w:type="dxa"/>
                  <w:tcBorders>
                    <w:top w:val="single" w:color="auto" w:sz="4" w:space="0"/>
                    <w:left w:val="single" w:color="auto" w:sz="4" w:space="0"/>
                    <w:bottom w:val="single" w:color="auto" w:sz="4" w:space="0"/>
                    <w:right w:val="single" w:color="auto" w:sz="4" w:space="0"/>
                  </w:tcBorders>
                  <w:vAlign w:val="center"/>
                </w:tcPr>
                <w:p w14:paraId="2E35EC9F">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排放速率kg/h</w:t>
                  </w:r>
                </w:p>
              </w:tc>
              <w:tc>
                <w:tcPr>
                  <w:tcW w:w="543" w:type="dxa"/>
                  <w:tcBorders>
                    <w:top w:val="single" w:color="auto" w:sz="4" w:space="0"/>
                    <w:left w:val="single" w:color="auto" w:sz="4" w:space="0"/>
                    <w:bottom w:val="single" w:color="auto" w:sz="4" w:space="0"/>
                    <w:right w:val="single" w:color="auto" w:sz="4" w:space="0"/>
                  </w:tcBorders>
                  <w:vAlign w:val="center"/>
                </w:tcPr>
                <w:p w14:paraId="64125309">
                  <w:pPr>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持续时间</w:t>
                  </w:r>
                </w:p>
                <w:p w14:paraId="2571CB64">
                  <w:pPr>
                    <w:pStyle w:val="2"/>
                    <w:spacing w:line="240" w:lineRule="auto"/>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h/a</w:t>
                  </w:r>
                </w:p>
              </w:tc>
              <w:tc>
                <w:tcPr>
                  <w:tcW w:w="793" w:type="dxa"/>
                  <w:tcBorders>
                    <w:top w:val="single" w:color="auto" w:sz="4" w:space="0"/>
                    <w:left w:val="single" w:color="auto" w:sz="4" w:space="0"/>
                    <w:bottom w:val="single" w:color="auto" w:sz="4" w:space="0"/>
                    <w:right w:val="single" w:color="auto" w:sz="4" w:space="0"/>
                  </w:tcBorders>
                  <w:vAlign w:val="center"/>
                </w:tcPr>
                <w:p w14:paraId="38BB866E">
                  <w:pPr>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排放形式</w:t>
                  </w:r>
                </w:p>
              </w:tc>
            </w:tr>
            <w:tr w14:paraId="77420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restart"/>
                  <w:tcBorders>
                    <w:top w:val="single" w:color="auto" w:sz="2" w:space="0"/>
                    <w:left w:val="single" w:color="auto" w:sz="4" w:space="0"/>
                    <w:right w:val="single" w:color="auto" w:sz="4" w:space="0"/>
                  </w:tcBorders>
                  <w:vAlign w:val="center"/>
                </w:tcPr>
                <w:p w14:paraId="7EA35BDC">
                  <w:pPr>
                    <w:spacing w:line="240" w:lineRule="auto"/>
                    <w:jc w:val="center"/>
                    <w:rPr>
                      <w:rFonts w:hint="default" w:ascii="Times New Roman" w:hAnsi="Times New Roman" w:eastAsia="宋体" w:cs="Times New Roman"/>
                      <w:sz w:val="18"/>
                      <w:szCs w:val="18"/>
                      <w:lang w:val="en-US" w:eastAsia="zh-CN"/>
                    </w:rPr>
                  </w:pPr>
                  <w:r>
                    <w:rPr>
                      <w:rFonts w:hint="eastAsia" w:cs="Times New Roman"/>
                      <w:bCs/>
                      <w:sz w:val="18"/>
                      <w:szCs w:val="18"/>
                      <w:lang w:eastAsia="zh-CN"/>
                    </w:rPr>
                    <w:t>喷漆房涂装（调漆、喷漆、晾干）</w:t>
                  </w:r>
                  <w:r>
                    <w:rPr>
                      <w:rFonts w:hint="eastAsia" w:ascii="Times New Roman" w:hAnsi="Times New Roman" w:eastAsia="宋体" w:cs="Times New Roman"/>
                      <w:bCs/>
                      <w:sz w:val="18"/>
                      <w:szCs w:val="18"/>
                      <w:lang w:eastAsia="zh-CN"/>
                    </w:rPr>
                    <w:t>工序</w:t>
                  </w:r>
                </w:p>
              </w:tc>
              <w:tc>
                <w:tcPr>
                  <w:tcW w:w="821" w:type="dxa"/>
                  <w:tcBorders>
                    <w:top w:val="single" w:color="auto" w:sz="4" w:space="0"/>
                    <w:left w:val="single" w:color="auto" w:sz="4" w:space="0"/>
                    <w:bottom w:val="single" w:color="auto" w:sz="4" w:space="0"/>
                    <w:right w:val="single" w:color="auto" w:sz="4" w:space="0"/>
                  </w:tcBorders>
                  <w:vAlign w:val="center"/>
                </w:tcPr>
                <w:p w14:paraId="03FAA95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default" w:ascii="Times New Roman" w:hAnsi="Times New Roman" w:cs="Times New Roman"/>
                      <w:bCs/>
                      <w:color w:val="000000"/>
                      <w:sz w:val="18"/>
                      <w:szCs w:val="18"/>
                      <w:vertAlign w:val="baseline"/>
                      <w:lang w:val="en-US" w:eastAsia="zh-CN"/>
                    </w:rPr>
                    <w:t>颗粒物</w:t>
                  </w:r>
                </w:p>
              </w:tc>
              <w:tc>
                <w:tcPr>
                  <w:tcW w:w="924" w:type="dxa"/>
                  <w:tcBorders>
                    <w:top w:val="single" w:color="auto" w:sz="4" w:space="0"/>
                    <w:left w:val="single" w:color="auto" w:sz="4" w:space="0"/>
                    <w:bottom w:val="single" w:color="auto" w:sz="4" w:space="0"/>
                    <w:right w:val="single" w:color="auto" w:sz="4" w:space="0"/>
                  </w:tcBorders>
                  <w:vAlign w:val="center"/>
                </w:tcPr>
                <w:p w14:paraId="386B02A4">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0.5031</w:t>
                  </w:r>
                </w:p>
              </w:tc>
              <w:tc>
                <w:tcPr>
                  <w:tcW w:w="1078" w:type="dxa"/>
                  <w:tcBorders>
                    <w:top w:val="single" w:color="auto" w:sz="4" w:space="0"/>
                    <w:left w:val="single" w:color="auto" w:sz="4" w:space="0"/>
                    <w:bottom w:val="single" w:color="auto" w:sz="4" w:space="0"/>
                    <w:right w:val="single" w:color="auto" w:sz="4" w:space="0"/>
                  </w:tcBorders>
                  <w:vAlign w:val="center"/>
                </w:tcPr>
                <w:p w14:paraId="0A861B78">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0.5031</w:t>
                  </w:r>
                </w:p>
              </w:tc>
              <w:tc>
                <w:tcPr>
                  <w:tcW w:w="946" w:type="dxa"/>
                  <w:tcBorders>
                    <w:top w:val="single" w:color="auto" w:sz="4" w:space="0"/>
                    <w:left w:val="single" w:color="auto" w:sz="4" w:space="0"/>
                    <w:bottom w:val="single" w:color="auto" w:sz="4" w:space="0"/>
                    <w:right w:val="single" w:color="auto" w:sz="4" w:space="0"/>
                  </w:tcBorders>
                  <w:vAlign w:val="center"/>
                </w:tcPr>
                <w:p w14:paraId="5B948D16">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21.0</w:t>
                  </w:r>
                </w:p>
              </w:tc>
              <w:tc>
                <w:tcPr>
                  <w:tcW w:w="968" w:type="dxa"/>
                  <w:tcBorders>
                    <w:top w:val="single" w:color="auto" w:sz="4" w:space="0"/>
                    <w:left w:val="single" w:color="auto" w:sz="4" w:space="0"/>
                    <w:bottom w:val="single" w:color="auto" w:sz="4" w:space="0"/>
                    <w:right w:val="single" w:color="auto" w:sz="4" w:space="0"/>
                  </w:tcBorders>
                  <w:vAlign w:val="center"/>
                </w:tcPr>
                <w:p w14:paraId="40E7E901">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0.419</w:t>
                  </w:r>
                  <w:r>
                    <w:rPr>
                      <w:rFonts w:hint="eastAsia" w:eastAsia="宋体" w:cs="Times New Roman"/>
                      <w:i w:val="0"/>
                      <w:iCs w:val="0"/>
                      <w:color w:val="000000"/>
                      <w:kern w:val="0"/>
                      <w:sz w:val="18"/>
                      <w:szCs w:val="18"/>
                      <w:u w:val="none"/>
                      <w:lang w:val="en-US" w:eastAsia="zh-CN" w:bidi="ar"/>
                    </w:rPr>
                    <w:t>3</w:t>
                  </w:r>
                </w:p>
              </w:tc>
              <w:tc>
                <w:tcPr>
                  <w:tcW w:w="880" w:type="dxa"/>
                  <w:vMerge w:val="restart"/>
                  <w:tcBorders>
                    <w:top w:val="single" w:color="auto" w:sz="4" w:space="0"/>
                    <w:left w:val="single" w:color="auto" w:sz="4" w:space="0"/>
                    <w:right w:val="single" w:color="auto" w:sz="4" w:space="0"/>
                  </w:tcBorders>
                  <w:vAlign w:val="center"/>
                </w:tcPr>
                <w:p w14:paraId="38E5B577">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2</w:t>
                  </w:r>
                  <w:r>
                    <w:rPr>
                      <w:rFonts w:hint="eastAsia" w:ascii="Times New Roman" w:hAnsi="Times New Roman" w:eastAsia="宋体" w:cs="Times New Roman"/>
                      <w:sz w:val="18"/>
                      <w:szCs w:val="18"/>
                      <w:lang w:val="en-US" w:eastAsia="zh-CN"/>
                    </w:rPr>
                    <w:t>0000</w:t>
                  </w:r>
                </w:p>
              </w:tc>
              <w:tc>
                <w:tcPr>
                  <w:tcW w:w="726" w:type="dxa"/>
                  <w:tcBorders>
                    <w:top w:val="single" w:color="auto" w:sz="4" w:space="0"/>
                    <w:left w:val="single" w:color="auto" w:sz="4" w:space="0"/>
                    <w:bottom w:val="single" w:color="auto" w:sz="4" w:space="0"/>
                    <w:right w:val="single" w:color="auto" w:sz="4" w:space="0"/>
                  </w:tcBorders>
                  <w:vAlign w:val="center"/>
                </w:tcPr>
                <w:p w14:paraId="6563153A">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770" w:type="dxa"/>
                  <w:tcBorders>
                    <w:top w:val="single" w:color="auto" w:sz="4" w:space="0"/>
                    <w:left w:val="single" w:color="auto" w:sz="4" w:space="0"/>
                    <w:bottom w:val="single" w:color="auto" w:sz="4" w:space="0"/>
                    <w:right w:val="single" w:color="auto" w:sz="4" w:space="0"/>
                  </w:tcBorders>
                  <w:vAlign w:val="center"/>
                </w:tcPr>
                <w:p w14:paraId="51726926">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cs="宋体"/>
                      <w:i w:val="0"/>
                      <w:iCs w:val="0"/>
                      <w:color w:val="000000"/>
                      <w:kern w:val="0"/>
                      <w:sz w:val="18"/>
                      <w:szCs w:val="18"/>
                      <w:u w:val="none"/>
                      <w:lang w:val="en-US" w:eastAsia="zh-CN" w:bidi="ar"/>
                    </w:rPr>
                    <w:t>迷宫式过滤箱</w:t>
                  </w:r>
                  <w:r>
                    <w:rPr>
                      <w:rFonts w:hint="eastAsia" w:ascii="宋体" w:hAnsi="宋体" w:eastAsia="宋体" w:cs="宋体"/>
                      <w:i w:val="0"/>
                      <w:iCs w:val="0"/>
                      <w:color w:val="000000"/>
                      <w:kern w:val="0"/>
                      <w:sz w:val="18"/>
                      <w:szCs w:val="18"/>
                      <w:u w:val="none"/>
                      <w:lang w:val="en-US" w:eastAsia="zh-CN" w:bidi="ar"/>
                    </w:rPr>
                    <w:t>（吸附过滤）</w:t>
                  </w:r>
                </w:p>
              </w:tc>
              <w:tc>
                <w:tcPr>
                  <w:tcW w:w="550" w:type="dxa"/>
                  <w:tcBorders>
                    <w:top w:val="single" w:color="auto" w:sz="4" w:space="0"/>
                    <w:left w:val="single" w:color="auto" w:sz="4" w:space="0"/>
                    <w:bottom w:val="single" w:color="auto" w:sz="4" w:space="0"/>
                    <w:right w:val="single" w:color="auto" w:sz="4" w:space="0"/>
                  </w:tcBorders>
                  <w:vAlign w:val="center"/>
                </w:tcPr>
                <w:p w14:paraId="101FE91D">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w:t>
                  </w:r>
                  <w:r>
                    <w:rPr>
                      <w:rFonts w:hint="eastAsia" w:cs="Times New Roman"/>
                      <w:i w:val="0"/>
                      <w:iCs w:val="0"/>
                      <w:color w:val="000000"/>
                      <w:kern w:val="0"/>
                      <w:sz w:val="18"/>
                      <w:szCs w:val="18"/>
                      <w:u w:val="none"/>
                      <w:lang w:val="en-US" w:eastAsia="zh-CN" w:bidi="ar"/>
                    </w:rPr>
                    <w:t>0</w:t>
                  </w:r>
                </w:p>
              </w:tc>
              <w:tc>
                <w:tcPr>
                  <w:tcW w:w="682" w:type="dxa"/>
                  <w:tcBorders>
                    <w:top w:val="single" w:color="auto" w:sz="4" w:space="0"/>
                    <w:left w:val="single" w:color="auto" w:sz="4" w:space="0"/>
                    <w:bottom w:val="single" w:color="auto" w:sz="4" w:space="0"/>
                    <w:right w:val="single" w:color="auto" w:sz="4" w:space="0"/>
                  </w:tcBorders>
                  <w:vAlign w:val="center"/>
                </w:tcPr>
                <w:p w14:paraId="015CE00B">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877" w:type="dxa"/>
                  <w:tcBorders>
                    <w:top w:val="single" w:color="auto" w:sz="4" w:space="0"/>
                    <w:left w:val="single" w:color="auto" w:sz="4" w:space="0"/>
                    <w:bottom w:val="single" w:color="auto" w:sz="4" w:space="0"/>
                    <w:right w:val="single" w:color="auto" w:sz="4" w:space="0"/>
                  </w:tcBorders>
                  <w:vAlign w:val="center"/>
                </w:tcPr>
                <w:p w14:paraId="0E077BEE">
                  <w:pPr>
                    <w:keepNext w:val="0"/>
                    <w:keepLines w:val="0"/>
                    <w:widowControl/>
                    <w:suppressLineNumbers w:val="0"/>
                    <w:jc w:val="center"/>
                    <w:textAlignment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0.0503</w:t>
                  </w:r>
                </w:p>
              </w:tc>
              <w:tc>
                <w:tcPr>
                  <w:tcW w:w="719" w:type="dxa"/>
                  <w:tcBorders>
                    <w:top w:val="single" w:color="auto" w:sz="4" w:space="0"/>
                    <w:left w:val="single" w:color="auto" w:sz="4" w:space="0"/>
                    <w:bottom w:val="single" w:color="auto" w:sz="4" w:space="0"/>
                    <w:right w:val="single" w:color="auto" w:sz="4" w:space="0"/>
                  </w:tcBorders>
                  <w:vAlign w:val="center"/>
                </w:tcPr>
                <w:p w14:paraId="1D2EA957">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2.1</w:t>
                  </w:r>
                </w:p>
              </w:tc>
              <w:tc>
                <w:tcPr>
                  <w:tcW w:w="741" w:type="dxa"/>
                  <w:tcBorders>
                    <w:top w:val="single" w:color="auto" w:sz="4" w:space="0"/>
                    <w:left w:val="single" w:color="auto" w:sz="4" w:space="0"/>
                    <w:bottom w:val="single" w:color="auto" w:sz="4" w:space="0"/>
                    <w:right w:val="single" w:color="auto" w:sz="4" w:space="0"/>
                  </w:tcBorders>
                  <w:vAlign w:val="center"/>
                </w:tcPr>
                <w:p w14:paraId="4642238C">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0.0419</w:t>
                  </w:r>
                </w:p>
              </w:tc>
              <w:tc>
                <w:tcPr>
                  <w:tcW w:w="543" w:type="dxa"/>
                  <w:vMerge w:val="restart"/>
                  <w:tcBorders>
                    <w:top w:val="single" w:color="auto" w:sz="4" w:space="0"/>
                    <w:left w:val="single" w:color="auto" w:sz="4" w:space="0"/>
                    <w:right w:val="single" w:color="auto" w:sz="4" w:space="0"/>
                  </w:tcBorders>
                  <w:vAlign w:val="center"/>
                </w:tcPr>
                <w:p w14:paraId="5C938FCC">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1200</w:t>
                  </w:r>
                </w:p>
              </w:tc>
              <w:tc>
                <w:tcPr>
                  <w:tcW w:w="793" w:type="dxa"/>
                  <w:vMerge w:val="restart"/>
                  <w:tcBorders>
                    <w:top w:val="single" w:color="auto" w:sz="4" w:space="0"/>
                    <w:left w:val="single" w:color="auto" w:sz="4" w:space="0"/>
                    <w:right w:val="single" w:color="auto" w:sz="4" w:space="0"/>
                  </w:tcBorders>
                  <w:vAlign w:val="center"/>
                </w:tcPr>
                <w:p w14:paraId="2E9524D2">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3D1C6C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1D24B65E">
                  <w:pPr>
                    <w:spacing w:line="240" w:lineRule="auto"/>
                    <w:jc w:val="center"/>
                    <w:rPr>
                      <w:rFonts w:hint="eastAsia" w:ascii="Times New Roman" w:hAnsi="Times New Roman" w:eastAsia="宋体" w:cs="Times New Roman"/>
                      <w:bCs/>
                      <w:sz w:val="18"/>
                      <w:szCs w:val="18"/>
                      <w:lang w:eastAsia="zh-CN"/>
                    </w:rPr>
                  </w:pPr>
                </w:p>
              </w:tc>
              <w:tc>
                <w:tcPr>
                  <w:tcW w:w="821" w:type="dxa"/>
                  <w:vMerge w:val="restart"/>
                  <w:tcBorders>
                    <w:top w:val="single" w:color="auto" w:sz="4" w:space="0"/>
                    <w:left w:val="single" w:color="auto" w:sz="4" w:space="0"/>
                    <w:right w:val="single" w:color="auto" w:sz="4" w:space="0"/>
                  </w:tcBorders>
                  <w:vAlign w:val="center"/>
                </w:tcPr>
                <w:p w14:paraId="440C15E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24" w:type="dxa"/>
                  <w:vMerge w:val="restart"/>
                  <w:tcBorders>
                    <w:top w:val="single" w:color="auto" w:sz="4" w:space="0"/>
                    <w:left w:val="single" w:color="auto" w:sz="4" w:space="0"/>
                    <w:right w:val="single" w:color="auto" w:sz="4" w:space="0"/>
                  </w:tcBorders>
                  <w:vAlign w:val="center"/>
                </w:tcPr>
                <w:p w14:paraId="04E0A9F3">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0.843</w:t>
                  </w:r>
                </w:p>
              </w:tc>
              <w:tc>
                <w:tcPr>
                  <w:tcW w:w="1078" w:type="dxa"/>
                  <w:tcBorders>
                    <w:top w:val="single" w:color="auto" w:sz="4" w:space="0"/>
                    <w:left w:val="single" w:color="auto" w:sz="4" w:space="0"/>
                    <w:bottom w:val="single" w:color="auto" w:sz="4" w:space="0"/>
                    <w:right w:val="single" w:color="auto" w:sz="4" w:space="0"/>
                  </w:tcBorders>
                  <w:vAlign w:val="center"/>
                </w:tcPr>
                <w:p w14:paraId="2E445338">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0.8262</w:t>
                  </w:r>
                </w:p>
              </w:tc>
              <w:tc>
                <w:tcPr>
                  <w:tcW w:w="946" w:type="dxa"/>
                  <w:tcBorders>
                    <w:top w:val="single" w:color="auto" w:sz="4" w:space="0"/>
                    <w:left w:val="single" w:color="auto" w:sz="4" w:space="0"/>
                    <w:bottom w:val="single" w:color="auto" w:sz="4" w:space="0"/>
                    <w:right w:val="single" w:color="auto" w:sz="4" w:space="0"/>
                  </w:tcBorders>
                  <w:vAlign w:val="center"/>
                </w:tcPr>
                <w:p w14:paraId="1CDD8D8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34.4</w:t>
                  </w:r>
                </w:p>
              </w:tc>
              <w:tc>
                <w:tcPr>
                  <w:tcW w:w="968" w:type="dxa"/>
                  <w:tcBorders>
                    <w:top w:val="single" w:color="auto" w:sz="4" w:space="0"/>
                    <w:left w:val="single" w:color="auto" w:sz="4" w:space="0"/>
                    <w:bottom w:val="single" w:color="auto" w:sz="4" w:space="0"/>
                    <w:right w:val="single" w:color="auto" w:sz="4" w:space="0"/>
                  </w:tcBorders>
                  <w:vAlign w:val="center"/>
                </w:tcPr>
                <w:p w14:paraId="202894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0.6885</w:t>
                  </w:r>
                </w:p>
              </w:tc>
              <w:tc>
                <w:tcPr>
                  <w:tcW w:w="880" w:type="dxa"/>
                  <w:vMerge w:val="continue"/>
                  <w:tcBorders>
                    <w:left w:val="single" w:color="auto" w:sz="4" w:space="0"/>
                    <w:bottom w:val="single" w:color="auto" w:sz="4" w:space="0"/>
                    <w:right w:val="single" w:color="auto" w:sz="4" w:space="0"/>
                  </w:tcBorders>
                  <w:vAlign w:val="center"/>
                </w:tcPr>
                <w:p w14:paraId="739DF453">
                  <w:pPr>
                    <w:jc w:val="center"/>
                    <w:rPr>
                      <w:rFonts w:hint="eastAsia" w:cs="Times New Roman"/>
                      <w:sz w:val="18"/>
                      <w:szCs w:val="18"/>
                      <w:lang w:val="en-US" w:eastAsia="zh-CN"/>
                    </w:rPr>
                  </w:pPr>
                </w:p>
              </w:tc>
              <w:tc>
                <w:tcPr>
                  <w:tcW w:w="726" w:type="dxa"/>
                  <w:tcBorders>
                    <w:top w:val="single" w:color="auto" w:sz="4" w:space="0"/>
                    <w:left w:val="single" w:color="auto" w:sz="4" w:space="0"/>
                    <w:bottom w:val="single" w:color="auto" w:sz="4" w:space="0"/>
                    <w:right w:val="single" w:color="auto" w:sz="4" w:space="0"/>
                  </w:tcBorders>
                  <w:vAlign w:val="center"/>
                </w:tcPr>
                <w:p w14:paraId="4379722A">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98</w:t>
                  </w:r>
                </w:p>
              </w:tc>
              <w:tc>
                <w:tcPr>
                  <w:tcW w:w="770" w:type="dxa"/>
                  <w:tcBorders>
                    <w:top w:val="single" w:color="auto" w:sz="4" w:space="0"/>
                    <w:left w:val="single" w:color="auto" w:sz="4" w:space="0"/>
                    <w:bottom w:val="single" w:color="auto" w:sz="4" w:space="0"/>
                    <w:right w:val="single" w:color="auto" w:sz="4" w:space="0"/>
                  </w:tcBorders>
                  <w:vAlign w:val="center"/>
                </w:tcPr>
                <w:p w14:paraId="4AB33C9F">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550" w:type="dxa"/>
                  <w:tcBorders>
                    <w:top w:val="single" w:color="auto" w:sz="4" w:space="0"/>
                    <w:left w:val="single" w:color="auto" w:sz="4" w:space="0"/>
                    <w:bottom w:val="single" w:color="auto" w:sz="4" w:space="0"/>
                    <w:right w:val="single" w:color="auto" w:sz="4" w:space="0"/>
                  </w:tcBorders>
                  <w:vAlign w:val="center"/>
                </w:tcPr>
                <w:p w14:paraId="390E0289">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682" w:type="dxa"/>
                  <w:tcBorders>
                    <w:top w:val="single" w:color="auto" w:sz="4" w:space="0"/>
                    <w:left w:val="single" w:color="auto" w:sz="4" w:space="0"/>
                    <w:bottom w:val="single" w:color="auto" w:sz="4" w:space="0"/>
                    <w:right w:val="single" w:color="auto" w:sz="4" w:space="0"/>
                  </w:tcBorders>
                  <w:vAlign w:val="center"/>
                </w:tcPr>
                <w:p w14:paraId="70F75AFA">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877" w:type="dxa"/>
                  <w:tcBorders>
                    <w:top w:val="single" w:color="auto" w:sz="4" w:space="0"/>
                    <w:left w:val="single" w:color="auto" w:sz="4" w:space="0"/>
                    <w:bottom w:val="single" w:color="auto" w:sz="4" w:space="0"/>
                    <w:right w:val="single" w:color="auto" w:sz="4" w:space="0"/>
                  </w:tcBorders>
                  <w:vAlign w:val="center"/>
                </w:tcPr>
                <w:p w14:paraId="7BD87BB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0.2353</w:t>
                  </w:r>
                </w:p>
              </w:tc>
              <w:tc>
                <w:tcPr>
                  <w:tcW w:w="719" w:type="dxa"/>
                  <w:tcBorders>
                    <w:top w:val="single" w:color="auto" w:sz="4" w:space="0"/>
                    <w:left w:val="single" w:color="auto" w:sz="4" w:space="0"/>
                    <w:bottom w:val="single" w:color="auto" w:sz="4" w:space="0"/>
                    <w:right w:val="single" w:color="auto" w:sz="4" w:space="0"/>
                  </w:tcBorders>
                  <w:vAlign w:val="center"/>
                </w:tcPr>
                <w:p w14:paraId="3484DF4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9.8</w:t>
                  </w:r>
                </w:p>
              </w:tc>
              <w:tc>
                <w:tcPr>
                  <w:tcW w:w="741" w:type="dxa"/>
                  <w:tcBorders>
                    <w:top w:val="single" w:color="auto" w:sz="4" w:space="0"/>
                    <w:left w:val="single" w:color="auto" w:sz="4" w:space="0"/>
                    <w:bottom w:val="single" w:color="auto" w:sz="4" w:space="0"/>
                    <w:right w:val="single" w:color="auto" w:sz="4" w:space="0"/>
                  </w:tcBorders>
                  <w:vAlign w:val="center"/>
                </w:tcPr>
                <w:p w14:paraId="2BB4F9F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0.196</w:t>
                  </w:r>
                  <w:r>
                    <w:rPr>
                      <w:rFonts w:hint="eastAsia" w:eastAsia="宋体" w:cs="Times New Roman"/>
                      <w:i w:val="0"/>
                      <w:iCs w:val="0"/>
                      <w:color w:val="000000"/>
                      <w:kern w:val="0"/>
                      <w:sz w:val="18"/>
                      <w:szCs w:val="18"/>
                      <w:u w:val="none"/>
                      <w:lang w:val="en-US" w:eastAsia="zh-CN" w:bidi="ar"/>
                    </w:rPr>
                    <w:t>1</w:t>
                  </w:r>
                </w:p>
              </w:tc>
              <w:tc>
                <w:tcPr>
                  <w:tcW w:w="543" w:type="dxa"/>
                  <w:vMerge w:val="continue"/>
                  <w:tcBorders>
                    <w:left w:val="single" w:color="auto" w:sz="4" w:space="0"/>
                    <w:right w:val="single" w:color="auto" w:sz="4" w:space="0"/>
                  </w:tcBorders>
                  <w:vAlign w:val="center"/>
                </w:tcPr>
                <w:p w14:paraId="57F31AEF">
                  <w:pPr>
                    <w:spacing w:line="240" w:lineRule="auto"/>
                    <w:jc w:val="center"/>
                    <w:rPr>
                      <w:rFonts w:hint="default" w:ascii="Times New Roman" w:hAnsi="Times New Roman" w:eastAsia="宋体" w:cs="Times New Roman"/>
                      <w:sz w:val="18"/>
                      <w:szCs w:val="18"/>
                      <w:lang w:val="en-US" w:eastAsia="zh-CN"/>
                    </w:rPr>
                  </w:pPr>
                </w:p>
              </w:tc>
              <w:tc>
                <w:tcPr>
                  <w:tcW w:w="793" w:type="dxa"/>
                  <w:vMerge w:val="continue"/>
                  <w:tcBorders>
                    <w:left w:val="single" w:color="auto" w:sz="4" w:space="0"/>
                    <w:bottom w:val="single" w:color="auto" w:sz="4" w:space="0"/>
                    <w:right w:val="single" w:color="auto" w:sz="4" w:space="0"/>
                  </w:tcBorders>
                  <w:vAlign w:val="center"/>
                </w:tcPr>
                <w:p w14:paraId="56A59889">
                  <w:pPr>
                    <w:spacing w:line="240" w:lineRule="auto"/>
                    <w:jc w:val="center"/>
                    <w:rPr>
                      <w:rFonts w:hint="default" w:ascii="Times New Roman" w:hAnsi="Times New Roman" w:eastAsia="宋体" w:cs="Times New Roman"/>
                      <w:sz w:val="18"/>
                      <w:szCs w:val="18"/>
                      <w:lang w:val="en-US" w:eastAsia="zh-CN"/>
                    </w:rPr>
                  </w:pPr>
                </w:p>
              </w:tc>
            </w:tr>
            <w:tr w14:paraId="480C3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bottom w:val="single" w:color="auto" w:sz="2" w:space="0"/>
                    <w:right w:val="single" w:color="auto" w:sz="4" w:space="0"/>
                  </w:tcBorders>
                  <w:vAlign w:val="center"/>
                </w:tcPr>
                <w:p w14:paraId="7A0BA976">
                  <w:pPr>
                    <w:spacing w:line="240" w:lineRule="auto"/>
                    <w:jc w:val="center"/>
                    <w:rPr>
                      <w:rFonts w:hint="eastAsia" w:ascii="Times New Roman" w:hAnsi="Times New Roman" w:eastAsia="宋体" w:cs="Times New Roman"/>
                      <w:bCs/>
                      <w:sz w:val="18"/>
                      <w:szCs w:val="18"/>
                      <w:lang w:eastAsia="zh-CN"/>
                    </w:rPr>
                  </w:pPr>
                </w:p>
              </w:tc>
              <w:tc>
                <w:tcPr>
                  <w:tcW w:w="821" w:type="dxa"/>
                  <w:vMerge w:val="continue"/>
                  <w:tcBorders>
                    <w:left w:val="single" w:color="auto" w:sz="4" w:space="0"/>
                    <w:bottom w:val="single" w:color="auto" w:sz="4" w:space="0"/>
                    <w:right w:val="single" w:color="auto" w:sz="4" w:space="0"/>
                  </w:tcBorders>
                  <w:vAlign w:val="center"/>
                </w:tcPr>
                <w:p w14:paraId="4C14EE5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p>
              </w:tc>
              <w:tc>
                <w:tcPr>
                  <w:tcW w:w="924" w:type="dxa"/>
                  <w:vMerge w:val="continue"/>
                  <w:tcBorders>
                    <w:left w:val="single" w:color="auto" w:sz="4" w:space="0"/>
                    <w:bottom w:val="single" w:color="auto" w:sz="4" w:space="0"/>
                    <w:right w:val="single" w:color="auto" w:sz="4" w:space="0"/>
                  </w:tcBorders>
                  <w:vAlign w:val="center"/>
                </w:tcPr>
                <w:p w14:paraId="6AE96BC4">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1078" w:type="dxa"/>
                  <w:tcBorders>
                    <w:top w:val="single" w:color="auto" w:sz="4" w:space="0"/>
                    <w:left w:val="single" w:color="auto" w:sz="4" w:space="0"/>
                    <w:bottom w:val="single" w:color="auto" w:sz="4" w:space="0"/>
                    <w:right w:val="single" w:color="auto" w:sz="4" w:space="0"/>
                  </w:tcBorders>
                  <w:vAlign w:val="center"/>
                </w:tcPr>
                <w:p w14:paraId="23A8523B">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0.0168</w:t>
                  </w:r>
                </w:p>
              </w:tc>
              <w:tc>
                <w:tcPr>
                  <w:tcW w:w="946" w:type="dxa"/>
                  <w:tcBorders>
                    <w:top w:val="single" w:color="auto" w:sz="4" w:space="0"/>
                    <w:left w:val="single" w:color="auto" w:sz="4" w:space="0"/>
                    <w:bottom w:val="single" w:color="auto" w:sz="4" w:space="0"/>
                    <w:right w:val="single" w:color="auto" w:sz="4" w:space="0"/>
                  </w:tcBorders>
                  <w:vAlign w:val="center"/>
                </w:tcPr>
                <w:p w14:paraId="4ADA8484">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6384424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0.014</w:t>
                  </w:r>
                </w:p>
              </w:tc>
              <w:tc>
                <w:tcPr>
                  <w:tcW w:w="880" w:type="dxa"/>
                  <w:tcBorders>
                    <w:top w:val="single" w:color="auto" w:sz="4" w:space="0"/>
                    <w:left w:val="single" w:color="auto" w:sz="4" w:space="0"/>
                    <w:bottom w:val="single" w:color="auto" w:sz="4" w:space="0"/>
                    <w:right w:val="single" w:color="auto" w:sz="4" w:space="0"/>
                  </w:tcBorders>
                  <w:vAlign w:val="center"/>
                </w:tcPr>
                <w:p w14:paraId="09328AF4">
                  <w:pPr>
                    <w:jc w:val="center"/>
                    <w:rPr>
                      <w:rFonts w:hint="default"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7E691532">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bottom w:val="single" w:color="auto" w:sz="4" w:space="0"/>
                    <w:right w:val="single" w:color="auto" w:sz="4" w:space="0"/>
                  </w:tcBorders>
                  <w:vAlign w:val="center"/>
                </w:tcPr>
                <w:p w14:paraId="08EA5902">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1AA9BE05">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4528BED8">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6A89077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0.0168</w:t>
                  </w:r>
                </w:p>
              </w:tc>
              <w:tc>
                <w:tcPr>
                  <w:tcW w:w="719" w:type="dxa"/>
                  <w:tcBorders>
                    <w:top w:val="single" w:color="auto" w:sz="4" w:space="0"/>
                    <w:left w:val="single" w:color="auto" w:sz="4" w:space="0"/>
                    <w:bottom w:val="single" w:color="auto" w:sz="4" w:space="0"/>
                    <w:right w:val="single" w:color="auto" w:sz="4" w:space="0"/>
                  </w:tcBorders>
                  <w:vAlign w:val="center"/>
                </w:tcPr>
                <w:p w14:paraId="59A3E6DF">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64B9987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0.014</w:t>
                  </w:r>
                </w:p>
              </w:tc>
              <w:tc>
                <w:tcPr>
                  <w:tcW w:w="543" w:type="dxa"/>
                  <w:vMerge w:val="continue"/>
                  <w:tcBorders>
                    <w:left w:val="single" w:color="auto" w:sz="4" w:space="0"/>
                    <w:right w:val="single" w:color="auto" w:sz="4" w:space="0"/>
                  </w:tcBorders>
                  <w:vAlign w:val="center"/>
                </w:tcPr>
                <w:p w14:paraId="008AF88A">
                  <w:pPr>
                    <w:spacing w:line="240" w:lineRule="auto"/>
                    <w:jc w:val="center"/>
                    <w:rPr>
                      <w:rFonts w:hint="default" w:ascii="Times New Roman" w:hAnsi="Times New Roman" w:eastAsia="宋体" w:cs="Times New Roman"/>
                      <w:sz w:val="18"/>
                      <w:szCs w:val="18"/>
                      <w:lang w:val="en-US" w:eastAsia="zh-CN"/>
                    </w:rPr>
                  </w:pPr>
                </w:p>
              </w:tc>
              <w:tc>
                <w:tcPr>
                  <w:tcW w:w="793" w:type="dxa"/>
                  <w:tcBorders>
                    <w:top w:val="single" w:color="auto" w:sz="4" w:space="0"/>
                    <w:left w:val="single" w:color="auto" w:sz="4" w:space="0"/>
                    <w:bottom w:val="single" w:color="auto" w:sz="4" w:space="0"/>
                    <w:right w:val="single" w:color="auto" w:sz="4" w:space="0"/>
                  </w:tcBorders>
                  <w:vAlign w:val="center"/>
                </w:tcPr>
                <w:p w14:paraId="2D1201A6">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无组织</w:t>
                  </w:r>
                </w:p>
              </w:tc>
            </w:tr>
            <w:tr w14:paraId="53D9A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tcBorders>
                    <w:left w:val="single" w:color="auto" w:sz="4" w:space="0"/>
                    <w:bottom w:val="single" w:color="auto" w:sz="2" w:space="0"/>
                    <w:right w:val="single" w:color="auto" w:sz="4" w:space="0"/>
                  </w:tcBorders>
                  <w:vAlign w:val="center"/>
                </w:tcPr>
                <w:p w14:paraId="656B0317">
                  <w:pPr>
                    <w:spacing w:line="240" w:lineRule="auto"/>
                    <w:jc w:val="center"/>
                    <w:rPr>
                      <w:rFonts w:hint="eastAsia" w:ascii="Times New Roman" w:hAnsi="Times New Roman" w:eastAsia="宋体" w:cs="Times New Roman"/>
                      <w:bCs/>
                      <w:sz w:val="18"/>
                      <w:szCs w:val="18"/>
                      <w:lang w:eastAsia="zh-CN"/>
                    </w:rPr>
                  </w:pPr>
                  <w:r>
                    <w:rPr>
                      <w:rFonts w:hint="eastAsia" w:cs="Times New Roman"/>
                      <w:bCs/>
                      <w:sz w:val="18"/>
                      <w:szCs w:val="18"/>
                      <w:lang w:val="en-US" w:eastAsia="zh-CN"/>
                    </w:rPr>
                    <w:t>静电喷塑后固化</w:t>
                  </w:r>
                </w:p>
              </w:tc>
              <w:tc>
                <w:tcPr>
                  <w:tcW w:w="821" w:type="dxa"/>
                  <w:tcBorders>
                    <w:left w:val="single" w:color="auto" w:sz="4" w:space="0"/>
                    <w:bottom w:val="single" w:color="auto" w:sz="4" w:space="0"/>
                    <w:right w:val="single" w:color="auto" w:sz="4" w:space="0"/>
                  </w:tcBorders>
                  <w:vAlign w:val="center"/>
                </w:tcPr>
                <w:p w14:paraId="5C81FE7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24" w:type="dxa"/>
                  <w:tcBorders>
                    <w:left w:val="single" w:color="auto" w:sz="4" w:space="0"/>
                    <w:bottom w:val="single" w:color="auto" w:sz="4" w:space="0"/>
                    <w:right w:val="single" w:color="auto" w:sz="4" w:space="0"/>
                  </w:tcBorders>
                  <w:vAlign w:val="center"/>
                </w:tcPr>
                <w:p w14:paraId="3A831E9C">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0.03</w:t>
                  </w:r>
                </w:p>
              </w:tc>
              <w:tc>
                <w:tcPr>
                  <w:tcW w:w="1078" w:type="dxa"/>
                  <w:tcBorders>
                    <w:top w:val="single" w:color="auto" w:sz="4" w:space="0"/>
                    <w:left w:val="single" w:color="auto" w:sz="4" w:space="0"/>
                    <w:bottom w:val="single" w:color="auto" w:sz="4" w:space="0"/>
                    <w:right w:val="single" w:color="auto" w:sz="4" w:space="0"/>
                  </w:tcBorders>
                  <w:vAlign w:val="center"/>
                </w:tcPr>
                <w:p w14:paraId="4E60DB7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0.03</w:t>
                  </w:r>
                </w:p>
              </w:tc>
              <w:tc>
                <w:tcPr>
                  <w:tcW w:w="946" w:type="dxa"/>
                  <w:tcBorders>
                    <w:top w:val="single" w:color="auto" w:sz="4" w:space="0"/>
                    <w:left w:val="single" w:color="auto" w:sz="4" w:space="0"/>
                    <w:bottom w:val="single" w:color="auto" w:sz="4" w:space="0"/>
                    <w:right w:val="single" w:color="auto" w:sz="4" w:space="0"/>
                  </w:tcBorders>
                  <w:vAlign w:val="center"/>
                </w:tcPr>
                <w:p w14:paraId="025E2E17">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w:t>
                  </w:r>
                </w:p>
              </w:tc>
              <w:tc>
                <w:tcPr>
                  <w:tcW w:w="968" w:type="dxa"/>
                  <w:tcBorders>
                    <w:top w:val="single" w:color="auto" w:sz="4" w:space="0"/>
                    <w:left w:val="single" w:color="auto" w:sz="4" w:space="0"/>
                    <w:bottom w:val="single" w:color="auto" w:sz="4" w:space="0"/>
                    <w:right w:val="single" w:color="auto" w:sz="4" w:space="0"/>
                  </w:tcBorders>
                  <w:vAlign w:val="center"/>
                </w:tcPr>
                <w:p w14:paraId="056DF0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0.025</w:t>
                  </w:r>
                </w:p>
              </w:tc>
              <w:tc>
                <w:tcPr>
                  <w:tcW w:w="880" w:type="dxa"/>
                  <w:tcBorders>
                    <w:top w:val="single" w:color="auto" w:sz="4" w:space="0"/>
                    <w:left w:val="single" w:color="auto" w:sz="4" w:space="0"/>
                    <w:bottom w:val="single" w:color="auto" w:sz="4" w:space="0"/>
                    <w:right w:val="single" w:color="auto" w:sz="4" w:space="0"/>
                  </w:tcBorders>
                  <w:vAlign w:val="center"/>
                </w:tcPr>
                <w:p w14:paraId="5542ACBA">
                  <w:pPr>
                    <w:jc w:val="center"/>
                    <w:rPr>
                      <w:rFonts w:hint="eastAsia" w:cs="Times New Roman"/>
                      <w:sz w:val="18"/>
                      <w:szCs w:val="18"/>
                      <w:lang w:val="en-US" w:eastAsia="zh-CN"/>
                    </w:rPr>
                  </w:pPr>
                  <w:r>
                    <w:rPr>
                      <w:rFonts w:hint="eastAsia" w:cs="Times New Roman"/>
                      <w:sz w:val="18"/>
                      <w:szCs w:val="18"/>
                      <w:lang w:val="en-US" w:eastAsia="zh-CN"/>
                    </w:rPr>
                    <w:t>20000</w:t>
                  </w:r>
                </w:p>
              </w:tc>
              <w:tc>
                <w:tcPr>
                  <w:tcW w:w="726" w:type="dxa"/>
                  <w:tcBorders>
                    <w:top w:val="single" w:color="auto" w:sz="4" w:space="0"/>
                    <w:left w:val="single" w:color="auto" w:sz="4" w:space="0"/>
                    <w:bottom w:val="single" w:color="auto" w:sz="4" w:space="0"/>
                    <w:right w:val="single" w:color="auto" w:sz="4" w:space="0"/>
                  </w:tcBorders>
                  <w:vAlign w:val="center"/>
                </w:tcPr>
                <w:p w14:paraId="68D8B8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100</w:t>
                  </w:r>
                </w:p>
              </w:tc>
              <w:tc>
                <w:tcPr>
                  <w:tcW w:w="770" w:type="dxa"/>
                  <w:tcBorders>
                    <w:top w:val="single" w:color="auto" w:sz="4" w:space="0"/>
                    <w:left w:val="single" w:color="auto" w:sz="4" w:space="0"/>
                    <w:bottom w:val="single" w:color="auto" w:sz="4" w:space="0"/>
                    <w:right w:val="single" w:color="auto" w:sz="4" w:space="0"/>
                  </w:tcBorders>
                  <w:vAlign w:val="center"/>
                </w:tcPr>
                <w:p w14:paraId="07F442E2">
                  <w:pPr>
                    <w:jc w:val="center"/>
                    <w:rPr>
                      <w:rFonts w:hint="eastAsia"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550" w:type="dxa"/>
                  <w:tcBorders>
                    <w:top w:val="single" w:color="auto" w:sz="4" w:space="0"/>
                    <w:left w:val="single" w:color="auto" w:sz="4" w:space="0"/>
                    <w:bottom w:val="single" w:color="auto" w:sz="4" w:space="0"/>
                    <w:right w:val="single" w:color="auto" w:sz="4" w:space="0"/>
                  </w:tcBorders>
                  <w:vAlign w:val="center"/>
                </w:tcPr>
                <w:p w14:paraId="13B4F08E">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70</w:t>
                  </w:r>
                </w:p>
              </w:tc>
              <w:tc>
                <w:tcPr>
                  <w:tcW w:w="682" w:type="dxa"/>
                  <w:tcBorders>
                    <w:top w:val="single" w:color="auto" w:sz="4" w:space="0"/>
                    <w:left w:val="single" w:color="auto" w:sz="4" w:space="0"/>
                    <w:bottom w:val="single" w:color="auto" w:sz="4" w:space="0"/>
                    <w:right w:val="single" w:color="auto" w:sz="4" w:space="0"/>
                  </w:tcBorders>
                  <w:vAlign w:val="center"/>
                </w:tcPr>
                <w:p w14:paraId="4DEF297B">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877" w:type="dxa"/>
                  <w:tcBorders>
                    <w:top w:val="single" w:color="auto" w:sz="4" w:space="0"/>
                    <w:left w:val="single" w:color="auto" w:sz="4" w:space="0"/>
                    <w:bottom w:val="single" w:color="auto" w:sz="4" w:space="0"/>
                    <w:right w:val="single" w:color="auto" w:sz="4" w:space="0"/>
                  </w:tcBorders>
                  <w:vAlign w:val="center"/>
                </w:tcPr>
                <w:p w14:paraId="6A6F5BE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0.009</w:t>
                  </w:r>
                </w:p>
              </w:tc>
              <w:tc>
                <w:tcPr>
                  <w:tcW w:w="719" w:type="dxa"/>
                  <w:tcBorders>
                    <w:top w:val="single" w:color="auto" w:sz="4" w:space="0"/>
                    <w:left w:val="single" w:color="auto" w:sz="4" w:space="0"/>
                    <w:bottom w:val="single" w:color="auto" w:sz="4" w:space="0"/>
                    <w:right w:val="single" w:color="auto" w:sz="4" w:space="0"/>
                  </w:tcBorders>
                  <w:vAlign w:val="center"/>
                </w:tcPr>
                <w:p w14:paraId="275F7E6D">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0.4</w:t>
                  </w:r>
                </w:p>
              </w:tc>
              <w:tc>
                <w:tcPr>
                  <w:tcW w:w="741" w:type="dxa"/>
                  <w:tcBorders>
                    <w:top w:val="single" w:color="auto" w:sz="4" w:space="0"/>
                    <w:left w:val="single" w:color="auto" w:sz="4" w:space="0"/>
                    <w:bottom w:val="single" w:color="auto" w:sz="4" w:space="0"/>
                    <w:right w:val="single" w:color="auto" w:sz="4" w:space="0"/>
                  </w:tcBorders>
                  <w:vAlign w:val="center"/>
                </w:tcPr>
                <w:p w14:paraId="17D7BCB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0.0075</w:t>
                  </w:r>
                </w:p>
              </w:tc>
              <w:tc>
                <w:tcPr>
                  <w:tcW w:w="543" w:type="dxa"/>
                  <w:vMerge w:val="continue"/>
                  <w:tcBorders>
                    <w:left w:val="single" w:color="auto" w:sz="4" w:space="0"/>
                    <w:right w:val="single" w:color="auto" w:sz="4" w:space="0"/>
                  </w:tcBorders>
                  <w:vAlign w:val="center"/>
                </w:tcPr>
                <w:p w14:paraId="30116FFC">
                  <w:pPr>
                    <w:spacing w:line="240" w:lineRule="auto"/>
                    <w:jc w:val="center"/>
                    <w:rPr>
                      <w:rFonts w:hint="default" w:ascii="Times New Roman" w:hAnsi="Times New Roman" w:eastAsia="宋体" w:cs="Times New Roman"/>
                      <w:sz w:val="18"/>
                      <w:szCs w:val="18"/>
                      <w:lang w:val="en-US" w:eastAsia="zh-CN"/>
                    </w:rPr>
                  </w:pPr>
                </w:p>
              </w:tc>
              <w:tc>
                <w:tcPr>
                  <w:tcW w:w="793" w:type="dxa"/>
                  <w:tcBorders>
                    <w:top w:val="single" w:color="auto" w:sz="4" w:space="0"/>
                    <w:left w:val="single" w:color="auto" w:sz="4" w:space="0"/>
                    <w:bottom w:val="single" w:color="auto" w:sz="4" w:space="0"/>
                    <w:right w:val="single" w:color="auto" w:sz="4" w:space="0"/>
                  </w:tcBorders>
                  <w:vAlign w:val="center"/>
                </w:tcPr>
                <w:p w14:paraId="1501DD03">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325B1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restart"/>
                  <w:tcBorders>
                    <w:top w:val="single" w:color="auto" w:sz="2" w:space="0"/>
                    <w:left w:val="single" w:color="auto" w:sz="4" w:space="0"/>
                    <w:right w:val="single" w:color="auto" w:sz="4" w:space="0"/>
                  </w:tcBorders>
                  <w:vAlign w:val="center"/>
                </w:tcPr>
                <w:p w14:paraId="6D7B02F5">
                  <w:pPr>
                    <w:spacing w:line="240" w:lineRule="auto"/>
                    <w:jc w:val="center"/>
                    <w:rPr>
                      <w:rFonts w:hint="eastAsia" w:ascii="Times New Roman" w:hAnsi="Times New Roman" w:eastAsia="宋体" w:cs="Times New Roman"/>
                      <w:bCs/>
                      <w:sz w:val="18"/>
                      <w:szCs w:val="18"/>
                      <w:lang w:eastAsia="zh-CN"/>
                    </w:rPr>
                  </w:pPr>
                  <w:r>
                    <w:rPr>
                      <w:rFonts w:hint="eastAsia" w:cs="Times New Roman"/>
                      <w:bCs/>
                      <w:color w:val="auto"/>
                      <w:sz w:val="18"/>
                      <w:szCs w:val="18"/>
                      <w:lang w:eastAsia="zh-CN"/>
                    </w:rPr>
                    <w:t>玻璃钢缠绕罐生产</w:t>
                  </w:r>
                </w:p>
              </w:tc>
              <w:tc>
                <w:tcPr>
                  <w:tcW w:w="821" w:type="dxa"/>
                  <w:vMerge w:val="restart"/>
                  <w:tcBorders>
                    <w:top w:val="single" w:color="auto" w:sz="4" w:space="0"/>
                    <w:left w:val="single" w:color="auto" w:sz="4" w:space="0"/>
                    <w:right w:val="single" w:color="auto" w:sz="4" w:space="0"/>
                  </w:tcBorders>
                  <w:vAlign w:val="center"/>
                </w:tcPr>
                <w:p w14:paraId="07F4131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24" w:type="dxa"/>
                  <w:vMerge w:val="restart"/>
                  <w:tcBorders>
                    <w:top w:val="single" w:color="auto" w:sz="4" w:space="0"/>
                    <w:left w:val="single" w:color="auto" w:sz="4" w:space="0"/>
                    <w:right w:val="single" w:color="auto" w:sz="4" w:space="0"/>
                  </w:tcBorders>
                  <w:vAlign w:val="center"/>
                </w:tcPr>
                <w:p w14:paraId="098D64DB">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0.451</w:t>
                  </w:r>
                </w:p>
              </w:tc>
              <w:tc>
                <w:tcPr>
                  <w:tcW w:w="1078" w:type="dxa"/>
                  <w:tcBorders>
                    <w:top w:val="single" w:color="auto" w:sz="4" w:space="0"/>
                    <w:left w:val="single" w:color="auto" w:sz="4" w:space="0"/>
                    <w:bottom w:val="single" w:color="auto" w:sz="4" w:space="0"/>
                    <w:right w:val="single" w:color="auto" w:sz="4" w:space="0"/>
                  </w:tcBorders>
                  <w:vAlign w:val="center"/>
                </w:tcPr>
                <w:p w14:paraId="511D58E7">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0.406</w:t>
                  </w:r>
                </w:p>
              </w:tc>
              <w:tc>
                <w:tcPr>
                  <w:tcW w:w="946" w:type="dxa"/>
                  <w:tcBorders>
                    <w:top w:val="single" w:color="auto" w:sz="4" w:space="0"/>
                    <w:left w:val="single" w:color="auto" w:sz="4" w:space="0"/>
                    <w:bottom w:val="single" w:color="auto" w:sz="4" w:space="0"/>
                    <w:right w:val="single" w:color="auto" w:sz="4" w:space="0"/>
                  </w:tcBorders>
                  <w:vAlign w:val="center"/>
                </w:tcPr>
                <w:p w14:paraId="7C77A3B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16.9</w:t>
                  </w:r>
                </w:p>
              </w:tc>
              <w:tc>
                <w:tcPr>
                  <w:tcW w:w="968" w:type="dxa"/>
                  <w:tcBorders>
                    <w:top w:val="single" w:color="auto" w:sz="4" w:space="0"/>
                    <w:left w:val="single" w:color="auto" w:sz="4" w:space="0"/>
                    <w:bottom w:val="single" w:color="auto" w:sz="4" w:space="0"/>
                    <w:right w:val="single" w:color="auto" w:sz="4" w:space="0"/>
                  </w:tcBorders>
                  <w:vAlign w:val="center"/>
                </w:tcPr>
                <w:p w14:paraId="484CAC7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0.3383</w:t>
                  </w:r>
                </w:p>
              </w:tc>
              <w:tc>
                <w:tcPr>
                  <w:tcW w:w="880" w:type="dxa"/>
                  <w:tcBorders>
                    <w:left w:val="single" w:color="auto" w:sz="4" w:space="0"/>
                    <w:bottom w:val="single" w:color="auto" w:sz="4" w:space="0"/>
                    <w:right w:val="single" w:color="auto" w:sz="4" w:space="0"/>
                  </w:tcBorders>
                  <w:vAlign w:val="center"/>
                </w:tcPr>
                <w:p w14:paraId="1F0B503D">
                  <w:pPr>
                    <w:jc w:val="center"/>
                    <w:rPr>
                      <w:rFonts w:hint="default" w:cs="Times New Roman"/>
                      <w:sz w:val="18"/>
                      <w:szCs w:val="18"/>
                      <w:lang w:val="en-US" w:eastAsia="zh-CN"/>
                    </w:rPr>
                  </w:pPr>
                  <w:r>
                    <w:rPr>
                      <w:rFonts w:hint="eastAsia" w:cs="Times New Roman"/>
                      <w:sz w:val="18"/>
                      <w:szCs w:val="18"/>
                      <w:lang w:val="en-US" w:eastAsia="zh-CN"/>
                    </w:rPr>
                    <w:t>20000</w:t>
                  </w:r>
                </w:p>
              </w:tc>
              <w:tc>
                <w:tcPr>
                  <w:tcW w:w="726" w:type="dxa"/>
                  <w:tcBorders>
                    <w:top w:val="single" w:color="auto" w:sz="4" w:space="0"/>
                    <w:left w:val="single" w:color="auto" w:sz="4" w:space="0"/>
                    <w:bottom w:val="single" w:color="auto" w:sz="4" w:space="0"/>
                    <w:right w:val="single" w:color="auto" w:sz="4" w:space="0"/>
                  </w:tcBorders>
                  <w:vAlign w:val="center"/>
                </w:tcPr>
                <w:p w14:paraId="2DB4A799">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90</w:t>
                  </w:r>
                </w:p>
              </w:tc>
              <w:tc>
                <w:tcPr>
                  <w:tcW w:w="770" w:type="dxa"/>
                  <w:tcBorders>
                    <w:left w:val="single" w:color="auto" w:sz="4" w:space="0"/>
                    <w:bottom w:val="single" w:color="auto" w:sz="4" w:space="0"/>
                    <w:right w:val="single" w:color="auto" w:sz="4" w:space="0"/>
                  </w:tcBorders>
                  <w:vAlign w:val="center"/>
                </w:tcPr>
                <w:p w14:paraId="6488B62F">
                  <w:pPr>
                    <w:jc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550" w:type="dxa"/>
                  <w:tcBorders>
                    <w:left w:val="single" w:color="auto" w:sz="4" w:space="0"/>
                    <w:bottom w:val="single" w:color="auto" w:sz="4" w:space="0"/>
                    <w:right w:val="single" w:color="auto" w:sz="4" w:space="0"/>
                  </w:tcBorders>
                  <w:vAlign w:val="center"/>
                </w:tcPr>
                <w:p w14:paraId="13F641FF">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70</w:t>
                  </w:r>
                </w:p>
              </w:tc>
              <w:tc>
                <w:tcPr>
                  <w:tcW w:w="682" w:type="dxa"/>
                  <w:tcBorders>
                    <w:top w:val="single" w:color="auto" w:sz="4" w:space="0"/>
                    <w:left w:val="single" w:color="auto" w:sz="4" w:space="0"/>
                    <w:bottom w:val="single" w:color="auto" w:sz="4" w:space="0"/>
                    <w:right w:val="single" w:color="auto" w:sz="4" w:space="0"/>
                  </w:tcBorders>
                  <w:vAlign w:val="center"/>
                </w:tcPr>
                <w:p w14:paraId="17511620">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877" w:type="dxa"/>
                  <w:tcBorders>
                    <w:top w:val="single" w:color="auto" w:sz="4" w:space="0"/>
                    <w:left w:val="single" w:color="auto" w:sz="4" w:space="0"/>
                    <w:bottom w:val="single" w:color="auto" w:sz="4" w:space="0"/>
                    <w:right w:val="single" w:color="auto" w:sz="4" w:space="0"/>
                  </w:tcBorders>
                  <w:vAlign w:val="center"/>
                </w:tcPr>
                <w:p w14:paraId="3D56703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0.122</w:t>
                  </w:r>
                </w:p>
              </w:tc>
              <w:tc>
                <w:tcPr>
                  <w:tcW w:w="719" w:type="dxa"/>
                  <w:tcBorders>
                    <w:top w:val="single" w:color="auto" w:sz="4" w:space="0"/>
                    <w:left w:val="single" w:color="auto" w:sz="4" w:space="0"/>
                    <w:bottom w:val="single" w:color="auto" w:sz="4" w:space="0"/>
                    <w:right w:val="single" w:color="auto" w:sz="4" w:space="0"/>
                  </w:tcBorders>
                  <w:vAlign w:val="center"/>
                </w:tcPr>
                <w:p w14:paraId="60A8920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5.1</w:t>
                  </w:r>
                </w:p>
              </w:tc>
              <w:tc>
                <w:tcPr>
                  <w:tcW w:w="741" w:type="dxa"/>
                  <w:tcBorders>
                    <w:top w:val="single" w:color="auto" w:sz="4" w:space="0"/>
                    <w:left w:val="single" w:color="auto" w:sz="4" w:space="0"/>
                    <w:bottom w:val="single" w:color="auto" w:sz="4" w:space="0"/>
                    <w:right w:val="single" w:color="auto" w:sz="4" w:space="0"/>
                  </w:tcBorders>
                  <w:vAlign w:val="center"/>
                </w:tcPr>
                <w:p w14:paraId="49E04DF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0.101</w:t>
                  </w:r>
                  <w:r>
                    <w:rPr>
                      <w:rFonts w:hint="eastAsia" w:eastAsia="宋体" w:cs="Times New Roman"/>
                      <w:i w:val="0"/>
                      <w:iCs w:val="0"/>
                      <w:color w:val="000000"/>
                      <w:kern w:val="0"/>
                      <w:sz w:val="18"/>
                      <w:szCs w:val="18"/>
                      <w:u w:val="none"/>
                      <w:lang w:val="en-US" w:eastAsia="zh-CN" w:bidi="ar"/>
                    </w:rPr>
                    <w:t>7</w:t>
                  </w:r>
                </w:p>
              </w:tc>
              <w:tc>
                <w:tcPr>
                  <w:tcW w:w="543" w:type="dxa"/>
                  <w:vMerge w:val="continue"/>
                  <w:tcBorders>
                    <w:left w:val="single" w:color="auto" w:sz="4" w:space="0"/>
                    <w:right w:val="single" w:color="auto" w:sz="4" w:space="0"/>
                  </w:tcBorders>
                  <w:vAlign w:val="center"/>
                </w:tcPr>
                <w:p w14:paraId="13C032CD">
                  <w:pPr>
                    <w:spacing w:line="240" w:lineRule="auto"/>
                    <w:jc w:val="center"/>
                    <w:rPr>
                      <w:rFonts w:hint="default" w:ascii="Times New Roman" w:hAnsi="Times New Roman" w:eastAsia="宋体" w:cs="Times New Roman"/>
                      <w:sz w:val="18"/>
                      <w:szCs w:val="18"/>
                      <w:lang w:val="en-US" w:eastAsia="zh-CN"/>
                    </w:rPr>
                  </w:pPr>
                </w:p>
              </w:tc>
              <w:tc>
                <w:tcPr>
                  <w:tcW w:w="793" w:type="dxa"/>
                  <w:tcBorders>
                    <w:top w:val="single" w:color="auto" w:sz="4" w:space="0"/>
                    <w:left w:val="single" w:color="auto" w:sz="4" w:space="0"/>
                    <w:right w:val="single" w:color="auto" w:sz="4" w:space="0"/>
                  </w:tcBorders>
                  <w:vAlign w:val="center"/>
                </w:tcPr>
                <w:p w14:paraId="3807837A">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5348E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5AB68A06">
                  <w:pPr>
                    <w:spacing w:line="240" w:lineRule="auto"/>
                    <w:jc w:val="center"/>
                    <w:rPr>
                      <w:rFonts w:hint="eastAsia" w:cs="Times New Roman"/>
                      <w:bCs/>
                      <w:color w:val="auto"/>
                      <w:sz w:val="21"/>
                      <w:szCs w:val="21"/>
                      <w:lang w:eastAsia="zh-CN"/>
                    </w:rPr>
                  </w:pPr>
                </w:p>
              </w:tc>
              <w:tc>
                <w:tcPr>
                  <w:tcW w:w="821" w:type="dxa"/>
                  <w:vMerge w:val="continue"/>
                  <w:tcBorders>
                    <w:left w:val="single" w:color="auto" w:sz="4" w:space="0"/>
                    <w:bottom w:val="single" w:color="auto" w:sz="4" w:space="0"/>
                    <w:right w:val="single" w:color="auto" w:sz="4" w:space="0"/>
                  </w:tcBorders>
                  <w:vAlign w:val="center"/>
                </w:tcPr>
                <w:p w14:paraId="0F5CFC4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p>
              </w:tc>
              <w:tc>
                <w:tcPr>
                  <w:tcW w:w="924" w:type="dxa"/>
                  <w:vMerge w:val="continue"/>
                  <w:tcBorders>
                    <w:left w:val="single" w:color="auto" w:sz="4" w:space="0"/>
                    <w:bottom w:val="single" w:color="auto" w:sz="4" w:space="0"/>
                    <w:right w:val="single" w:color="auto" w:sz="4" w:space="0"/>
                  </w:tcBorders>
                  <w:vAlign w:val="center"/>
                </w:tcPr>
                <w:p w14:paraId="601BE563">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1078" w:type="dxa"/>
                  <w:tcBorders>
                    <w:top w:val="single" w:color="auto" w:sz="4" w:space="0"/>
                    <w:left w:val="single" w:color="auto" w:sz="4" w:space="0"/>
                    <w:bottom w:val="single" w:color="auto" w:sz="4" w:space="0"/>
                    <w:right w:val="single" w:color="auto" w:sz="4" w:space="0"/>
                  </w:tcBorders>
                  <w:vAlign w:val="center"/>
                </w:tcPr>
                <w:p w14:paraId="25BA25D7">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0.045</w:t>
                  </w:r>
                </w:p>
              </w:tc>
              <w:tc>
                <w:tcPr>
                  <w:tcW w:w="946" w:type="dxa"/>
                  <w:tcBorders>
                    <w:top w:val="single" w:color="auto" w:sz="4" w:space="0"/>
                    <w:left w:val="single" w:color="auto" w:sz="4" w:space="0"/>
                    <w:bottom w:val="single" w:color="auto" w:sz="4" w:space="0"/>
                    <w:right w:val="single" w:color="auto" w:sz="4" w:space="0"/>
                  </w:tcBorders>
                  <w:vAlign w:val="center"/>
                </w:tcPr>
                <w:p w14:paraId="5AA9CD81">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063D88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0.0375</w:t>
                  </w:r>
                </w:p>
              </w:tc>
              <w:tc>
                <w:tcPr>
                  <w:tcW w:w="880" w:type="dxa"/>
                  <w:tcBorders>
                    <w:top w:val="single" w:color="auto" w:sz="4" w:space="0"/>
                    <w:left w:val="single" w:color="auto" w:sz="4" w:space="0"/>
                    <w:bottom w:val="single" w:color="auto" w:sz="4" w:space="0"/>
                    <w:right w:val="single" w:color="auto" w:sz="4" w:space="0"/>
                  </w:tcBorders>
                  <w:vAlign w:val="center"/>
                </w:tcPr>
                <w:p w14:paraId="305DB6F2">
                  <w:pPr>
                    <w:jc w:val="center"/>
                    <w:rPr>
                      <w:rFonts w:hint="default"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4A379083">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3260B378">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3E78B8C9">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7169745B">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40783B2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0.045</w:t>
                  </w:r>
                </w:p>
              </w:tc>
              <w:tc>
                <w:tcPr>
                  <w:tcW w:w="719" w:type="dxa"/>
                  <w:tcBorders>
                    <w:top w:val="single" w:color="auto" w:sz="4" w:space="0"/>
                    <w:left w:val="single" w:color="auto" w:sz="4" w:space="0"/>
                    <w:bottom w:val="single" w:color="auto" w:sz="4" w:space="0"/>
                    <w:right w:val="single" w:color="auto" w:sz="4" w:space="0"/>
                  </w:tcBorders>
                  <w:vAlign w:val="center"/>
                </w:tcPr>
                <w:p w14:paraId="6DE1ACAA">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66C9741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0.0375</w:t>
                  </w:r>
                </w:p>
              </w:tc>
              <w:tc>
                <w:tcPr>
                  <w:tcW w:w="543" w:type="dxa"/>
                  <w:vMerge w:val="continue"/>
                  <w:tcBorders>
                    <w:left w:val="single" w:color="auto" w:sz="4" w:space="0"/>
                    <w:right w:val="single" w:color="auto" w:sz="4" w:space="0"/>
                  </w:tcBorders>
                  <w:vAlign w:val="center"/>
                </w:tcPr>
                <w:p w14:paraId="246AF5B2">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4FD4FB01">
                  <w:pPr>
                    <w:spacing w:line="240" w:lineRule="auto"/>
                    <w:jc w:val="center"/>
                    <w:rPr>
                      <w:rFonts w:hint="default" w:ascii="Times New Roman" w:hAnsi="Times New Roman" w:eastAsia="宋体" w:cs="Times New Roman"/>
                      <w:sz w:val="18"/>
                      <w:szCs w:val="18"/>
                      <w:lang w:val="en-US" w:eastAsia="zh-CN"/>
                    </w:rPr>
                  </w:pPr>
                  <w:r>
                    <w:rPr>
                      <w:rFonts w:hint="eastAsia" w:eastAsia="宋体" w:cs="Times New Roman"/>
                      <w:sz w:val="18"/>
                      <w:szCs w:val="18"/>
                      <w:lang w:val="en-US" w:eastAsia="zh-CN"/>
                    </w:rPr>
                    <w:t>无组织</w:t>
                  </w:r>
                </w:p>
              </w:tc>
            </w:tr>
            <w:tr w14:paraId="0D797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3E4C720B">
                  <w:pPr>
                    <w:spacing w:line="240" w:lineRule="auto"/>
                    <w:jc w:val="center"/>
                    <w:rPr>
                      <w:rFonts w:hint="eastAsia" w:ascii="Times New Roman" w:hAnsi="Times New Roman" w:eastAsia="宋体" w:cs="Times New Roman"/>
                      <w:bCs/>
                      <w:sz w:val="18"/>
                      <w:szCs w:val="18"/>
                      <w:lang w:eastAsia="zh-CN"/>
                    </w:rPr>
                  </w:pPr>
                </w:p>
              </w:tc>
              <w:tc>
                <w:tcPr>
                  <w:tcW w:w="821" w:type="dxa"/>
                  <w:vMerge w:val="restart"/>
                  <w:tcBorders>
                    <w:top w:val="single" w:color="auto" w:sz="4" w:space="0"/>
                    <w:left w:val="single" w:color="auto" w:sz="4" w:space="0"/>
                    <w:right w:val="single" w:color="auto" w:sz="4" w:space="0"/>
                  </w:tcBorders>
                  <w:vAlign w:val="center"/>
                </w:tcPr>
                <w:p w14:paraId="2A17C83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924" w:type="dxa"/>
                  <w:vMerge w:val="restart"/>
                  <w:tcBorders>
                    <w:top w:val="single" w:color="auto" w:sz="4" w:space="0"/>
                    <w:left w:val="single" w:color="auto" w:sz="4" w:space="0"/>
                    <w:right w:val="single" w:color="auto" w:sz="4" w:space="0"/>
                  </w:tcBorders>
                  <w:vAlign w:val="center"/>
                </w:tcPr>
                <w:p w14:paraId="25E531E6">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0.428</w:t>
                  </w:r>
                </w:p>
              </w:tc>
              <w:tc>
                <w:tcPr>
                  <w:tcW w:w="1078" w:type="dxa"/>
                  <w:tcBorders>
                    <w:top w:val="single" w:color="auto" w:sz="4" w:space="0"/>
                    <w:left w:val="single" w:color="auto" w:sz="4" w:space="0"/>
                    <w:bottom w:val="single" w:color="auto" w:sz="4" w:space="0"/>
                    <w:right w:val="single" w:color="auto" w:sz="4" w:space="0"/>
                  </w:tcBorders>
                  <w:vAlign w:val="center"/>
                </w:tcPr>
                <w:p w14:paraId="15B30A6F">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0.385</w:t>
                  </w:r>
                </w:p>
              </w:tc>
              <w:tc>
                <w:tcPr>
                  <w:tcW w:w="946" w:type="dxa"/>
                  <w:tcBorders>
                    <w:top w:val="single" w:color="auto" w:sz="4" w:space="0"/>
                    <w:left w:val="single" w:color="auto" w:sz="4" w:space="0"/>
                    <w:bottom w:val="single" w:color="auto" w:sz="4" w:space="0"/>
                    <w:right w:val="single" w:color="auto" w:sz="4" w:space="0"/>
                  </w:tcBorders>
                  <w:vAlign w:val="center"/>
                </w:tcPr>
                <w:p w14:paraId="1EF463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16.0</w:t>
                  </w:r>
                </w:p>
              </w:tc>
              <w:tc>
                <w:tcPr>
                  <w:tcW w:w="968" w:type="dxa"/>
                  <w:tcBorders>
                    <w:top w:val="single" w:color="auto" w:sz="4" w:space="0"/>
                    <w:left w:val="single" w:color="auto" w:sz="4" w:space="0"/>
                    <w:bottom w:val="single" w:color="auto" w:sz="4" w:space="0"/>
                    <w:right w:val="single" w:color="auto" w:sz="4" w:space="0"/>
                  </w:tcBorders>
                  <w:vAlign w:val="center"/>
                </w:tcPr>
                <w:p w14:paraId="2C04F7E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0.3208</w:t>
                  </w:r>
                </w:p>
              </w:tc>
              <w:tc>
                <w:tcPr>
                  <w:tcW w:w="880" w:type="dxa"/>
                  <w:tcBorders>
                    <w:top w:val="single" w:color="auto" w:sz="4" w:space="0"/>
                    <w:left w:val="single" w:color="auto" w:sz="4" w:space="0"/>
                    <w:bottom w:val="single" w:color="auto" w:sz="4" w:space="0"/>
                    <w:right w:val="single" w:color="auto" w:sz="4" w:space="0"/>
                  </w:tcBorders>
                  <w:vAlign w:val="center"/>
                </w:tcPr>
                <w:p w14:paraId="046E24F8">
                  <w:pPr>
                    <w:jc w:val="center"/>
                    <w:rPr>
                      <w:rFonts w:hint="eastAsia" w:cs="Times New Roman"/>
                      <w:sz w:val="18"/>
                      <w:szCs w:val="18"/>
                      <w:lang w:val="en-US" w:eastAsia="zh-CN"/>
                    </w:rPr>
                  </w:pPr>
                  <w:r>
                    <w:rPr>
                      <w:rFonts w:hint="eastAsia" w:cs="Times New Roman"/>
                      <w:sz w:val="18"/>
                      <w:szCs w:val="18"/>
                      <w:lang w:val="en-US" w:eastAsia="zh-CN"/>
                    </w:rPr>
                    <w:t>2</w:t>
                  </w:r>
                  <w:r>
                    <w:rPr>
                      <w:rFonts w:hint="eastAsia" w:ascii="Times New Roman" w:hAnsi="Times New Roman" w:eastAsia="宋体" w:cs="Times New Roman"/>
                      <w:sz w:val="18"/>
                      <w:szCs w:val="18"/>
                      <w:lang w:val="en-US" w:eastAsia="zh-CN"/>
                    </w:rPr>
                    <w:t>0000</w:t>
                  </w:r>
                </w:p>
              </w:tc>
              <w:tc>
                <w:tcPr>
                  <w:tcW w:w="726" w:type="dxa"/>
                  <w:tcBorders>
                    <w:top w:val="single" w:color="auto" w:sz="4" w:space="0"/>
                    <w:left w:val="single" w:color="auto" w:sz="4" w:space="0"/>
                    <w:bottom w:val="single" w:color="auto" w:sz="4" w:space="0"/>
                    <w:right w:val="single" w:color="auto" w:sz="4" w:space="0"/>
                  </w:tcBorders>
                  <w:vAlign w:val="center"/>
                </w:tcPr>
                <w:p w14:paraId="4E45677C">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90</w:t>
                  </w:r>
                </w:p>
              </w:tc>
              <w:tc>
                <w:tcPr>
                  <w:tcW w:w="770" w:type="dxa"/>
                  <w:tcBorders>
                    <w:top w:val="single" w:color="auto" w:sz="4" w:space="0"/>
                    <w:left w:val="single" w:color="auto" w:sz="4" w:space="0"/>
                    <w:bottom w:val="single" w:color="auto" w:sz="4" w:space="0"/>
                    <w:right w:val="single" w:color="auto" w:sz="4" w:space="0"/>
                  </w:tcBorders>
                  <w:vAlign w:val="center"/>
                </w:tcPr>
                <w:p w14:paraId="7D27CB55">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550" w:type="dxa"/>
                  <w:tcBorders>
                    <w:top w:val="single" w:color="auto" w:sz="4" w:space="0"/>
                    <w:left w:val="single" w:color="auto" w:sz="4" w:space="0"/>
                    <w:bottom w:val="single" w:color="auto" w:sz="4" w:space="0"/>
                    <w:right w:val="single" w:color="auto" w:sz="4" w:space="0"/>
                  </w:tcBorders>
                  <w:vAlign w:val="center"/>
                </w:tcPr>
                <w:p w14:paraId="2ECB017F">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682" w:type="dxa"/>
                  <w:tcBorders>
                    <w:top w:val="single" w:color="auto" w:sz="4" w:space="0"/>
                    <w:left w:val="single" w:color="auto" w:sz="4" w:space="0"/>
                    <w:bottom w:val="single" w:color="auto" w:sz="4" w:space="0"/>
                    <w:right w:val="single" w:color="auto" w:sz="4" w:space="0"/>
                  </w:tcBorders>
                  <w:vAlign w:val="center"/>
                </w:tcPr>
                <w:p w14:paraId="3F759631">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877" w:type="dxa"/>
                  <w:tcBorders>
                    <w:top w:val="single" w:color="auto" w:sz="4" w:space="0"/>
                    <w:left w:val="single" w:color="auto" w:sz="4" w:space="0"/>
                    <w:bottom w:val="single" w:color="auto" w:sz="4" w:space="0"/>
                    <w:right w:val="single" w:color="auto" w:sz="4" w:space="0"/>
                  </w:tcBorders>
                  <w:vAlign w:val="center"/>
                </w:tcPr>
                <w:p w14:paraId="6C22DFF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0.116</w:t>
                  </w:r>
                </w:p>
              </w:tc>
              <w:tc>
                <w:tcPr>
                  <w:tcW w:w="719" w:type="dxa"/>
                  <w:tcBorders>
                    <w:top w:val="single" w:color="auto" w:sz="4" w:space="0"/>
                    <w:left w:val="single" w:color="auto" w:sz="4" w:space="0"/>
                    <w:bottom w:val="single" w:color="auto" w:sz="4" w:space="0"/>
                    <w:right w:val="single" w:color="auto" w:sz="4" w:space="0"/>
                  </w:tcBorders>
                  <w:vAlign w:val="center"/>
                </w:tcPr>
                <w:p w14:paraId="642752B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4.8</w:t>
                  </w:r>
                </w:p>
              </w:tc>
              <w:tc>
                <w:tcPr>
                  <w:tcW w:w="741" w:type="dxa"/>
                  <w:tcBorders>
                    <w:top w:val="single" w:color="auto" w:sz="4" w:space="0"/>
                    <w:left w:val="single" w:color="auto" w:sz="4" w:space="0"/>
                    <w:bottom w:val="single" w:color="auto" w:sz="4" w:space="0"/>
                    <w:right w:val="single" w:color="auto" w:sz="4" w:space="0"/>
                  </w:tcBorders>
                  <w:vAlign w:val="center"/>
                </w:tcPr>
                <w:p w14:paraId="3B25F9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0.096</w:t>
                  </w:r>
                  <w:r>
                    <w:rPr>
                      <w:rFonts w:hint="eastAsia" w:eastAsia="宋体" w:cs="Times New Roman"/>
                      <w:i w:val="0"/>
                      <w:iCs w:val="0"/>
                      <w:color w:val="000000"/>
                      <w:kern w:val="0"/>
                      <w:sz w:val="18"/>
                      <w:szCs w:val="18"/>
                      <w:u w:val="none"/>
                      <w:lang w:val="en-US" w:eastAsia="zh-CN" w:bidi="ar"/>
                    </w:rPr>
                    <w:t>7</w:t>
                  </w:r>
                </w:p>
              </w:tc>
              <w:tc>
                <w:tcPr>
                  <w:tcW w:w="543" w:type="dxa"/>
                  <w:vMerge w:val="continue"/>
                  <w:tcBorders>
                    <w:left w:val="single" w:color="auto" w:sz="4" w:space="0"/>
                    <w:right w:val="single" w:color="auto" w:sz="4" w:space="0"/>
                  </w:tcBorders>
                  <w:vAlign w:val="center"/>
                </w:tcPr>
                <w:p w14:paraId="63753DC2">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bottom w:val="single" w:color="auto" w:sz="4" w:space="0"/>
                    <w:right w:val="single" w:color="auto" w:sz="4" w:space="0"/>
                  </w:tcBorders>
                  <w:vAlign w:val="center"/>
                </w:tcPr>
                <w:p w14:paraId="2075398C">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60BB26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4F7158DC">
                  <w:pPr>
                    <w:spacing w:line="240" w:lineRule="auto"/>
                    <w:jc w:val="center"/>
                    <w:rPr>
                      <w:rFonts w:hint="eastAsia" w:ascii="Times New Roman" w:hAnsi="Times New Roman" w:eastAsia="宋体" w:cs="Times New Roman"/>
                      <w:bCs/>
                      <w:sz w:val="18"/>
                      <w:szCs w:val="18"/>
                      <w:lang w:eastAsia="zh-CN"/>
                    </w:rPr>
                  </w:pPr>
                </w:p>
              </w:tc>
              <w:tc>
                <w:tcPr>
                  <w:tcW w:w="821" w:type="dxa"/>
                  <w:vMerge w:val="continue"/>
                  <w:tcBorders>
                    <w:left w:val="single" w:color="auto" w:sz="4" w:space="0"/>
                    <w:bottom w:val="single" w:color="auto" w:sz="4" w:space="0"/>
                    <w:right w:val="single" w:color="auto" w:sz="4" w:space="0"/>
                  </w:tcBorders>
                  <w:vAlign w:val="center"/>
                </w:tcPr>
                <w:p w14:paraId="1788715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924" w:type="dxa"/>
                  <w:vMerge w:val="continue"/>
                  <w:tcBorders>
                    <w:left w:val="single" w:color="auto" w:sz="4" w:space="0"/>
                    <w:bottom w:val="single" w:color="auto" w:sz="4" w:space="0"/>
                    <w:right w:val="single" w:color="auto" w:sz="4" w:space="0"/>
                  </w:tcBorders>
                  <w:vAlign w:val="center"/>
                </w:tcPr>
                <w:p w14:paraId="455595A8">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1078" w:type="dxa"/>
                  <w:tcBorders>
                    <w:top w:val="single" w:color="auto" w:sz="4" w:space="0"/>
                    <w:left w:val="single" w:color="auto" w:sz="4" w:space="0"/>
                    <w:bottom w:val="single" w:color="auto" w:sz="4" w:space="0"/>
                    <w:right w:val="single" w:color="auto" w:sz="4" w:space="0"/>
                  </w:tcBorders>
                  <w:vAlign w:val="center"/>
                </w:tcPr>
                <w:p w14:paraId="149C229B">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0.043</w:t>
                  </w:r>
                </w:p>
              </w:tc>
              <w:tc>
                <w:tcPr>
                  <w:tcW w:w="946" w:type="dxa"/>
                  <w:tcBorders>
                    <w:top w:val="single" w:color="auto" w:sz="4" w:space="0"/>
                    <w:left w:val="single" w:color="auto" w:sz="4" w:space="0"/>
                    <w:bottom w:val="single" w:color="auto" w:sz="4" w:space="0"/>
                    <w:right w:val="single" w:color="auto" w:sz="4" w:space="0"/>
                  </w:tcBorders>
                  <w:vAlign w:val="center"/>
                </w:tcPr>
                <w:p w14:paraId="6337F4F4">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4CF33D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0.0358</w:t>
                  </w:r>
                </w:p>
              </w:tc>
              <w:tc>
                <w:tcPr>
                  <w:tcW w:w="880" w:type="dxa"/>
                  <w:tcBorders>
                    <w:top w:val="single" w:color="auto" w:sz="4" w:space="0"/>
                    <w:left w:val="single" w:color="auto" w:sz="4" w:space="0"/>
                    <w:bottom w:val="single" w:color="auto" w:sz="4" w:space="0"/>
                    <w:right w:val="single" w:color="auto" w:sz="4" w:space="0"/>
                  </w:tcBorders>
                  <w:vAlign w:val="center"/>
                </w:tcPr>
                <w:p w14:paraId="60D446AD">
                  <w:pPr>
                    <w:jc w:val="center"/>
                    <w:rPr>
                      <w:rFonts w:hint="default"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3CC846E5">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16B3F5AA">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3E8CB446">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64629805">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4709E2B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0.043</w:t>
                  </w:r>
                </w:p>
              </w:tc>
              <w:tc>
                <w:tcPr>
                  <w:tcW w:w="719" w:type="dxa"/>
                  <w:tcBorders>
                    <w:top w:val="single" w:color="auto" w:sz="4" w:space="0"/>
                    <w:left w:val="single" w:color="auto" w:sz="4" w:space="0"/>
                    <w:bottom w:val="single" w:color="auto" w:sz="4" w:space="0"/>
                    <w:right w:val="single" w:color="auto" w:sz="4" w:space="0"/>
                  </w:tcBorders>
                  <w:vAlign w:val="center"/>
                </w:tcPr>
                <w:p w14:paraId="1A6C8EBE">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4156CB8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0.0358</w:t>
                  </w:r>
                </w:p>
              </w:tc>
              <w:tc>
                <w:tcPr>
                  <w:tcW w:w="543" w:type="dxa"/>
                  <w:vMerge w:val="continue"/>
                  <w:tcBorders>
                    <w:left w:val="single" w:color="auto" w:sz="4" w:space="0"/>
                    <w:right w:val="single" w:color="auto" w:sz="4" w:space="0"/>
                  </w:tcBorders>
                  <w:vAlign w:val="center"/>
                </w:tcPr>
                <w:p w14:paraId="60B8DFA5">
                  <w:pPr>
                    <w:spacing w:line="240" w:lineRule="auto"/>
                    <w:jc w:val="center"/>
                    <w:rPr>
                      <w:rFonts w:hint="default" w:ascii="Times New Roman" w:hAnsi="Times New Roman" w:eastAsia="宋体" w:cs="Times New Roman"/>
                      <w:sz w:val="18"/>
                      <w:szCs w:val="18"/>
                      <w:lang w:val="en-US" w:eastAsia="zh-CN"/>
                    </w:rPr>
                  </w:pPr>
                </w:p>
              </w:tc>
              <w:tc>
                <w:tcPr>
                  <w:tcW w:w="793" w:type="dxa"/>
                  <w:tcBorders>
                    <w:top w:val="single" w:color="auto" w:sz="4" w:space="0"/>
                    <w:left w:val="single" w:color="auto" w:sz="4" w:space="0"/>
                    <w:right w:val="single" w:color="auto" w:sz="4" w:space="0"/>
                  </w:tcBorders>
                  <w:vAlign w:val="center"/>
                </w:tcPr>
                <w:p w14:paraId="0FA88861">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无组织</w:t>
                  </w:r>
                </w:p>
              </w:tc>
            </w:tr>
            <w:tr w14:paraId="77D368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70120C2A">
                  <w:pPr>
                    <w:spacing w:line="240" w:lineRule="auto"/>
                    <w:jc w:val="center"/>
                    <w:rPr>
                      <w:rFonts w:hint="eastAsia" w:ascii="Times New Roman" w:hAnsi="Times New Roman" w:eastAsia="宋体" w:cs="Times New Roman"/>
                      <w:bCs/>
                      <w:sz w:val="18"/>
                      <w:szCs w:val="18"/>
                      <w:lang w:eastAsia="zh-CN"/>
                    </w:rPr>
                  </w:pPr>
                </w:p>
              </w:tc>
              <w:tc>
                <w:tcPr>
                  <w:tcW w:w="821" w:type="dxa"/>
                  <w:vMerge w:val="restart"/>
                  <w:tcBorders>
                    <w:left w:val="single" w:color="auto" w:sz="4" w:space="0"/>
                    <w:right w:val="single" w:color="auto" w:sz="4" w:space="0"/>
                  </w:tcBorders>
                  <w:vAlign w:val="center"/>
                </w:tcPr>
                <w:p w14:paraId="7E2AAF8F">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臭气浓度</w:t>
                  </w:r>
                </w:p>
              </w:tc>
              <w:tc>
                <w:tcPr>
                  <w:tcW w:w="924" w:type="dxa"/>
                  <w:tcBorders>
                    <w:left w:val="single" w:color="auto" w:sz="4" w:space="0"/>
                    <w:bottom w:val="single" w:color="auto" w:sz="4" w:space="0"/>
                    <w:right w:val="single" w:color="auto" w:sz="4" w:space="0"/>
                  </w:tcBorders>
                  <w:vAlign w:val="center"/>
                </w:tcPr>
                <w:p w14:paraId="0667A891">
                  <w:pPr>
                    <w:keepNext w:val="0"/>
                    <w:keepLines w:val="0"/>
                    <w:widowControl/>
                    <w:suppressLineNumbers w:val="0"/>
                    <w:ind w:left="0" w:leftChars="0" w:right="0" w:rightChars="0" w:firstLine="0" w:firstLineChars="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1078" w:type="dxa"/>
                  <w:tcBorders>
                    <w:top w:val="single" w:color="auto" w:sz="4" w:space="0"/>
                    <w:left w:val="single" w:color="auto" w:sz="4" w:space="0"/>
                    <w:bottom w:val="single" w:color="auto" w:sz="4" w:space="0"/>
                    <w:right w:val="single" w:color="auto" w:sz="4" w:space="0"/>
                  </w:tcBorders>
                  <w:vAlign w:val="center"/>
                </w:tcPr>
                <w:p w14:paraId="56C91FE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2816FAF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21C08E5C">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4140D89B">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726" w:type="dxa"/>
                  <w:tcBorders>
                    <w:top w:val="single" w:color="auto" w:sz="4" w:space="0"/>
                    <w:left w:val="single" w:color="auto" w:sz="4" w:space="0"/>
                    <w:bottom w:val="single" w:color="auto" w:sz="4" w:space="0"/>
                    <w:right w:val="single" w:color="auto" w:sz="4" w:space="0"/>
                  </w:tcBorders>
                  <w:vAlign w:val="center"/>
                </w:tcPr>
                <w:p w14:paraId="121C9388">
                  <w:pPr>
                    <w:keepNext w:val="0"/>
                    <w:keepLines w:val="0"/>
                    <w:widowControl/>
                    <w:suppressLineNumbers w:val="0"/>
                    <w:jc w:val="center"/>
                    <w:textAlignment w:val="center"/>
                    <w:rPr>
                      <w:rFonts w:hint="eastAsia"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bottom w:val="single" w:color="auto" w:sz="4" w:space="0"/>
                    <w:right w:val="single" w:color="auto" w:sz="4" w:space="0"/>
                  </w:tcBorders>
                  <w:vAlign w:val="center"/>
                </w:tcPr>
                <w:p w14:paraId="38156099">
                  <w:pPr>
                    <w:keepNext w:val="0"/>
                    <w:keepLines w:val="0"/>
                    <w:widowControl/>
                    <w:suppressLineNumbers w:val="0"/>
                    <w:jc w:val="center"/>
                    <w:textAlignment w:val="center"/>
                    <w:rPr>
                      <w:rFonts w:hint="eastAsia"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550" w:type="dxa"/>
                  <w:tcBorders>
                    <w:top w:val="single" w:color="auto" w:sz="4" w:space="0"/>
                    <w:left w:val="single" w:color="auto" w:sz="4" w:space="0"/>
                    <w:bottom w:val="single" w:color="auto" w:sz="4" w:space="0"/>
                    <w:right w:val="single" w:color="auto" w:sz="4" w:space="0"/>
                  </w:tcBorders>
                  <w:vAlign w:val="center"/>
                </w:tcPr>
                <w:p w14:paraId="41A7C5FC">
                  <w:pPr>
                    <w:keepNext w:val="0"/>
                    <w:keepLines w:val="0"/>
                    <w:widowControl/>
                    <w:suppressLineNumbers w:val="0"/>
                    <w:jc w:val="center"/>
                    <w:textAlignment w:val="center"/>
                    <w:rPr>
                      <w:rFonts w:hint="eastAsia"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682" w:type="dxa"/>
                  <w:tcBorders>
                    <w:top w:val="single" w:color="auto" w:sz="4" w:space="0"/>
                    <w:left w:val="single" w:color="auto" w:sz="4" w:space="0"/>
                    <w:bottom w:val="single" w:color="auto" w:sz="4" w:space="0"/>
                    <w:right w:val="single" w:color="auto" w:sz="4" w:space="0"/>
                  </w:tcBorders>
                  <w:vAlign w:val="center"/>
                </w:tcPr>
                <w:p w14:paraId="5B01754D">
                  <w:pPr>
                    <w:keepNext w:val="0"/>
                    <w:keepLines w:val="0"/>
                    <w:widowControl/>
                    <w:suppressLineNumbers w:val="0"/>
                    <w:jc w:val="center"/>
                    <w:textAlignment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7F67702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微量</w:t>
                  </w:r>
                </w:p>
              </w:tc>
              <w:tc>
                <w:tcPr>
                  <w:tcW w:w="719" w:type="dxa"/>
                  <w:tcBorders>
                    <w:top w:val="single" w:color="auto" w:sz="4" w:space="0"/>
                    <w:left w:val="single" w:color="auto" w:sz="4" w:space="0"/>
                    <w:bottom w:val="single" w:color="auto" w:sz="4" w:space="0"/>
                    <w:right w:val="single" w:color="auto" w:sz="4" w:space="0"/>
                  </w:tcBorders>
                  <w:vAlign w:val="center"/>
                </w:tcPr>
                <w:p w14:paraId="50C4A4B2">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＜2000无量纲</w:t>
                  </w:r>
                </w:p>
              </w:tc>
              <w:tc>
                <w:tcPr>
                  <w:tcW w:w="741" w:type="dxa"/>
                  <w:tcBorders>
                    <w:top w:val="single" w:color="auto" w:sz="4" w:space="0"/>
                    <w:left w:val="single" w:color="auto" w:sz="4" w:space="0"/>
                    <w:bottom w:val="single" w:color="auto" w:sz="4" w:space="0"/>
                    <w:right w:val="single" w:color="auto" w:sz="4" w:space="0"/>
                  </w:tcBorders>
                  <w:vAlign w:val="center"/>
                </w:tcPr>
                <w:p w14:paraId="4502A3F3">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43" w:type="dxa"/>
                  <w:vMerge w:val="continue"/>
                  <w:tcBorders>
                    <w:left w:val="single" w:color="auto" w:sz="4" w:space="0"/>
                    <w:right w:val="single" w:color="auto" w:sz="4" w:space="0"/>
                  </w:tcBorders>
                  <w:vAlign w:val="center"/>
                </w:tcPr>
                <w:p w14:paraId="021D0A8E">
                  <w:pPr>
                    <w:spacing w:line="240" w:lineRule="auto"/>
                    <w:jc w:val="center"/>
                    <w:rPr>
                      <w:rFonts w:hint="default" w:ascii="Times New Roman" w:hAnsi="Times New Roman" w:eastAsia="宋体" w:cs="Times New Roman"/>
                      <w:sz w:val="18"/>
                      <w:szCs w:val="18"/>
                      <w:lang w:val="en-US" w:eastAsia="zh-CN"/>
                    </w:rPr>
                  </w:pPr>
                </w:p>
              </w:tc>
              <w:tc>
                <w:tcPr>
                  <w:tcW w:w="793" w:type="dxa"/>
                  <w:tcBorders>
                    <w:top w:val="single" w:color="auto" w:sz="4" w:space="0"/>
                    <w:left w:val="single" w:color="auto" w:sz="4" w:space="0"/>
                    <w:right w:val="single" w:color="auto" w:sz="4" w:space="0"/>
                  </w:tcBorders>
                  <w:vAlign w:val="center"/>
                </w:tcPr>
                <w:p w14:paraId="4EE13D08">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40ACB5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bottom w:val="single" w:color="auto" w:sz="2" w:space="0"/>
                    <w:right w:val="single" w:color="auto" w:sz="4" w:space="0"/>
                  </w:tcBorders>
                  <w:vAlign w:val="center"/>
                </w:tcPr>
                <w:p w14:paraId="093F63D1">
                  <w:pPr>
                    <w:spacing w:line="240" w:lineRule="auto"/>
                    <w:jc w:val="center"/>
                    <w:rPr>
                      <w:rFonts w:hint="eastAsia" w:ascii="Times New Roman" w:hAnsi="Times New Roman" w:eastAsia="宋体" w:cs="Times New Roman"/>
                      <w:bCs/>
                      <w:sz w:val="18"/>
                      <w:szCs w:val="18"/>
                      <w:lang w:eastAsia="zh-CN"/>
                    </w:rPr>
                  </w:pPr>
                </w:p>
              </w:tc>
              <w:tc>
                <w:tcPr>
                  <w:tcW w:w="821" w:type="dxa"/>
                  <w:vMerge w:val="continue"/>
                  <w:tcBorders>
                    <w:left w:val="single" w:color="auto" w:sz="4" w:space="0"/>
                    <w:bottom w:val="single" w:color="auto" w:sz="4" w:space="0"/>
                    <w:right w:val="single" w:color="auto" w:sz="4" w:space="0"/>
                  </w:tcBorders>
                  <w:vAlign w:val="center"/>
                </w:tcPr>
                <w:p w14:paraId="0F4B1DB7">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p>
              </w:tc>
              <w:tc>
                <w:tcPr>
                  <w:tcW w:w="924" w:type="dxa"/>
                  <w:tcBorders>
                    <w:left w:val="single" w:color="auto" w:sz="4" w:space="0"/>
                    <w:bottom w:val="single" w:color="auto" w:sz="4" w:space="0"/>
                    <w:right w:val="single" w:color="auto" w:sz="4" w:space="0"/>
                  </w:tcBorders>
                  <w:vAlign w:val="center"/>
                </w:tcPr>
                <w:p w14:paraId="3E5B8744">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1078" w:type="dxa"/>
                  <w:tcBorders>
                    <w:top w:val="single" w:color="auto" w:sz="4" w:space="0"/>
                    <w:left w:val="single" w:color="auto" w:sz="4" w:space="0"/>
                    <w:bottom w:val="single" w:color="auto" w:sz="4" w:space="0"/>
                    <w:right w:val="single" w:color="auto" w:sz="4" w:space="0"/>
                  </w:tcBorders>
                  <w:vAlign w:val="center"/>
                </w:tcPr>
                <w:p w14:paraId="7F1AF105">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747764E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04ABCB21">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sz w:val="18"/>
                      <w:szCs w:val="18"/>
                      <w:lang w:val="en-US" w:eastAsia="zh-CN"/>
                    </w:rPr>
                    <w:t>/</w:t>
                  </w:r>
                </w:p>
              </w:tc>
              <w:tc>
                <w:tcPr>
                  <w:tcW w:w="880" w:type="dxa"/>
                  <w:tcBorders>
                    <w:top w:val="single" w:color="auto" w:sz="4" w:space="0"/>
                    <w:left w:val="single" w:color="auto" w:sz="4" w:space="0"/>
                    <w:bottom w:val="single" w:color="auto" w:sz="4" w:space="0"/>
                    <w:right w:val="single" w:color="auto" w:sz="4" w:space="0"/>
                  </w:tcBorders>
                  <w:vAlign w:val="center"/>
                </w:tcPr>
                <w:p w14:paraId="698182B0">
                  <w:pPr>
                    <w:jc w:val="center"/>
                    <w:rPr>
                      <w:rFonts w:hint="eastAsia"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69238DB2">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59C8E85A">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1ACB56A5">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1BFEF98C">
                  <w:pPr>
                    <w:keepNext w:val="0"/>
                    <w:keepLines w:val="0"/>
                    <w:widowControl/>
                    <w:suppressLineNumbers w:val="0"/>
                    <w:jc w:val="center"/>
                    <w:textAlignment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54F8F20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19" w:type="dxa"/>
                  <w:tcBorders>
                    <w:top w:val="single" w:color="auto" w:sz="4" w:space="0"/>
                    <w:left w:val="single" w:color="auto" w:sz="4" w:space="0"/>
                    <w:bottom w:val="single" w:color="auto" w:sz="4" w:space="0"/>
                    <w:right w:val="single" w:color="auto" w:sz="4" w:space="0"/>
                  </w:tcBorders>
                  <w:vAlign w:val="center"/>
                </w:tcPr>
                <w:p w14:paraId="4F74C495">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＜20无量纲</w:t>
                  </w:r>
                </w:p>
              </w:tc>
              <w:tc>
                <w:tcPr>
                  <w:tcW w:w="741" w:type="dxa"/>
                  <w:tcBorders>
                    <w:top w:val="single" w:color="auto" w:sz="4" w:space="0"/>
                    <w:left w:val="single" w:color="auto" w:sz="4" w:space="0"/>
                    <w:bottom w:val="single" w:color="auto" w:sz="4" w:space="0"/>
                    <w:right w:val="single" w:color="auto" w:sz="4" w:space="0"/>
                  </w:tcBorders>
                  <w:vAlign w:val="center"/>
                </w:tcPr>
                <w:p w14:paraId="0AFB161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43" w:type="dxa"/>
                  <w:vMerge w:val="continue"/>
                  <w:tcBorders>
                    <w:left w:val="single" w:color="auto" w:sz="4" w:space="0"/>
                    <w:right w:val="single" w:color="auto" w:sz="4" w:space="0"/>
                  </w:tcBorders>
                  <w:vAlign w:val="center"/>
                </w:tcPr>
                <w:p w14:paraId="6EB66932">
                  <w:pPr>
                    <w:spacing w:line="240" w:lineRule="auto"/>
                    <w:jc w:val="center"/>
                    <w:rPr>
                      <w:rFonts w:hint="default" w:ascii="Times New Roman" w:hAnsi="Times New Roman" w:eastAsia="宋体" w:cs="Times New Roman"/>
                      <w:sz w:val="18"/>
                      <w:szCs w:val="18"/>
                      <w:lang w:val="en-US" w:eastAsia="zh-CN"/>
                    </w:rPr>
                  </w:pPr>
                </w:p>
              </w:tc>
              <w:tc>
                <w:tcPr>
                  <w:tcW w:w="793" w:type="dxa"/>
                  <w:tcBorders>
                    <w:top w:val="single" w:color="auto" w:sz="4" w:space="0"/>
                    <w:left w:val="single" w:color="auto" w:sz="4" w:space="0"/>
                    <w:right w:val="single" w:color="auto" w:sz="4" w:space="0"/>
                  </w:tcBorders>
                  <w:vAlign w:val="center"/>
                </w:tcPr>
                <w:p w14:paraId="06035E9F">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084BB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restart"/>
                  <w:tcBorders>
                    <w:top w:val="single" w:color="auto" w:sz="2" w:space="0"/>
                    <w:left w:val="single" w:color="auto" w:sz="4" w:space="0"/>
                    <w:right w:val="single" w:color="auto" w:sz="4" w:space="0"/>
                  </w:tcBorders>
                  <w:vAlign w:val="center"/>
                </w:tcPr>
                <w:p w14:paraId="6FA77BD0">
                  <w:pPr>
                    <w:spacing w:line="240" w:lineRule="auto"/>
                    <w:jc w:val="center"/>
                    <w:rPr>
                      <w:rFonts w:hint="eastAsia" w:ascii="Times New Roman" w:hAnsi="Times New Roman" w:eastAsia="宋体" w:cs="Times New Roman"/>
                      <w:bCs/>
                      <w:sz w:val="18"/>
                      <w:szCs w:val="18"/>
                      <w:lang w:eastAsia="zh-CN"/>
                    </w:rPr>
                  </w:pPr>
                  <w:r>
                    <w:rPr>
                      <w:rFonts w:hint="eastAsia" w:cs="Times New Roman"/>
                      <w:b w:val="0"/>
                      <w:bCs w:val="0"/>
                      <w:kern w:val="2"/>
                      <w:sz w:val="18"/>
                      <w:szCs w:val="18"/>
                      <w:lang w:val="en-US" w:eastAsia="zh-CN" w:bidi="ar-SA"/>
                    </w:rPr>
                    <w:t>PPH缠绕罐生产</w:t>
                  </w:r>
                </w:p>
              </w:tc>
              <w:tc>
                <w:tcPr>
                  <w:tcW w:w="821" w:type="dxa"/>
                  <w:vMerge w:val="restart"/>
                  <w:tcBorders>
                    <w:top w:val="single" w:color="auto" w:sz="4" w:space="0"/>
                    <w:left w:val="single" w:color="auto" w:sz="4" w:space="0"/>
                    <w:right w:val="single" w:color="auto" w:sz="4" w:space="0"/>
                  </w:tcBorders>
                  <w:vAlign w:val="center"/>
                </w:tcPr>
                <w:p w14:paraId="56B302E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24" w:type="dxa"/>
                  <w:vMerge w:val="restart"/>
                  <w:tcBorders>
                    <w:top w:val="single" w:color="auto" w:sz="4" w:space="0"/>
                    <w:left w:val="single" w:color="auto" w:sz="4" w:space="0"/>
                    <w:right w:val="single" w:color="auto" w:sz="4" w:space="0"/>
                  </w:tcBorders>
                  <w:vAlign w:val="center"/>
                </w:tcPr>
                <w:p w14:paraId="724A3828">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0.081</w:t>
                  </w:r>
                </w:p>
              </w:tc>
              <w:tc>
                <w:tcPr>
                  <w:tcW w:w="1078" w:type="dxa"/>
                  <w:tcBorders>
                    <w:top w:val="single" w:color="auto" w:sz="4" w:space="0"/>
                    <w:left w:val="single" w:color="auto" w:sz="4" w:space="0"/>
                    <w:bottom w:val="single" w:color="auto" w:sz="4" w:space="0"/>
                    <w:right w:val="single" w:color="auto" w:sz="4" w:space="0"/>
                  </w:tcBorders>
                  <w:vAlign w:val="center"/>
                </w:tcPr>
                <w:p w14:paraId="7095BCA7">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0.073</w:t>
                  </w:r>
                </w:p>
              </w:tc>
              <w:tc>
                <w:tcPr>
                  <w:tcW w:w="946" w:type="dxa"/>
                  <w:tcBorders>
                    <w:top w:val="single" w:color="auto" w:sz="4" w:space="0"/>
                    <w:left w:val="single" w:color="auto" w:sz="4" w:space="0"/>
                    <w:bottom w:val="single" w:color="auto" w:sz="4" w:space="0"/>
                    <w:right w:val="single" w:color="auto" w:sz="4" w:space="0"/>
                  </w:tcBorders>
                  <w:vAlign w:val="center"/>
                </w:tcPr>
                <w:p w14:paraId="553A5EE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3.0</w:t>
                  </w:r>
                </w:p>
              </w:tc>
              <w:tc>
                <w:tcPr>
                  <w:tcW w:w="968" w:type="dxa"/>
                  <w:tcBorders>
                    <w:top w:val="single" w:color="auto" w:sz="4" w:space="0"/>
                    <w:left w:val="single" w:color="auto" w:sz="4" w:space="0"/>
                    <w:bottom w:val="single" w:color="auto" w:sz="4" w:space="0"/>
                    <w:right w:val="single" w:color="auto" w:sz="4" w:space="0"/>
                  </w:tcBorders>
                  <w:vAlign w:val="center"/>
                </w:tcPr>
                <w:p w14:paraId="422C616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0.0608</w:t>
                  </w:r>
                </w:p>
              </w:tc>
              <w:tc>
                <w:tcPr>
                  <w:tcW w:w="880" w:type="dxa"/>
                  <w:tcBorders>
                    <w:top w:val="single" w:color="auto" w:sz="4" w:space="0"/>
                    <w:left w:val="single" w:color="auto" w:sz="4" w:space="0"/>
                    <w:bottom w:val="single" w:color="auto" w:sz="4" w:space="0"/>
                    <w:right w:val="single" w:color="auto" w:sz="4" w:space="0"/>
                  </w:tcBorders>
                  <w:vAlign w:val="center"/>
                </w:tcPr>
                <w:p w14:paraId="3C002D6A">
                  <w:pPr>
                    <w:jc w:val="center"/>
                    <w:rPr>
                      <w:rFonts w:hint="eastAsia" w:cs="Times New Roman"/>
                      <w:sz w:val="18"/>
                      <w:szCs w:val="18"/>
                      <w:lang w:val="en-US" w:eastAsia="zh-CN"/>
                    </w:rPr>
                  </w:pPr>
                  <w:r>
                    <w:rPr>
                      <w:rFonts w:hint="eastAsia" w:cs="Times New Roman"/>
                      <w:sz w:val="18"/>
                      <w:szCs w:val="18"/>
                      <w:lang w:val="en-US" w:eastAsia="zh-CN"/>
                    </w:rPr>
                    <w:t>2</w:t>
                  </w:r>
                  <w:r>
                    <w:rPr>
                      <w:rFonts w:hint="eastAsia" w:ascii="Times New Roman" w:hAnsi="Times New Roman" w:eastAsia="宋体" w:cs="Times New Roman"/>
                      <w:sz w:val="18"/>
                      <w:szCs w:val="18"/>
                      <w:lang w:val="en-US" w:eastAsia="zh-CN"/>
                    </w:rPr>
                    <w:t>0000</w:t>
                  </w:r>
                </w:p>
              </w:tc>
              <w:tc>
                <w:tcPr>
                  <w:tcW w:w="726" w:type="dxa"/>
                  <w:tcBorders>
                    <w:top w:val="single" w:color="auto" w:sz="4" w:space="0"/>
                    <w:left w:val="single" w:color="auto" w:sz="4" w:space="0"/>
                    <w:bottom w:val="single" w:color="auto" w:sz="4" w:space="0"/>
                    <w:right w:val="single" w:color="auto" w:sz="4" w:space="0"/>
                  </w:tcBorders>
                  <w:vAlign w:val="center"/>
                </w:tcPr>
                <w:p w14:paraId="134EA498">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90</w:t>
                  </w:r>
                </w:p>
              </w:tc>
              <w:tc>
                <w:tcPr>
                  <w:tcW w:w="770" w:type="dxa"/>
                  <w:tcBorders>
                    <w:top w:val="single" w:color="auto" w:sz="4" w:space="0"/>
                    <w:left w:val="single" w:color="auto" w:sz="4" w:space="0"/>
                    <w:bottom w:val="single" w:color="auto" w:sz="4" w:space="0"/>
                    <w:right w:val="single" w:color="auto" w:sz="4" w:space="0"/>
                  </w:tcBorders>
                  <w:vAlign w:val="center"/>
                </w:tcPr>
                <w:p w14:paraId="3F60E943">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550" w:type="dxa"/>
                  <w:tcBorders>
                    <w:top w:val="single" w:color="auto" w:sz="4" w:space="0"/>
                    <w:left w:val="single" w:color="auto" w:sz="4" w:space="0"/>
                    <w:bottom w:val="single" w:color="auto" w:sz="4" w:space="0"/>
                    <w:right w:val="single" w:color="auto" w:sz="4" w:space="0"/>
                  </w:tcBorders>
                  <w:vAlign w:val="center"/>
                </w:tcPr>
                <w:p w14:paraId="676E5926">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682" w:type="dxa"/>
                  <w:tcBorders>
                    <w:top w:val="single" w:color="auto" w:sz="4" w:space="0"/>
                    <w:left w:val="single" w:color="auto" w:sz="4" w:space="0"/>
                    <w:bottom w:val="single" w:color="auto" w:sz="4" w:space="0"/>
                    <w:right w:val="single" w:color="auto" w:sz="4" w:space="0"/>
                  </w:tcBorders>
                  <w:vAlign w:val="center"/>
                </w:tcPr>
                <w:p w14:paraId="67334CFA">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877" w:type="dxa"/>
                  <w:tcBorders>
                    <w:top w:val="single" w:color="auto" w:sz="4" w:space="0"/>
                    <w:left w:val="single" w:color="auto" w:sz="4" w:space="0"/>
                    <w:bottom w:val="single" w:color="auto" w:sz="4" w:space="0"/>
                    <w:right w:val="single" w:color="auto" w:sz="4" w:space="0"/>
                  </w:tcBorders>
                  <w:vAlign w:val="center"/>
                </w:tcPr>
                <w:p w14:paraId="17DCEF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0.022</w:t>
                  </w:r>
                </w:p>
              </w:tc>
              <w:tc>
                <w:tcPr>
                  <w:tcW w:w="719" w:type="dxa"/>
                  <w:tcBorders>
                    <w:top w:val="single" w:color="auto" w:sz="4" w:space="0"/>
                    <w:left w:val="single" w:color="auto" w:sz="4" w:space="0"/>
                    <w:bottom w:val="single" w:color="auto" w:sz="4" w:space="0"/>
                    <w:right w:val="single" w:color="auto" w:sz="4" w:space="0"/>
                  </w:tcBorders>
                  <w:vAlign w:val="center"/>
                </w:tcPr>
                <w:p w14:paraId="06E95BB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0.9</w:t>
                  </w:r>
                </w:p>
              </w:tc>
              <w:tc>
                <w:tcPr>
                  <w:tcW w:w="741" w:type="dxa"/>
                  <w:tcBorders>
                    <w:top w:val="single" w:color="auto" w:sz="4" w:space="0"/>
                    <w:left w:val="single" w:color="auto" w:sz="4" w:space="0"/>
                    <w:bottom w:val="single" w:color="auto" w:sz="4" w:space="0"/>
                    <w:right w:val="single" w:color="auto" w:sz="4" w:space="0"/>
                  </w:tcBorders>
                  <w:vAlign w:val="center"/>
                </w:tcPr>
                <w:p w14:paraId="5231BA7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0.0183</w:t>
                  </w:r>
                </w:p>
              </w:tc>
              <w:tc>
                <w:tcPr>
                  <w:tcW w:w="543" w:type="dxa"/>
                  <w:vMerge w:val="continue"/>
                  <w:tcBorders>
                    <w:left w:val="single" w:color="auto" w:sz="4" w:space="0"/>
                    <w:right w:val="single" w:color="auto" w:sz="4" w:space="0"/>
                  </w:tcBorders>
                  <w:vAlign w:val="center"/>
                </w:tcPr>
                <w:p w14:paraId="498CE07B">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6112665A">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2177C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2A4E4121">
                  <w:pPr>
                    <w:spacing w:line="240" w:lineRule="auto"/>
                    <w:jc w:val="center"/>
                    <w:rPr>
                      <w:rFonts w:hint="eastAsia" w:ascii="Times New Roman" w:hAnsi="Times New Roman" w:eastAsia="宋体" w:cs="Times New Roman"/>
                      <w:bCs/>
                      <w:sz w:val="18"/>
                      <w:szCs w:val="18"/>
                      <w:lang w:eastAsia="zh-CN"/>
                    </w:rPr>
                  </w:pPr>
                </w:p>
              </w:tc>
              <w:tc>
                <w:tcPr>
                  <w:tcW w:w="821" w:type="dxa"/>
                  <w:vMerge w:val="continue"/>
                  <w:tcBorders>
                    <w:left w:val="single" w:color="auto" w:sz="4" w:space="0"/>
                    <w:right w:val="single" w:color="auto" w:sz="4" w:space="0"/>
                  </w:tcBorders>
                  <w:vAlign w:val="center"/>
                </w:tcPr>
                <w:p w14:paraId="0A7FF2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924" w:type="dxa"/>
                  <w:vMerge w:val="continue"/>
                  <w:tcBorders>
                    <w:left w:val="single" w:color="auto" w:sz="4" w:space="0"/>
                    <w:right w:val="single" w:color="auto" w:sz="4" w:space="0"/>
                  </w:tcBorders>
                  <w:vAlign w:val="center"/>
                </w:tcPr>
                <w:p w14:paraId="1659D92E">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1078" w:type="dxa"/>
                  <w:tcBorders>
                    <w:top w:val="single" w:color="auto" w:sz="4" w:space="0"/>
                    <w:left w:val="single" w:color="auto" w:sz="4" w:space="0"/>
                    <w:bottom w:val="single" w:color="auto" w:sz="4" w:space="0"/>
                    <w:right w:val="single" w:color="auto" w:sz="4" w:space="0"/>
                  </w:tcBorders>
                  <w:vAlign w:val="center"/>
                </w:tcPr>
                <w:p w14:paraId="194F846F">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0.008</w:t>
                  </w:r>
                </w:p>
              </w:tc>
              <w:tc>
                <w:tcPr>
                  <w:tcW w:w="946" w:type="dxa"/>
                  <w:tcBorders>
                    <w:top w:val="single" w:color="auto" w:sz="4" w:space="0"/>
                    <w:left w:val="single" w:color="auto" w:sz="4" w:space="0"/>
                    <w:bottom w:val="single" w:color="auto" w:sz="4" w:space="0"/>
                    <w:right w:val="single" w:color="auto" w:sz="4" w:space="0"/>
                  </w:tcBorders>
                  <w:vAlign w:val="center"/>
                </w:tcPr>
                <w:p w14:paraId="504CE34F">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7322B81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0.006</w:t>
                  </w:r>
                  <w:r>
                    <w:rPr>
                      <w:rFonts w:hint="eastAsia" w:eastAsia="宋体" w:cs="Times New Roman"/>
                      <w:i w:val="0"/>
                      <w:iCs w:val="0"/>
                      <w:color w:val="000000"/>
                      <w:kern w:val="0"/>
                      <w:sz w:val="18"/>
                      <w:szCs w:val="18"/>
                      <w:u w:val="none"/>
                      <w:lang w:val="en-US" w:eastAsia="zh-CN" w:bidi="ar"/>
                    </w:rPr>
                    <w:t>7</w:t>
                  </w:r>
                </w:p>
              </w:tc>
              <w:tc>
                <w:tcPr>
                  <w:tcW w:w="880" w:type="dxa"/>
                  <w:tcBorders>
                    <w:top w:val="single" w:color="auto" w:sz="4" w:space="0"/>
                    <w:left w:val="single" w:color="auto" w:sz="4" w:space="0"/>
                    <w:bottom w:val="single" w:color="auto" w:sz="4" w:space="0"/>
                    <w:right w:val="single" w:color="auto" w:sz="4" w:space="0"/>
                  </w:tcBorders>
                  <w:vAlign w:val="center"/>
                </w:tcPr>
                <w:p w14:paraId="187BA7CB">
                  <w:pPr>
                    <w:jc w:val="center"/>
                    <w:rPr>
                      <w:rFonts w:hint="default"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5012239C">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1BF21779">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077C6400">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08391F32">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48C147C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0.008</w:t>
                  </w:r>
                </w:p>
              </w:tc>
              <w:tc>
                <w:tcPr>
                  <w:tcW w:w="719" w:type="dxa"/>
                  <w:tcBorders>
                    <w:top w:val="single" w:color="auto" w:sz="4" w:space="0"/>
                    <w:left w:val="single" w:color="auto" w:sz="4" w:space="0"/>
                    <w:bottom w:val="single" w:color="auto" w:sz="4" w:space="0"/>
                    <w:right w:val="single" w:color="auto" w:sz="4" w:space="0"/>
                  </w:tcBorders>
                  <w:vAlign w:val="center"/>
                </w:tcPr>
                <w:p w14:paraId="324F9092">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6EE7F51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0.006</w:t>
                  </w:r>
                  <w:r>
                    <w:rPr>
                      <w:rFonts w:hint="eastAsia" w:eastAsia="宋体" w:cs="Times New Roman"/>
                      <w:i w:val="0"/>
                      <w:iCs w:val="0"/>
                      <w:color w:val="000000"/>
                      <w:kern w:val="0"/>
                      <w:sz w:val="18"/>
                      <w:szCs w:val="18"/>
                      <w:u w:val="none"/>
                      <w:lang w:val="en-US" w:eastAsia="zh-CN" w:bidi="ar"/>
                    </w:rPr>
                    <w:t>7</w:t>
                  </w:r>
                </w:p>
              </w:tc>
              <w:tc>
                <w:tcPr>
                  <w:tcW w:w="543" w:type="dxa"/>
                  <w:vMerge w:val="continue"/>
                  <w:tcBorders>
                    <w:left w:val="single" w:color="auto" w:sz="4" w:space="0"/>
                    <w:right w:val="single" w:color="auto" w:sz="4" w:space="0"/>
                  </w:tcBorders>
                  <w:vAlign w:val="center"/>
                </w:tcPr>
                <w:p w14:paraId="3D2A040D">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19FC9E10">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无组织</w:t>
                  </w:r>
                </w:p>
              </w:tc>
            </w:tr>
            <w:tr w14:paraId="794A1B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restart"/>
                  <w:tcBorders>
                    <w:left w:val="single" w:color="auto" w:sz="4" w:space="0"/>
                    <w:right w:val="single" w:color="auto" w:sz="4" w:space="0"/>
                  </w:tcBorders>
                  <w:vAlign w:val="center"/>
                </w:tcPr>
                <w:p w14:paraId="2141763D">
                  <w:pPr>
                    <w:spacing w:line="240" w:lineRule="auto"/>
                    <w:jc w:val="center"/>
                    <w:rPr>
                      <w:rFonts w:hint="eastAsia" w:ascii="Times New Roman" w:hAnsi="Times New Roman" w:eastAsia="宋体" w:cs="Times New Roman"/>
                      <w:bCs/>
                      <w:sz w:val="18"/>
                      <w:szCs w:val="18"/>
                      <w:lang w:eastAsia="zh-CN"/>
                    </w:rPr>
                  </w:pPr>
                  <w:r>
                    <w:rPr>
                      <w:rFonts w:hint="eastAsia" w:cs="Times New Roman"/>
                      <w:bCs/>
                      <w:sz w:val="18"/>
                      <w:szCs w:val="18"/>
                      <w:lang w:eastAsia="zh-CN"/>
                    </w:rPr>
                    <w:t>浸漆、烘干工序</w:t>
                  </w:r>
                </w:p>
              </w:tc>
              <w:tc>
                <w:tcPr>
                  <w:tcW w:w="821" w:type="dxa"/>
                  <w:vMerge w:val="restart"/>
                  <w:tcBorders>
                    <w:left w:val="single" w:color="auto" w:sz="4" w:space="0"/>
                    <w:right w:val="single" w:color="auto" w:sz="4" w:space="0"/>
                  </w:tcBorders>
                  <w:vAlign w:val="center"/>
                </w:tcPr>
                <w:p w14:paraId="3780F56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24" w:type="dxa"/>
                  <w:vMerge w:val="restart"/>
                  <w:tcBorders>
                    <w:left w:val="single" w:color="auto" w:sz="4" w:space="0"/>
                    <w:right w:val="single" w:color="auto" w:sz="4" w:space="0"/>
                  </w:tcBorders>
                  <w:vAlign w:val="center"/>
                </w:tcPr>
                <w:p w14:paraId="0B234510">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0.0132</w:t>
                  </w:r>
                </w:p>
              </w:tc>
              <w:tc>
                <w:tcPr>
                  <w:tcW w:w="1078" w:type="dxa"/>
                  <w:tcBorders>
                    <w:top w:val="single" w:color="auto" w:sz="4" w:space="0"/>
                    <w:left w:val="single" w:color="auto" w:sz="4" w:space="0"/>
                    <w:bottom w:val="single" w:color="auto" w:sz="4" w:space="0"/>
                    <w:right w:val="single" w:color="auto" w:sz="4" w:space="0"/>
                  </w:tcBorders>
                  <w:vAlign w:val="center"/>
                </w:tcPr>
                <w:p w14:paraId="730FD75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0.0129</w:t>
                  </w:r>
                </w:p>
              </w:tc>
              <w:tc>
                <w:tcPr>
                  <w:tcW w:w="946" w:type="dxa"/>
                  <w:tcBorders>
                    <w:top w:val="single" w:color="auto" w:sz="4" w:space="0"/>
                    <w:left w:val="single" w:color="auto" w:sz="4" w:space="0"/>
                    <w:bottom w:val="single" w:color="auto" w:sz="4" w:space="0"/>
                    <w:right w:val="single" w:color="auto" w:sz="4" w:space="0"/>
                  </w:tcBorders>
                  <w:vAlign w:val="center"/>
                </w:tcPr>
                <w:p w14:paraId="2A962FEB">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0.5</w:t>
                  </w:r>
                </w:p>
              </w:tc>
              <w:tc>
                <w:tcPr>
                  <w:tcW w:w="968" w:type="dxa"/>
                  <w:tcBorders>
                    <w:top w:val="single" w:color="auto" w:sz="4" w:space="0"/>
                    <w:left w:val="single" w:color="auto" w:sz="4" w:space="0"/>
                    <w:bottom w:val="single" w:color="auto" w:sz="4" w:space="0"/>
                    <w:right w:val="single" w:color="auto" w:sz="4" w:space="0"/>
                  </w:tcBorders>
                  <w:vAlign w:val="center"/>
                </w:tcPr>
                <w:p w14:paraId="053E99C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0.0108</w:t>
                  </w:r>
                </w:p>
              </w:tc>
              <w:tc>
                <w:tcPr>
                  <w:tcW w:w="880" w:type="dxa"/>
                  <w:tcBorders>
                    <w:top w:val="single" w:color="auto" w:sz="4" w:space="0"/>
                    <w:left w:val="single" w:color="auto" w:sz="4" w:space="0"/>
                    <w:bottom w:val="single" w:color="auto" w:sz="4" w:space="0"/>
                    <w:right w:val="single" w:color="auto" w:sz="4" w:space="0"/>
                  </w:tcBorders>
                  <w:vAlign w:val="center"/>
                </w:tcPr>
                <w:p w14:paraId="7214805E">
                  <w:pPr>
                    <w:jc w:val="center"/>
                    <w:rPr>
                      <w:rFonts w:hint="eastAsia" w:cs="Times New Roman"/>
                      <w:sz w:val="18"/>
                      <w:szCs w:val="18"/>
                      <w:lang w:val="en-US" w:eastAsia="zh-CN"/>
                    </w:rPr>
                  </w:pPr>
                  <w:r>
                    <w:rPr>
                      <w:rFonts w:hint="eastAsia" w:cs="Times New Roman"/>
                      <w:sz w:val="18"/>
                      <w:szCs w:val="18"/>
                      <w:lang w:val="en-US" w:eastAsia="zh-CN"/>
                    </w:rPr>
                    <w:t>20000</w:t>
                  </w:r>
                </w:p>
              </w:tc>
              <w:tc>
                <w:tcPr>
                  <w:tcW w:w="726" w:type="dxa"/>
                  <w:tcBorders>
                    <w:top w:val="single" w:color="auto" w:sz="4" w:space="0"/>
                    <w:left w:val="single" w:color="auto" w:sz="4" w:space="0"/>
                    <w:bottom w:val="single" w:color="auto" w:sz="4" w:space="0"/>
                    <w:right w:val="single" w:color="auto" w:sz="4" w:space="0"/>
                  </w:tcBorders>
                  <w:vAlign w:val="center"/>
                </w:tcPr>
                <w:p w14:paraId="74519CFA">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98</w:t>
                  </w:r>
                </w:p>
              </w:tc>
              <w:tc>
                <w:tcPr>
                  <w:tcW w:w="770" w:type="dxa"/>
                  <w:tcBorders>
                    <w:top w:val="single" w:color="auto" w:sz="4" w:space="0"/>
                    <w:left w:val="single" w:color="auto" w:sz="4" w:space="0"/>
                    <w:bottom w:val="single" w:color="auto" w:sz="4" w:space="0"/>
                    <w:right w:val="single" w:color="auto" w:sz="4" w:space="0"/>
                  </w:tcBorders>
                  <w:vAlign w:val="center"/>
                </w:tcPr>
                <w:p w14:paraId="0D2D63F7">
                  <w:pPr>
                    <w:jc w:val="center"/>
                    <w:rPr>
                      <w:rFonts w:hint="eastAsia"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550" w:type="dxa"/>
                  <w:tcBorders>
                    <w:top w:val="single" w:color="auto" w:sz="4" w:space="0"/>
                    <w:left w:val="single" w:color="auto" w:sz="4" w:space="0"/>
                    <w:bottom w:val="single" w:color="auto" w:sz="4" w:space="0"/>
                    <w:right w:val="single" w:color="auto" w:sz="4" w:space="0"/>
                  </w:tcBorders>
                  <w:vAlign w:val="center"/>
                </w:tcPr>
                <w:p w14:paraId="7724F6FB">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70</w:t>
                  </w:r>
                </w:p>
              </w:tc>
              <w:tc>
                <w:tcPr>
                  <w:tcW w:w="682" w:type="dxa"/>
                  <w:tcBorders>
                    <w:top w:val="single" w:color="auto" w:sz="4" w:space="0"/>
                    <w:left w:val="single" w:color="auto" w:sz="4" w:space="0"/>
                    <w:bottom w:val="single" w:color="auto" w:sz="4" w:space="0"/>
                    <w:right w:val="single" w:color="auto" w:sz="4" w:space="0"/>
                  </w:tcBorders>
                  <w:vAlign w:val="center"/>
                </w:tcPr>
                <w:p w14:paraId="62BA8439">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877" w:type="dxa"/>
                  <w:tcBorders>
                    <w:top w:val="single" w:color="auto" w:sz="4" w:space="0"/>
                    <w:left w:val="single" w:color="auto" w:sz="4" w:space="0"/>
                    <w:bottom w:val="single" w:color="auto" w:sz="4" w:space="0"/>
                    <w:right w:val="single" w:color="auto" w:sz="4" w:space="0"/>
                  </w:tcBorders>
                  <w:vAlign w:val="center"/>
                </w:tcPr>
                <w:p w14:paraId="0C80FD7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0.0039</w:t>
                  </w:r>
                </w:p>
              </w:tc>
              <w:tc>
                <w:tcPr>
                  <w:tcW w:w="719" w:type="dxa"/>
                  <w:tcBorders>
                    <w:top w:val="single" w:color="auto" w:sz="4" w:space="0"/>
                    <w:left w:val="single" w:color="auto" w:sz="4" w:space="0"/>
                    <w:bottom w:val="single" w:color="auto" w:sz="4" w:space="0"/>
                    <w:right w:val="single" w:color="auto" w:sz="4" w:space="0"/>
                  </w:tcBorders>
                  <w:vAlign w:val="center"/>
                </w:tcPr>
                <w:p w14:paraId="592F1760">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0.2</w:t>
                  </w:r>
                </w:p>
              </w:tc>
              <w:tc>
                <w:tcPr>
                  <w:tcW w:w="741" w:type="dxa"/>
                  <w:tcBorders>
                    <w:top w:val="single" w:color="auto" w:sz="4" w:space="0"/>
                    <w:left w:val="single" w:color="auto" w:sz="4" w:space="0"/>
                    <w:bottom w:val="single" w:color="auto" w:sz="4" w:space="0"/>
                    <w:right w:val="single" w:color="auto" w:sz="4" w:space="0"/>
                  </w:tcBorders>
                  <w:vAlign w:val="center"/>
                </w:tcPr>
                <w:p w14:paraId="1DE3D6B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0.0033</w:t>
                  </w:r>
                </w:p>
              </w:tc>
              <w:tc>
                <w:tcPr>
                  <w:tcW w:w="543" w:type="dxa"/>
                  <w:vMerge w:val="continue"/>
                  <w:tcBorders>
                    <w:left w:val="single" w:color="auto" w:sz="4" w:space="0"/>
                    <w:right w:val="single" w:color="auto" w:sz="4" w:space="0"/>
                  </w:tcBorders>
                  <w:vAlign w:val="center"/>
                </w:tcPr>
                <w:p w14:paraId="65DF62B0">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7AFF3718">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529C74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68960C91">
                  <w:pPr>
                    <w:spacing w:line="240" w:lineRule="auto"/>
                    <w:jc w:val="center"/>
                    <w:rPr>
                      <w:rFonts w:hint="eastAsia" w:ascii="Times New Roman" w:hAnsi="Times New Roman" w:eastAsia="宋体" w:cs="Times New Roman"/>
                      <w:bCs/>
                      <w:sz w:val="18"/>
                      <w:szCs w:val="18"/>
                      <w:lang w:eastAsia="zh-CN"/>
                    </w:rPr>
                  </w:pPr>
                </w:p>
              </w:tc>
              <w:tc>
                <w:tcPr>
                  <w:tcW w:w="821" w:type="dxa"/>
                  <w:vMerge w:val="continue"/>
                  <w:tcBorders>
                    <w:left w:val="single" w:color="auto" w:sz="4" w:space="0"/>
                    <w:right w:val="single" w:color="auto" w:sz="4" w:space="0"/>
                  </w:tcBorders>
                  <w:vAlign w:val="center"/>
                </w:tcPr>
                <w:p w14:paraId="6F9F2A8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924" w:type="dxa"/>
                  <w:vMerge w:val="continue"/>
                  <w:tcBorders>
                    <w:left w:val="single" w:color="auto" w:sz="4" w:space="0"/>
                    <w:right w:val="single" w:color="auto" w:sz="4" w:space="0"/>
                  </w:tcBorders>
                  <w:vAlign w:val="center"/>
                </w:tcPr>
                <w:p w14:paraId="453B3BC3">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1078" w:type="dxa"/>
                  <w:tcBorders>
                    <w:top w:val="single" w:color="auto" w:sz="4" w:space="0"/>
                    <w:left w:val="single" w:color="auto" w:sz="4" w:space="0"/>
                    <w:bottom w:val="single" w:color="auto" w:sz="4" w:space="0"/>
                    <w:right w:val="single" w:color="auto" w:sz="4" w:space="0"/>
                  </w:tcBorders>
                  <w:vAlign w:val="center"/>
                </w:tcPr>
                <w:p w14:paraId="7B3A389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0.0003</w:t>
                  </w:r>
                </w:p>
              </w:tc>
              <w:tc>
                <w:tcPr>
                  <w:tcW w:w="946" w:type="dxa"/>
                  <w:tcBorders>
                    <w:top w:val="single" w:color="auto" w:sz="4" w:space="0"/>
                    <w:left w:val="single" w:color="auto" w:sz="4" w:space="0"/>
                    <w:bottom w:val="single" w:color="auto" w:sz="4" w:space="0"/>
                    <w:right w:val="single" w:color="auto" w:sz="4" w:space="0"/>
                  </w:tcBorders>
                  <w:vAlign w:val="center"/>
                </w:tcPr>
                <w:p w14:paraId="79B08F88">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1996B5C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0.0003</w:t>
                  </w:r>
                </w:p>
              </w:tc>
              <w:tc>
                <w:tcPr>
                  <w:tcW w:w="880" w:type="dxa"/>
                  <w:tcBorders>
                    <w:top w:val="single" w:color="auto" w:sz="4" w:space="0"/>
                    <w:left w:val="single" w:color="auto" w:sz="4" w:space="0"/>
                    <w:bottom w:val="single" w:color="auto" w:sz="4" w:space="0"/>
                    <w:right w:val="single" w:color="auto" w:sz="4" w:space="0"/>
                  </w:tcBorders>
                  <w:vAlign w:val="center"/>
                </w:tcPr>
                <w:p w14:paraId="46D7708D">
                  <w:pPr>
                    <w:jc w:val="center"/>
                    <w:rPr>
                      <w:rFonts w:hint="eastAsia"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5DB3E4B1">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2173558B">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672A1D75">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5897BBD1">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746EAB8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0.0003</w:t>
                  </w:r>
                </w:p>
              </w:tc>
              <w:tc>
                <w:tcPr>
                  <w:tcW w:w="719" w:type="dxa"/>
                  <w:tcBorders>
                    <w:top w:val="single" w:color="auto" w:sz="4" w:space="0"/>
                    <w:left w:val="single" w:color="auto" w:sz="4" w:space="0"/>
                    <w:bottom w:val="single" w:color="auto" w:sz="4" w:space="0"/>
                    <w:right w:val="single" w:color="auto" w:sz="4" w:space="0"/>
                  </w:tcBorders>
                  <w:vAlign w:val="center"/>
                </w:tcPr>
                <w:p w14:paraId="6245EB1C">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1EC724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0.0003</w:t>
                  </w:r>
                </w:p>
              </w:tc>
              <w:tc>
                <w:tcPr>
                  <w:tcW w:w="543" w:type="dxa"/>
                  <w:vMerge w:val="continue"/>
                  <w:tcBorders>
                    <w:left w:val="single" w:color="auto" w:sz="4" w:space="0"/>
                    <w:right w:val="single" w:color="auto" w:sz="4" w:space="0"/>
                  </w:tcBorders>
                  <w:vAlign w:val="center"/>
                </w:tcPr>
                <w:p w14:paraId="2D19FEB4">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632BE1A5">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2530B0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762040A7">
                  <w:pPr>
                    <w:spacing w:line="240" w:lineRule="auto"/>
                    <w:jc w:val="center"/>
                    <w:rPr>
                      <w:rFonts w:hint="eastAsia" w:ascii="Times New Roman" w:hAnsi="Times New Roman" w:eastAsia="宋体" w:cs="Times New Roman"/>
                      <w:bCs/>
                      <w:sz w:val="18"/>
                      <w:szCs w:val="18"/>
                      <w:lang w:eastAsia="zh-CN"/>
                    </w:rPr>
                  </w:pPr>
                </w:p>
              </w:tc>
              <w:tc>
                <w:tcPr>
                  <w:tcW w:w="821" w:type="dxa"/>
                  <w:vMerge w:val="restart"/>
                  <w:tcBorders>
                    <w:left w:val="single" w:color="auto" w:sz="4" w:space="0"/>
                    <w:right w:val="single" w:color="auto" w:sz="4" w:space="0"/>
                  </w:tcBorders>
                  <w:vAlign w:val="center"/>
                </w:tcPr>
                <w:p w14:paraId="18ADDDB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924" w:type="dxa"/>
                  <w:vMerge w:val="restart"/>
                  <w:tcBorders>
                    <w:left w:val="single" w:color="auto" w:sz="4" w:space="0"/>
                    <w:right w:val="single" w:color="auto" w:sz="4" w:space="0"/>
                  </w:tcBorders>
                  <w:vAlign w:val="center"/>
                </w:tcPr>
                <w:p w14:paraId="300A3D19">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0.0053</w:t>
                  </w:r>
                </w:p>
              </w:tc>
              <w:tc>
                <w:tcPr>
                  <w:tcW w:w="1078" w:type="dxa"/>
                  <w:tcBorders>
                    <w:top w:val="single" w:color="auto" w:sz="4" w:space="0"/>
                    <w:left w:val="single" w:color="auto" w:sz="4" w:space="0"/>
                    <w:bottom w:val="single" w:color="auto" w:sz="4" w:space="0"/>
                    <w:right w:val="single" w:color="auto" w:sz="4" w:space="0"/>
                  </w:tcBorders>
                  <w:vAlign w:val="center"/>
                </w:tcPr>
                <w:p w14:paraId="043A4BE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0.0052</w:t>
                  </w:r>
                </w:p>
              </w:tc>
              <w:tc>
                <w:tcPr>
                  <w:tcW w:w="946" w:type="dxa"/>
                  <w:tcBorders>
                    <w:top w:val="single" w:color="auto" w:sz="4" w:space="0"/>
                    <w:left w:val="single" w:color="auto" w:sz="4" w:space="0"/>
                    <w:bottom w:val="single" w:color="auto" w:sz="4" w:space="0"/>
                    <w:right w:val="single" w:color="auto" w:sz="4" w:space="0"/>
                  </w:tcBorders>
                  <w:vAlign w:val="center"/>
                </w:tcPr>
                <w:p w14:paraId="3D0FD488">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0.2</w:t>
                  </w:r>
                </w:p>
              </w:tc>
              <w:tc>
                <w:tcPr>
                  <w:tcW w:w="968" w:type="dxa"/>
                  <w:tcBorders>
                    <w:top w:val="single" w:color="auto" w:sz="4" w:space="0"/>
                    <w:left w:val="single" w:color="auto" w:sz="4" w:space="0"/>
                    <w:bottom w:val="single" w:color="auto" w:sz="4" w:space="0"/>
                    <w:right w:val="single" w:color="auto" w:sz="4" w:space="0"/>
                  </w:tcBorders>
                  <w:vAlign w:val="center"/>
                </w:tcPr>
                <w:p w14:paraId="384B010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0.0043</w:t>
                  </w:r>
                </w:p>
              </w:tc>
              <w:tc>
                <w:tcPr>
                  <w:tcW w:w="880" w:type="dxa"/>
                  <w:tcBorders>
                    <w:top w:val="single" w:color="auto" w:sz="4" w:space="0"/>
                    <w:left w:val="single" w:color="auto" w:sz="4" w:space="0"/>
                    <w:bottom w:val="single" w:color="auto" w:sz="4" w:space="0"/>
                    <w:right w:val="single" w:color="auto" w:sz="4" w:space="0"/>
                  </w:tcBorders>
                  <w:vAlign w:val="center"/>
                </w:tcPr>
                <w:p w14:paraId="01FA8F1B">
                  <w:pPr>
                    <w:jc w:val="center"/>
                    <w:rPr>
                      <w:rFonts w:hint="eastAsia" w:cs="Times New Roman"/>
                      <w:sz w:val="18"/>
                      <w:szCs w:val="18"/>
                      <w:lang w:val="en-US" w:eastAsia="zh-CN"/>
                    </w:rPr>
                  </w:pPr>
                  <w:r>
                    <w:rPr>
                      <w:rFonts w:hint="eastAsia" w:cs="Times New Roman"/>
                      <w:sz w:val="18"/>
                      <w:szCs w:val="18"/>
                      <w:lang w:val="en-US" w:eastAsia="zh-CN"/>
                    </w:rPr>
                    <w:t>20000</w:t>
                  </w:r>
                </w:p>
              </w:tc>
              <w:tc>
                <w:tcPr>
                  <w:tcW w:w="726" w:type="dxa"/>
                  <w:tcBorders>
                    <w:top w:val="single" w:color="auto" w:sz="4" w:space="0"/>
                    <w:left w:val="single" w:color="auto" w:sz="4" w:space="0"/>
                    <w:bottom w:val="single" w:color="auto" w:sz="4" w:space="0"/>
                    <w:right w:val="single" w:color="auto" w:sz="4" w:space="0"/>
                  </w:tcBorders>
                  <w:vAlign w:val="center"/>
                </w:tcPr>
                <w:p w14:paraId="1594340C">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98</w:t>
                  </w:r>
                </w:p>
              </w:tc>
              <w:tc>
                <w:tcPr>
                  <w:tcW w:w="770" w:type="dxa"/>
                  <w:tcBorders>
                    <w:top w:val="single" w:color="auto" w:sz="4" w:space="0"/>
                    <w:left w:val="single" w:color="auto" w:sz="4" w:space="0"/>
                    <w:bottom w:val="single" w:color="auto" w:sz="4" w:space="0"/>
                    <w:right w:val="single" w:color="auto" w:sz="4" w:space="0"/>
                  </w:tcBorders>
                  <w:vAlign w:val="center"/>
                </w:tcPr>
                <w:p w14:paraId="4A6167BF">
                  <w:pPr>
                    <w:jc w:val="center"/>
                    <w:rPr>
                      <w:rFonts w:hint="eastAsia"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550" w:type="dxa"/>
                  <w:tcBorders>
                    <w:top w:val="single" w:color="auto" w:sz="4" w:space="0"/>
                    <w:left w:val="single" w:color="auto" w:sz="4" w:space="0"/>
                    <w:bottom w:val="single" w:color="auto" w:sz="4" w:space="0"/>
                    <w:right w:val="single" w:color="auto" w:sz="4" w:space="0"/>
                  </w:tcBorders>
                  <w:vAlign w:val="center"/>
                </w:tcPr>
                <w:p w14:paraId="34074BF2">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70</w:t>
                  </w:r>
                </w:p>
              </w:tc>
              <w:tc>
                <w:tcPr>
                  <w:tcW w:w="682" w:type="dxa"/>
                  <w:tcBorders>
                    <w:top w:val="single" w:color="auto" w:sz="4" w:space="0"/>
                    <w:left w:val="single" w:color="auto" w:sz="4" w:space="0"/>
                    <w:bottom w:val="single" w:color="auto" w:sz="4" w:space="0"/>
                    <w:right w:val="single" w:color="auto" w:sz="4" w:space="0"/>
                  </w:tcBorders>
                  <w:vAlign w:val="center"/>
                </w:tcPr>
                <w:p w14:paraId="5B54FA3A">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877" w:type="dxa"/>
                  <w:tcBorders>
                    <w:top w:val="single" w:color="auto" w:sz="4" w:space="0"/>
                    <w:left w:val="single" w:color="auto" w:sz="4" w:space="0"/>
                    <w:bottom w:val="single" w:color="auto" w:sz="4" w:space="0"/>
                    <w:right w:val="single" w:color="auto" w:sz="4" w:space="0"/>
                  </w:tcBorders>
                  <w:vAlign w:val="center"/>
                </w:tcPr>
                <w:p w14:paraId="1A9C393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0.0016</w:t>
                  </w:r>
                </w:p>
              </w:tc>
              <w:tc>
                <w:tcPr>
                  <w:tcW w:w="719" w:type="dxa"/>
                  <w:tcBorders>
                    <w:top w:val="single" w:color="auto" w:sz="4" w:space="0"/>
                    <w:left w:val="single" w:color="auto" w:sz="4" w:space="0"/>
                    <w:bottom w:val="single" w:color="auto" w:sz="4" w:space="0"/>
                    <w:right w:val="single" w:color="auto" w:sz="4" w:space="0"/>
                  </w:tcBorders>
                  <w:vAlign w:val="center"/>
                </w:tcPr>
                <w:p w14:paraId="3EA2C278">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0.1</w:t>
                  </w:r>
                </w:p>
              </w:tc>
              <w:tc>
                <w:tcPr>
                  <w:tcW w:w="741" w:type="dxa"/>
                  <w:tcBorders>
                    <w:top w:val="single" w:color="auto" w:sz="4" w:space="0"/>
                    <w:left w:val="single" w:color="auto" w:sz="4" w:space="0"/>
                    <w:bottom w:val="single" w:color="auto" w:sz="4" w:space="0"/>
                    <w:right w:val="single" w:color="auto" w:sz="4" w:space="0"/>
                  </w:tcBorders>
                  <w:vAlign w:val="center"/>
                </w:tcPr>
                <w:p w14:paraId="2AD1812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0.0013</w:t>
                  </w:r>
                </w:p>
              </w:tc>
              <w:tc>
                <w:tcPr>
                  <w:tcW w:w="543" w:type="dxa"/>
                  <w:vMerge w:val="continue"/>
                  <w:tcBorders>
                    <w:left w:val="single" w:color="auto" w:sz="4" w:space="0"/>
                    <w:right w:val="single" w:color="auto" w:sz="4" w:space="0"/>
                  </w:tcBorders>
                  <w:vAlign w:val="center"/>
                </w:tcPr>
                <w:p w14:paraId="7EF54B78">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17F3A9B4">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7FA7DF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2085121F">
                  <w:pPr>
                    <w:spacing w:line="240" w:lineRule="auto"/>
                    <w:jc w:val="center"/>
                    <w:rPr>
                      <w:rFonts w:hint="eastAsia" w:ascii="Times New Roman" w:hAnsi="Times New Roman" w:eastAsia="宋体" w:cs="Times New Roman"/>
                      <w:bCs/>
                      <w:sz w:val="18"/>
                      <w:szCs w:val="18"/>
                      <w:lang w:eastAsia="zh-CN"/>
                    </w:rPr>
                  </w:pPr>
                </w:p>
              </w:tc>
              <w:tc>
                <w:tcPr>
                  <w:tcW w:w="821" w:type="dxa"/>
                  <w:vMerge w:val="continue"/>
                  <w:tcBorders>
                    <w:left w:val="single" w:color="auto" w:sz="4" w:space="0"/>
                    <w:right w:val="single" w:color="auto" w:sz="4" w:space="0"/>
                  </w:tcBorders>
                  <w:vAlign w:val="center"/>
                </w:tcPr>
                <w:p w14:paraId="7960CF7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924" w:type="dxa"/>
                  <w:vMerge w:val="continue"/>
                  <w:tcBorders>
                    <w:left w:val="single" w:color="auto" w:sz="4" w:space="0"/>
                    <w:right w:val="single" w:color="auto" w:sz="4" w:space="0"/>
                  </w:tcBorders>
                  <w:vAlign w:val="center"/>
                </w:tcPr>
                <w:p w14:paraId="79948246">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1078" w:type="dxa"/>
                  <w:tcBorders>
                    <w:top w:val="single" w:color="auto" w:sz="4" w:space="0"/>
                    <w:left w:val="single" w:color="auto" w:sz="4" w:space="0"/>
                    <w:bottom w:val="single" w:color="auto" w:sz="4" w:space="0"/>
                    <w:right w:val="single" w:color="auto" w:sz="4" w:space="0"/>
                  </w:tcBorders>
                  <w:vAlign w:val="center"/>
                </w:tcPr>
                <w:p w14:paraId="1647159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0.0001</w:t>
                  </w:r>
                </w:p>
              </w:tc>
              <w:tc>
                <w:tcPr>
                  <w:tcW w:w="946" w:type="dxa"/>
                  <w:tcBorders>
                    <w:top w:val="single" w:color="auto" w:sz="4" w:space="0"/>
                    <w:left w:val="single" w:color="auto" w:sz="4" w:space="0"/>
                    <w:bottom w:val="single" w:color="auto" w:sz="4" w:space="0"/>
                    <w:right w:val="single" w:color="auto" w:sz="4" w:space="0"/>
                  </w:tcBorders>
                  <w:vAlign w:val="center"/>
                </w:tcPr>
                <w:p w14:paraId="5DE8D85F">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48BE361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0.0001</w:t>
                  </w:r>
                </w:p>
              </w:tc>
              <w:tc>
                <w:tcPr>
                  <w:tcW w:w="880" w:type="dxa"/>
                  <w:tcBorders>
                    <w:top w:val="single" w:color="auto" w:sz="4" w:space="0"/>
                    <w:left w:val="single" w:color="auto" w:sz="4" w:space="0"/>
                    <w:bottom w:val="single" w:color="auto" w:sz="4" w:space="0"/>
                    <w:right w:val="single" w:color="auto" w:sz="4" w:space="0"/>
                  </w:tcBorders>
                  <w:vAlign w:val="center"/>
                </w:tcPr>
                <w:p w14:paraId="0247C9E5">
                  <w:pPr>
                    <w:jc w:val="center"/>
                    <w:rPr>
                      <w:rFonts w:hint="eastAsia"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1A16E3F9">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694FF7F7">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416FC939">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498CA6D0">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0535970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0.0001</w:t>
                  </w:r>
                </w:p>
              </w:tc>
              <w:tc>
                <w:tcPr>
                  <w:tcW w:w="719" w:type="dxa"/>
                  <w:tcBorders>
                    <w:top w:val="single" w:color="auto" w:sz="4" w:space="0"/>
                    <w:left w:val="single" w:color="auto" w:sz="4" w:space="0"/>
                    <w:bottom w:val="single" w:color="auto" w:sz="4" w:space="0"/>
                    <w:right w:val="single" w:color="auto" w:sz="4" w:space="0"/>
                  </w:tcBorders>
                  <w:vAlign w:val="center"/>
                </w:tcPr>
                <w:p w14:paraId="15AF89AA">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76C3528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0.0001</w:t>
                  </w:r>
                </w:p>
              </w:tc>
              <w:tc>
                <w:tcPr>
                  <w:tcW w:w="543" w:type="dxa"/>
                  <w:vMerge w:val="continue"/>
                  <w:tcBorders>
                    <w:left w:val="single" w:color="auto" w:sz="4" w:space="0"/>
                    <w:right w:val="single" w:color="auto" w:sz="4" w:space="0"/>
                  </w:tcBorders>
                  <w:vAlign w:val="center"/>
                </w:tcPr>
                <w:p w14:paraId="6330DFA2">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14374A6E">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79BC97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4DCFAC19">
                  <w:pPr>
                    <w:spacing w:line="240" w:lineRule="auto"/>
                    <w:jc w:val="center"/>
                    <w:rPr>
                      <w:rFonts w:hint="eastAsia" w:ascii="Times New Roman" w:hAnsi="Times New Roman" w:eastAsia="宋体" w:cs="Times New Roman"/>
                      <w:bCs/>
                      <w:sz w:val="18"/>
                      <w:szCs w:val="18"/>
                      <w:lang w:eastAsia="zh-CN"/>
                    </w:rPr>
                  </w:pPr>
                </w:p>
              </w:tc>
              <w:tc>
                <w:tcPr>
                  <w:tcW w:w="821" w:type="dxa"/>
                  <w:vMerge w:val="restart"/>
                  <w:tcBorders>
                    <w:left w:val="single" w:color="auto" w:sz="4" w:space="0"/>
                    <w:right w:val="single" w:color="auto" w:sz="4" w:space="0"/>
                  </w:tcBorders>
                  <w:vAlign w:val="center"/>
                </w:tcPr>
                <w:p w14:paraId="2E1112AC">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臭气浓度</w:t>
                  </w:r>
                </w:p>
              </w:tc>
              <w:tc>
                <w:tcPr>
                  <w:tcW w:w="924" w:type="dxa"/>
                  <w:tcBorders>
                    <w:left w:val="single" w:color="auto" w:sz="4" w:space="0"/>
                    <w:right w:val="single" w:color="auto" w:sz="4" w:space="0"/>
                  </w:tcBorders>
                  <w:vAlign w:val="center"/>
                </w:tcPr>
                <w:p w14:paraId="31F49B4F">
                  <w:pPr>
                    <w:keepNext w:val="0"/>
                    <w:keepLines w:val="0"/>
                    <w:widowControl/>
                    <w:suppressLineNumbers w:val="0"/>
                    <w:ind w:left="0" w:leftChars="0" w:right="0" w:rightChars="0" w:firstLine="0" w:firstLineChars="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1078" w:type="dxa"/>
                  <w:tcBorders>
                    <w:top w:val="single" w:color="auto" w:sz="4" w:space="0"/>
                    <w:left w:val="single" w:color="auto" w:sz="4" w:space="0"/>
                    <w:bottom w:val="single" w:color="auto" w:sz="4" w:space="0"/>
                    <w:right w:val="single" w:color="auto" w:sz="4" w:space="0"/>
                  </w:tcBorders>
                  <w:vAlign w:val="center"/>
                </w:tcPr>
                <w:p w14:paraId="4DFE4BDB">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262C5CC1">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5D113F33">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3661DD1D">
                  <w:pPr>
                    <w:jc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726" w:type="dxa"/>
                  <w:tcBorders>
                    <w:top w:val="single" w:color="auto" w:sz="4" w:space="0"/>
                    <w:left w:val="single" w:color="auto" w:sz="4" w:space="0"/>
                    <w:bottom w:val="single" w:color="auto" w:sz="4" w:space="0"/>
                    <w:right w:val="single" w:color="auto" w:sz="4" w:space="0"/>
                  </w:tcBorders>
                  <w:vAlign w:val="center"/>
                </w:tcPr>
                <w:p w14:paraId="53E18620">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bottom w:val="single" w:color="auto" w:sz="4" w:space="0"/>
                    <w:right w:val="single" w:color="auto" w:sz="4" w:space="0"/>
                  </w:tcBorders>
                  <w:vAlign w:val="center"/>
                </w:tcPr>
                <w:p w14:paraId="74282CA0">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550" w:type="dxa"/>
                  <w:tcBorders>
                    <w:top w:val="single" w:color="auto" w:sz="4" w:space="0"/>
                    <w:left w:val="single" w:color="auto" w:sz="4" w:space="0"/>
                    <w:bottom w:val="single" w:color="auto" w:sz="4" w:space="0"/>
                    <w:right w:val="single" w:color="auto" w:sz="4" w:space="0"/>
                  </w:tcBorders>
                  <w:vAlign w:val="center"/>
                </w:tcPr>
                <w:p w14:paraId="2760F124">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682" w:type="dxa"/>
                  <w:tcBorders>
                    <w:top w:val="single" w:color="auto" w:sz="4" w:space="0"/>
                    <w:left w:val="single" w:color="auto" w:sz="4" w:space="0"/>
                    <w:bottom w:val="single" w:color="auto" w:sz="4" w:space="0"/>
                    <w:right w:val="single" w:color="auto" w:sz="4" w:space="0"/>
                  </w:tcBorders>
                  <w:vAlign w:val="center"/>
                </w:tcPr>
                <w:p w14:paraId="42A952D2">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877" w:type="dxa"/>
                  <w:tcBorders>
                    <w:top w:val="single" w:color="auto" w:sz="4" w:space="0"/>
                    <w:left w:val="single" w:color="auto" w:sz="4" w:space="0"/>
                    <w:bottom w:val="single" w:color="auto" w:sz="4" w:space="0"/>
                    <w:right w:val="single" w:color="auto" w:sz="4" w:space="0"/>
                  </w:tcBorders>
                  <w:vAlign w:val="center"/>
                </w:tcPr>
                <w:p w14:paraId="632FCAA2">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微量</w:t>
                  </w:r>
                </w:p>
              </w:tc>
              <w:tc>
                <w:tcPr>
                  <w:tcW w:w="719" w:type="dxa"/>
                  <w:tcBorders>
                    <w:top w:val="single" w:color="auto" w:sz="4" w:space="0"/>
                    <w:left w:val="single" w:color="auto" w:sz="4" w:space="0"/>
                    <w:bottom w:val="single" w:color="auto" w:sz="4" w:space="0"/>
                    <w:right w:val="single" w:color="auto" w:sz="4" w:space="0"/>
                  </w:tcBorders>
                  <w:vAlign w:val="center"/>
                </w:tcPr>
                <w:p w14:paraId="2D55E22E">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＜2000无量纲</w:t>
                  </w:r>
                </w:p>
              </w:tc>
              <w:tc>
                <w:tcPr>
                  <w:tcW w:w="741" w:type="dxa"/>
                  <w:tcBorders>
                    <w:top w:val="single" w:color="auto" w:sz="4" w:space="0"/>
                    <w:left w:val="single" w:color="auto" w:sz="4" w:space="0"/>
                    <w:bottom w:val="single" w:color="auto" w:sz="4" w:space="0"/>
                    <w:right w:val="single" w:color="auto" w:sz="4" w:space="0"/>
                  </w:tcBorders>
                  <w:vAlign w:val="center"/>
                </w:tcPr>
                <w:p w14:paraId="0F4E0ED3">
                  <w:pPr>
                    <w:keepNext w:val="0"/>
                    <w:keepLines w:val="0"/>
                    <w:widowControl/>
                    <w:suppressLineNumbers w:val="0"/>
                    <w:ind w:left="0" w:leftChars="0" w:right="0" w:rightChars="0" w:firstLine="0" w:firstLineChars="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43" w:type="dxa"/>
                  <w:vMerge w:val="continue"/>
                  <w:tcBorders>
                    <w:left w:val="single" w:color="auto" w:sz="4" w:space="0"/>
                    <w:right w:val="single" w:color="auto" w:sz="4" w:space="0"/>
                  </w:tcBorders>
                  <w:vAlign w:val="center"/>
                </w:tcPr>
                <w:p w14:paraId="09D3627D">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7637B345">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3C231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7C689260">
                  <w:pPr>
                    <w:spacing w:line="240" w:lineRule="auto"/>
                    <w:jc w:val="center"/>
                    <w:rPr>
                      <w:rFonts w:hint="eastAsia" w:ascii="Times New Roman" w:hAnsi="Times New Roman" w:eastAsia="宋体" w:cs="Times New Roman"/>
                      <w:bCs/>
                      <w:sz w:val="18"/>
                      <w:szCs w:val="18"/>
                      <w:lang w:eastAsia="zh-CN"/>
                    </w:rPr>
                  </w:pPr>
                </w:p>
              </w:tc>
              <w:tc>
                <w:tcPr>
                  <w:tcW w:w="821" w:type="dxa"/>
                  <w:vMerge w:val="continue"/>
                  <w:tcBorders>
                    <w:left w:val="single" w:color="auto" w:sz="4" w:space="0"/>
                    <w:right w:val="single" w:color="auto" w:sz="4" w:space="0"/>
                  </w:tcBorders>
                  <w:vAlign w:val="center"/>
                </w:tcPr>
                <w:p w14:paraId="32054F5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924" w:type="dxa"/>
                  <w:tcBorders>
                    <w:left w:val="single" w:color="auto" w:sz="4" w:space="0"/>
                    <w:right w:val="single" w:color="auto" w:sz="4" w:space="0"/>
                  </w:tcBorders>
                  <w:vAlign w:val="center"/>
                </w:tcPr>
                <w:p w14:paraId="2DFFEADF">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1078" w:type="dxa"/>
                  <w:tcBorders>
                    <w:top w:val="single" w:color="auto" w:sz="4" w:space="0"/>
                    <w:left w:val="single" w:color="auto" w:sz="4" w:space="0"/>
                    <w:bottom w:val="single" w:color="auto" w:sz="4" w:space="0"/>
                    <w:right w:val="single" w:color="auto" w:sz="4" w:space="0"/>
                  </w:tcBorders>
                  <w:vAlign w:val="center"/>
                </w:tcPr>
                <w:p w14:paraId="678677A8">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6667A17E">
                  <w:pPr>
                    <w:jc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1FDE6531">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30E3ACE5">
                  <w:pPr>
                    <w:jc w:val="center"/>
                    <w:rPr>
                      <w:rFonts w:hint="eastAsia"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6112B23B">
                  <w:pPr>
                    <w:jc w:val="center"/>
                    <w:rPr>
                      <w:rFonts w:hint="eastAsia" w:cs="Times New Roman"/>
                      <w:sz w:val="18"/>
                      <w:szCs w:val="18"/>
                      <w:lang w:val="en-US" w:eastAsia="zh-CN"/>
                    </w:rPr>
                  </w:pPr>
                  <w:r>
                    <w:rPr>
                      <w:rFonts w:hint="eastAsia"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6B16FED8">
                  <w:pPr>
                    <w:jc w:val="center"/>
                    <w:rPr>
                      <w:rFonts w:hint="eastAsia" w:cs="Times New Roman"/>
                      <w:sz w:val="18"/>
                      <w:szCs w:val="18"/>
                      <w:lang w:val="en-US" w:eastAsia="zh-CN"/>
                    </w:rPr>
                  </w:pPr>
                  <w:r>
                    <w:rPr>
                      <w:rFonts w:hint="eastAsia"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024823A0">
                  <w:pPr>
                    <w:jc w:val="center"/>
                    <w:rPr>
                      <w:rFonts w:hint="eastAsia" w:cs="Times New Roman"/>
                      <w:sz w:val="18"/>
                      <w:szCs w:val="18"/>
                      <w:lang w:val="en-US" w:eastAsia="zh-CN"/>
                    </w:rPr>
                  </w:pPr>
                  <w:r>
                    <w:rPr>
                      <w:rFonts w:hint="eastAsia"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77104484">
                  <w:pPr>
                    <w:jc w:val="center"/>
                    <w:rPr>
                      <w:rFonts w:hint="eastAsia" w:cs="Times New Roman"/>
                      <w:sz w:val="18"/>
                      <w:szCs w:val="18"/>
                      <w:lang w:val="en-US" w:eastAsia="zh-CN"/>
                    </w:rPr>
                  </w:pPr>
                  <w:r>
                    <w:rPr>
                      <w:rFonts w:hint="eastAsia"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12379C99">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19" w:type="dxa"/>
                  <w:tcBorders>
                    <w:top w:val="single" w:color="auto" w:sz="4" w:space="0"/>
                    <w:left w:val="single" w:color="auto" w:sz="4" w:space="0"/>
                    <w:bottom w:val="single" w:color="auto" w:sz="4" w:space="0"/>
                    <w:right w:val="single" w:color="auto" w:sz="4" w:space="0"/>
                  </w:tcBorders>
                  <w:vAlign w:val="center"/>
                </w:tcPr>
                <w:p w14:paraId="35EECD00">
                  <w:pPr>
                    <w:jc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＜20无量纲</w:t>
                  </w:r>
                </w:p>
              </w:tc>
              <w:tc>
                <w:tcPr>
                  <w:tcW w:w="741" w:type="dxa"/>
                  <w:tcBorders>
                    <w:top w:val="single" w:color="auto" w:sz="4" w:space="0"/>
                    <w:left w:val="single" w:color="auto" w:sz="4" w:space="0"/>
                    <w:bottom w:val="single" w:color="auto" w:sz="4" w:space="0"/>
                    <w:right w:val="single" w:color="auto" w:sz="4" w:space="0"/>
                  </w:tcBorders>
                  <w:vAlign w:val="center"/>
                </w:tcPr>
                <w:p w14:paraId="748D659E">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43" w:type="dxa"/>
                  <w:vMerge w:val="continue"/>
                  <w:tcBorders>
                    <w:left w:val="single" w:color="auto" w:sz="4" w:space="0"/>
                    <w:right w:val="single" w:color="auto" w:sz="4" w:space="0"/>
                  </w:tcBorders>
                  <w:vAlign w:val="center"/>
                </w:tcPr>
                <w:p w14:paraId="0F47082A">
                  <w:pPr>
                    <w:spacing w:line="240" w:lineRule="auto"/>
                    <w:jc w:val="center"/>
                    <w:rPr>
                      <w:rFonts w:hint="default" w:ascii="Times New Roman" w:hAnsi="Times New Roman" w:eastAsia="宋体" w:cs="Times New Roman"/>
                      <w:sz w:val="18"/>
                      <w:szCs w:val="18"/>
                      <w:lang w:val="en-US" w:eastAsia="zh-CN"/>
                    </w:rPr>
                  </w:pPr>
                </w:p>
              </w:tc>
              <w:tc>
                <w:tcPr>
                  <w:tcW w:w="793" w:type="dxa"/>
                  <w:tcBorders>
                    <w:left w:val="single" w:color="auto" w:sz="4" w:space="0"/>
                    <w:right w:val="single" w:color="auto" w:sz="4" w:space="0"/>
                  </w:tcBorders>
                  <w:vAlign w:val="center"/>
                </w:tcPr>
                <w:p w14:paraId="39733A3F">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577CAF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restart"/>
                  <w:tcBorders>
                    <w:left w:val="single" w:color="auto" w:sz="4" w:space="0"/>
                    <w:right w:val="single" w:color="auto" w:sz="4" w:space="0"/>
                  </w:tcBorders>
                  <w:vAlign w:val="center"/>
                </w:tcPr>
                <w:p w14:paraId="2A1E02B0">
                  <w:pPr>
                    <w:spacing w:line="240" w:lineRule="auto"/>
                    <w:jc w:val="center"/>
                    <w:rPr>
                      <w:rFonts w:hint="eastAsia" w:ascii="Times New Roman" w:hAnsi="Times New Roman" w:eastAsia="宋体" w:cs="Times New Roman"/>
                      <w:bCs/>
                      <w:sz w:val="18"/>
                      <w:szCs w:val="18"/>
                      <w:lang w:eastAsia="zh-CN"/>
                    </w:rPr>
                  </w:pPr>
                  <w:r>
                    <w:rPr>
                      <w:rFonts w:hint="eastAsia" w:cs="Times New Roman"/>
                      <w:bCs/>
                      <w:sz w:val="18"/>
                      <w:szCs w:val="18"/>
                      <w:lang w:eastAsia="zh-CN"/>
                    </w:rPr>
                    <w:t>以上工序同时生产时</w:t>
                  </w:r>
                </w:p>
              </w:tc>
              <w:tc>
                <w:tcPr>
                  <w:tcW w:w="821" w:type="dxa"/>
                  <w:tcBorders>
                    <w:left w:val="single" w:color="auto" w:sz="4" w:space="0"/>
                    <w:right w:val="single" w:color="auto" w:sz="4" w:space="0"/>
                  </w:tcBorders>
                  <w:vAlign w:val="center"/>
                </w:tcPr>
                <w:p w14:paraId="68EE4AC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24" w:type="dxa"/>
                  <w:tcBorders>
                    <w:left w:val="single" w:color="auto" w:sz="4" w:space="0"/>
                    <w:right w:val="single" w:color="auto" w:sz="4" w:space="0"/>
                  </w:tcBorders>
                  <w:vAlign w:val="center"/>
                </w:tcPr>
                <w:p w14:paraId="040966E0">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16E52975">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1.3481</w:t>
                  </w:r>
                </w:p>
              </w:tc>
              <w:tc>
                <w:tcPr>
                  <w:tcW w:w="946" w:type="dxa"/>
                  <w:tcBorders>
                    <w:top w:val="single" w:color="auto" w:sz="4" w:space="0"/>
                    <w:left w:val="single" w:color="auto" w:sz="4" w:space="0"/>
                    <w:bottom w:val="single" w:color="auto" w:sz="4" w:space="0"/>
                    <w:right w:val="single" w:color="auto" w:sz="4" w:space="0"/>
                  </w:tcBorders>
                  <w:vAlign w:val="center"/>
                </w:tcPr>
                <w:p w14:paraId="36CAE45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56.2</w:t>
                  </w:r>
                </w:p>
              </w:tc>
              <w:tc>
                <w:tcPr>
                  <w:tcW w:w="968" w:type="dxa"/>
                  <w:tcBorders>
                    <w:top w:val="single" w:color="auto" w:sz="4" w:space="0"/>
                    <w:left w:val="single" w:color="auto" w:sz="4" w:space="0"/>
                    <w:bottom w:val="single" w:color="auto" w:sz="4" w:space="0"/>
                    <w:right w:val="single" w:color="auto" w:sz="4" w:space="0"/>
                  </w:tcBorders>
                  <w:vAlign w:val="center"/>
                </w:tcPr>
                <w:p w14:paraId="16AA99F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1.1234</w:t>
                  </w:r>
                </w:p>
              </w:tc>
              <w:tc>
                <w:tcPr>
                  <w:tcW w:w="880" w:type="dxa"/>
                  <w:vMerge w:val="restart"/>
                  <w:tcBorders>
                    <w:top w:val="single" w:color="auto" w:sz="4" w:space="0"/>
                    <w:left w:val="single" w:color="auto" w:sz="4" w:space="0"/>
                    <w:right w:val="single" w:color="auto" w:sz="4" w:space="0"/>
                  </w:tcBorders>
                  <w:vAlign w:val="center"/>
                </w:tcPr>
                <w:p w14:paraId="230963D5">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2</w:t>
                  </w:r>
                  <w:r>
                    <w:rPr>
                      <w:rFonts w:hint="default" w:ascii="Times New Roman" w:hAnsi="Times New Roman" w:eastAsia="宋体" w:cs="Times New Roman"/>
                      <w:i w:val="0"/>
                      <w:iCs w:val="0"/>
                      <w:color w:val="000000"/>
                      <w:kern w:val="0"/>
                      <w:sz w:val="18"/>
                      <w:szCs w:val="18"/>
                      <w:u w:val="none"/>
                      <w:lang w:val="en-US" w:eastAsia="zh-CN" w:bidi="ar"/>
                    </w:rPr>
                    <w:t>0000</w:t>
                  </w:r>
                </w:p>
              </w:tc>
              <w:tc>
                <w:tcPr>
                  <w:tcW w:w="726" w:type="dxa"/>
                  <w:tcBorders>
                    <w:top w:val="single" w:color="auto" w:sz="4" w:space="0"/>
                    <w:left w:val="single" w:color="auto" w:sz="4" w:space="0"/>
                    <w:bottom w:val="single" w:color="auto" w:sz="4" w:space="0"/>
                    <w:right w:val="single" w:color="auto" w:sz="4" w:space="0"/>
                  </w:tcBorders>
                  <w:vAlign w:val="center"/>
                </w:tcPr>
                <w:p w14:paraId="4D44A1EA">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770" w:type="dxa"/>
                  <w:vMerge w:val="restart"/>
                  <w:tcBorders>
                    <w:top w:val="single" w:color="auto" w:sz="4" w:space="0"/>
                    <w:left w:val="single" w:color="auto" w:sz="4" w:space="0"/>
                    <w:right w:val="single" w:color="auto" w:sz="4" w:space="0"/>
                  </w:tcBorders>
                  <w:vAlign w:val="center"/>
                </w:tcPr>
                <w:p w14:paraId="1B398DBD">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550" w:type="dxa"/>
                  <w:tcBorders>
                    <w:top w:val="single" w:color="auto" w:sz="4" w:space="0"/>
                    <w:left w:val="single" w:color="auto" w:sz="4" w:space="0"/>
                    <w:bottom w:val="single" w:color="auto" w:sz="4" w:space="0"/>
                    <w:right w:val="single" w:color="auto" w:sz="4" w:space="0"/>
                  </w:tcBorders>
                  <w:vAlign w:val="center"/>
                </w:tcPr>
                <w:p w14:paraId="5A02C61A">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682" w:type="dxa"/>
                  <w:tcBorders>
                    <w:top w:val="single" w:color="auto" w:sz="4" w:space="0"/>
                    <w:left w:val="single" w:color="auto" w:sz="4" w:space="0"/>
                    <w:bottom w:val="single" w:color="auto" w:sz="4" w:space="0"/>
                    <w:right w:val="single" w:color="auto" w:sz="4" w:space="0"/>
                  </w:tcBorders>
                  <w:vAlign w:val="center"/>
                </w:tcPr>
                <w:p w14:paraId="780DF371">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是</w:t>
                  </w:r>
                </w:p>
              </w:tc>
              <w:tc>
                <w:tcPr>
                  <w:tcW w:w="877" w:type="dxa"/>
                  <w:tcBorders>
                    <w:top w:val="single" w:color="auto" w:sz="4" w:space="0"/>
                    <w:left w:val="single" w:color="auto" w:sz="4" w:space="0"/>
                    <w:bottom w:val="single" w:color="auto" w:sz="4" w:space="0"/>
                    <w:right w:val="single" w:color="auto" w:sz="4" w:space="0"/>
                  </w:tcBorders>
                  <w:vAlign w:val="center"/>
                </w:tcPr>
                <w:p w14:paraId="5268CA59">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0.3922</w:t>
                  </w:r>
                </w:p>
              </w:tc>
              <w:tc>
                <w:tcPr>
                  <w:tcW w:w="719" w:type="dxa"/>
                  <w:tcBorders>
                    <w:top w:val="single" w:color="auto" w:sz="4" w:space="0"/>
                    <w:left w:val="single" w:color="auto" w:sz="4" w:space="0"/>
                    <w:bottom w:val="single" w:color="auto" w:sz="4" w:space="0"/>
                    <w:right w:val="single" w:color="auto" w:sz="4" w:space="0"/>
                  </w:tcBorders>
                  <w:vAlign w:val="center"/>
                </w:tcPr>
                <w:p w14:paraId="3335829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16.3</w:t>
                  </w:r>
                </w:p>
              </w:tc>
              <w:tc>
                <w:tcPr>
                  <w:tcW w:w="741" w:type="dxa"/>
                  <w:tcBorders>
                    <w:top w:val="single" w:color="auto" w:sz="4" w:space="0"/>
                    <w:left w:val="single" w:color="auto" w:sz="4" w:space="0"/>
                    <w:bottom w:val="single" w:color="auto" w:sz="4" w:space="0"/>
                    <w:right w:val="single" w:color="auto" w:sz="4" w:space="0"/>
                  </w:tcBorders>
                  <w:vAlign w:val="center"/>
                </w:tcPr>
                <w:p w14:paraId="56CA043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0.3269</w:t>
                  </w:r>
                </w:p>
              </w:tc>
              <w:tc>
                <w:tcPr>
                  <w:tcW w:w="543" w:type="dxa"/>
                  <w:vMerge w:val="continue"/>
                  <w:tcBorders>
                    <w:left w:val="single" w:color="auto" w:sz="4" w:space="0"/>
                    <w:right w:val="single" w:color="auto" w:sz="4" w:space="0"/>
                  </w:tcBorders>
                  <w:vAlign w:val="center"/>
                </w:tcPr>
                <w:p w14:paraId="5FBDDAFB">
                  <w:pPr>
                    <w:spacing w:line="240" w:lineRule="auto"/>
                    <w:jc w:val="center"/>
                    <w:rPr>
                      <w:rFonts w:hint="default" w:ascii="Times New Roman" w:hAnsi="Times New Roman" w:eastAsia="宋体" w:cs="Times New Roman"/>
                      <w:sz w:val="18"/>
                      <w:szCs w:val="18"/>
                      <w:lang w:val="en-US" w:eastAsia="zh-CN"/>
                    </w:rPr>
                  </w:pPr>
                </w:p>
              </w:tc>
              <w:tc>
                <w:tcPr>
                  <w:tcW w:w="793" w:type="dxa"/>
                  <w:vMerge w:val="restart"/>
                  <w:tcBorders>
                    <w:left w:val="single" w:color="auto" w:sz="4" w:space="0"/>
                    <w:right w:val="single" w:color="auto" w:sz="4" w:space="0"/>
                  </w:tcBorders>
                  <w:vAlign w:val="center"/>
                </w:tcPr>
                <w:p w14:paraId="1E2B9B96">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4B2E9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18437BD6">
                  <w:pPr>
                    <w:spacing w:line="240" w:lineRule="auto"/>
                    <w:jc w:val="center"/>
                    <w:rPr>
                      <w:rFonts w:hint="eastAsia" w:cs="Times New Roman"/>
                      <w:bCs/>
                      <w:sz w:val="18"/>
                      <w:szCs w:val="18"/>
                      <w:lang w:eastAsia="zh-CN"/>
                    </w:rPr>
                  </w:pPr>
                </w:p>
              </w:tc>
              <w:tc>
                <w:tcPr>
                  <w:tcW w:w="821" w:type="dxa"/>
                  <w:tcBorders>
                    <w:left w:val="single" w:color="auto" w:sz="4" w:space="0"/>
                    <w:right w:val="single" w:color="auto" w:sz="4" w:space="0"/>
                  </w:tcBorders>
                  <w:vAlign w:val="center"/>
                </w:tcPr>
                <w:p w14:paraId="5E8A8585">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924" w:type="dxa"/>
                  <w:tcBorders>
                    <w:left w:val="single" w:color="auto" w:sz="4" w:space="0"/>
                    <w:right w:val="single" w:color="auto" w:sz="4" w:space="0"/>
                  </w:tcBorders>
                  <w:vAlign w:val="center"/>
                </w:tcPr>
                <w:p w14:paraId="2F233A94">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3508176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0.3902</w:t>
                  </w:r>
                </w:p>
              </w:tc>
              <w:tc>
                <w:tcPr>
                  <w:tcW w:w="946" w:type="dxa"/>
                  <w:tcBorders>
                    <w:top w:val="single" w:color="auto" w:sz="4" w:space="0"/>
                    <w:left w:val="single" w:color="auto" w:sz="4" w:space="0"/>
                    <w:bottom w:val="single" w:color="auto" w:sz="4" w:space="0"/>
                    <w:right w:val="single" w:color="auto" w:sz="4" w:space="0"/>
                  </w:tcBorders>
                  <w:vAlign w:val="center"/>
                </w:tcPr>
                <w:p w14:paraId="23F92A4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16.3</w:t>
                  </w:r>
                </w:p>
              </w:tc>
              <w:tc>
                <w:tcPr>
                  <w:tcW w:w="968" w:type="dxa"/>
                  <w:tcBorders>
                    <w:top w:val="single" w:color="auto" w:sz="4" w:space="0"/>
                    <w:left w:val="single" w:color="auto" w:sz="4" w:space="0"/>
                    <w:bottom w:val="single" w:color="auto" w:sz="4" w:space="0"/>
                    <w:right w:val="single" w:color="auto" w:sz="4" w:space="0"/>
                  </w:tcBorders>
                  <w:vAlign w:val="center"/>
                </w:tcPr>
                <w:p w14:paraId="614F8C8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0.3252</w:t>
                  </w:r>
                </w:p>
              </w:tc>
              <w:tc>
                <w:tcPr>
                  <w:tcW w:w="880" w:type="dxa"/>
                  <w:vMerge w:val="continue"/>
                  <w:tcBorders>
                    <w:left w:val="single" w:color="auto" w:sz="4" w:space="0"/>
                    <w:right w:val="single" w:color="auto" w:sz="4" w:space="0"/>
                  </w:tcBorders>
                  <w:vAlign w:val="center"/>
                </w:tcPr>
                <w:p w14:paraId="1E075D3C">
                  <w:pPr>
                    <w:jc w:val="center"/>
                    <w:rPr>
                      <w:rFonts w:hint="eastAsia" w:cs="Times New Roman"/>
                      <w:sz w:val="18"/>
                      <w:szCs w:val="18"/>
                      <w:lang w:val="en-US" w:eastAsia="zh-CN"/>
                    </w:rPr>
                  </w:pPr>
                </w:p>
              </w:tc>
              <w:tc>
                <w:tcPr>
                  <w:tcW w:w="726" w:type="dxa"/>
                  <w:tcBorders>
                    <w:top w:val="single" w:color="auto" w:sz="4" w:space="0"/>
                    <w:left w:val="single" w:color="auto" w:sz="4" w:space="0"/>
                    <w:bottom w:val="single" w:color="auto" w:sz="4" w:space="0"/>
                    <w:right w:val="single" w:color="auto" w:sz="4" w:space="0"/>
                  </w:tcBorders>
                  <w:vAlign w:val="center"/>
                </w:tcPr>
                <w:p w14:paraId="115A70F1">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770" w:type="dxa"/>
                  <w:vMerge w:val="continue"/>
                  <w:tcBorders>
                    <w:left w:val="single" w:color="auto" w:sz="4" w:space="0"/>
                    <w:bottom w:val="single" w:color="auto" w:sz="4" w:space="0"/>
                    <w:right w:val="single" w:color="auto" w:sz="4" w:space="0"/>
                  </w:tcBorders>
                  <w:vAlign w:val="center"/>
                </w:tcPr>
                <w:p w14:paraId="567E54EC">
                  <w:pPr>
                    <w:jc w:val="center"/>
                    <w:rPr>
                      <w:rFonts w:hint="eastAsia" w:ascii="Times New Roman" w:hAnsi="Times New Roman" w:eastAsia="宋体" w:cs="Times New Roman"/>
                      <w:sz w:val="18"/>
                      <w:szCs w:val="18"/>
                      <w:lang w:eastAsia="zh-CN"/>
                    </w:rPr>
                  </w:pPr>
                </w:p>
              </w:tc>
              <w:tc>
                <w:tcPr>
                  <w:tcW w:w="550" w:type="dxa"/>
                  <w:tcBorders>
                    <w:top w:val="single" w:color="auto" w:sz="4" w:space="0"/>
                    <w:left w:val="single" w:color="auto" w:sz="4" w:space="0"/>
                    <w:bottom w:val="single" w:color="auto" w:sz="4" w:space="0"/>
                    <w:right w:val="single" w:color="auto" w:sz="4" w:space="0"/>
                  </w:tcBorders>
                  <w:vAlign w:val="center"/>
                </w:tcPr>
                <w:p w14:paraId="4303D434">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682" w:type="dxa"/>
                  <w:tcBorders>
                    <w:top w:val="single" w:color="auto" w:sz="4" w:space="0"/>
                    <w:left w:val="single" w:color="auto" w:sz="4" w:space="0"/>
                    <w:bottom w:val="single" w:color="auto" w:sz="4" w:space="0"/>
                    <w:right w:val="single" w:color="auto" w:sz="4" w:space="0"/>
                  </w:tcBorders>
                  <w:vAlign w:val="center"/>
                </w:tcPr>
                <w:p w14:paraId="12BCAEC5">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877" w:type="dxa"/>
                  <w:tcBorders>
                    <w:top w:val="single" w:color="auto" w:sz="4" w:space="0"/>
                    <w:left w:val="single" w:color="auto" w:sz="4" w:space="0"/>
                    <w:bottom w:val="single" w:color="auto" w:sz="4" w:space="0"/>
                    <w:right w:val="single" w:color="auto" w:sz="4" w:space="0"/>
                  </w:tcBorders>
                  <w:vAlign w:val="center"/>
                </w:tcPr>
                <w:p w14:paraId="4AA22075">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0.1176</w:t>
                  </w:r>
                </w:p>
              </w:tc>
              <w:tc>
                <w:tcPr>
                  <w:tcW w:w="719" w:type="dxa"/>
                  <w:tcBorders>
                    <w:top w:val="single" w:color="auto" w:sz="4" w:space="0"/>
                    <w:left w:val="single" w:color="auto" w:sz="4" w:space="0"/>
                    <w:bottom w:val="single" w:color="auto" w:sz="4" w:space="0"/>
                    <w:right w:val="single" w:color="auto" w:sz="4" w:space="0"/>
                  </w:tcBorders>
                  <w:vAlign w:val="center"/>
                </w:tcPr>
                <w:p w14:paraId="3D69A0D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4.9</w:t>
                  </w:r>
                </w:p>
              </w:tc>
              <w:tc>
                <w:tcPr>
                  <w:tcW w:w="741" w:type="dxa"/>
                  <w:tcBorders>
                    <w:top w:val="single" w:color="auto" w:sz="4" w:space="0"/>
                    <w:left w:val="single" w:color="auto" w:sz="4" w:space="0"/>
                    <w:bottom w:val="single" w:color="auto" w:sz="4" w:space="0"/>
                    <w:right w:val="single" w:color="auto" w:sz="4" w:space="0"/>
                  </w:tcBorders>
                  <w:vAlign w:val="center"/>
                </w:tcPr>
                <w:p w14:paraId="544CC21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0.098</w:t>
                  </w:r>
                </w:p>
              </w:tc>
              <w:tc>
                <w:tcPr>
                  <w:tcW w:w="543" w:type="dxa"/>
                  <w:vMerge w:val="continue"/>
                  <w:tcBorders>
                    <w:left w:val="single" w:color="auto" w:sz="4" w:space="0"/>
                    <w:right w:val="single" w:color="auto" w:sz="4" w:space="0"/>
                  </w:tcBorders>
                  <w:vAlign w:val="center"/>
                </w:tcPr>
                <w:p w14:paraId="1ACC0995">
                  <w:pPr>
                    <w:spacing w:line="240" w:lineRule="auto"/>
                    <w:jc w:val="center"/>
                    <w:rPr>
                      <w:rFonts w:hint="eastAsia" w:cs="Times New Roman"/>
                      <w:sz w:val="18"/>
                      <w:szCs w:val="18"/>
                      <w:lang w:val="en-US" w:eastAsia="zh-CN"/>
                    </w:rPr>
                  </w:pPr>
                </w:p>
              </w:tc>
              <w:tc>
                <w:tcPr>
                  <w:tcW w:w="793" w:type="dxa"/>
                  <w:vMerge w:val="continue"/>
                  <w:tcBorders>
                    <w:left w:val="single" w:color="auto" w:sz="4" w:space="0"/>
                    <w:right w:val="single" w:color="auto" w:sz="4" w:space="0"/>
                  </w:tcBorders>
                  <w:vAlign w:val="center"/>
                </w:tcPr>
                <w:p w14:paraId="02F0EA5B">
                  <w:pPr>
                    <w:spacing w:line="240" w:lineRule="auto"/>
                    <w:jc w:val="center"/>
                    <w:rPr>
                      <w:rFonts w:hint="eastAsia" w:cs="Times New Roman"/>
                      <w:sz w:val="18"/>
                      <w:szCs w:val="18"/>
                      <w:lang w:val="en-US" w:eastAsia="zh-CN"/>
                    </w:rPr>
                  </w:pPr>
                </w:p>
              </w:tc>
            </w:tr>
            <w:tr w14:paraId="4CF19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5BFA8823">
                  <w:pPr>
                    <w:spacing w:line="240" w:lineRule="auto"/>
                    <w:jc w:val="center"/>
                    <w:rPr>
                      <w:rFonts w:hint="eastAsia" w:cs="Times New Roman"/>
                      <w:bCs/>
                      <w:sz w:val="18"/>
                      <w:szCs w:val="18"/>
                      <w:lang w:eastAsia="zh-CN"/>
                    </w:rPr>
                  </w:pPr>
                </w:p>
              </w:tc>
              <w:tc>
                <w:tcPr>
                  <w:tcW w:w="821" w:type="dxa"/>
                  <w:tcBorders>
                    <w:left w:val="single" w:color="auto" w:sz="4" w:space="0"/>
                    <w:right w:val="single" w:color="auto" w:sz="4" w:space="0"/>
                  </w:tcBorders>
                  <w:vAlign w:val="center"/>
                </w:tcPr>
                <w:p w14:paraId="63CFE3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颗粒物</w:t>
                  </w:r>
                </w:p>
              </w:tc>
              <w:tc>
                <w:tcPr>
                  <w:tcW w:w="924" w:type="dxa"/>
                  <w:tcBorders>
                    <w:left w:val="single" w:color="auto" w:sz="4" w:space="0"/>
                    <w:right w:val="single" w:color="auto" w:sz="4" w:space="0"/>
                  </w:tcBorders>
                  <w:vAlign w:val="center"/>
                </w:tcPr>
                <w:p w14:paraId="0FAF3C35">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2FC88AE7">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0.5031</w:t>
                  </w:r>
                </w:p>
              </w:tc>
              <w:tc>
                <w:tcPr>
                  <w:tcW w:w="946" w:type="dxa"/>
                  <w:tcBorders>
                    <w:top w:val="single" w:color="auto" w:sz="4" w:space="0"/>
                    <w:left w:val="single" w:color="auto" w:sz="4" w:space="0"/>
                    <w:bottom w:val="single" w:color="auto" w:sz="4" w:space="0"/>
                    <w:right w:val="single" w:color="auto" w:sz="4" w:space="0"/>
                  </w:tcBorders>
                  <w:vAlign w:val="center"/>
                </w:tcPr>
                <w:p w14:paraId="2E3E1A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21.0</w:t>
                  </w:r>
                </w:p>
              </w:tc>
              <w:tc>
                <w:tcPr>
                  <w:tcW w:w="968" w:type="dxa"/>
                  <w:tcBorders>
                    <w:top w:val="single" w:color="auto" w:sz="4" w:space="0"/>
                    <w:left w:val="single" w:color="auto" w:sz="4" w:space="0"/>
                    <w:bottom w:val="single" w:color="auto" w:sz="4" w:space="0"/>
                    <w:right w:val="single" w:color="auto" w:sz="4" w:space="0"/>
                  </w:tcBorders>
                  <w:vAlign w:val="center"/>
                </w:tcPr>
                <w:p w14:paraId="1C72907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0.4193</w:t>
                  </w:r>
                </w:p>
              </w:tc>
              <w:tc>
                <w:tcPr>
                  <w:tcW w:w="880" w:type="dxa"/>
                  <w:vMerge w:val="continue"/>
                  <w:tcBorders>
                    <w:left w:val="single" w:color="auto" w:sz="4" w:space="0"/>
                    <w:bottom w:val="single" w:color="auto" w:sz="4" w:space="0"/>
                    <w:right w:val="single" w:color="auto" w:sz="4" w:space="0"/>
                  </w:tcBorders>
                  <w:vAlign w:val="center"/>
                </w:tcPr>
                <w:p w14:paraId="00F9E4D4">
                  <w:pPr>
                    <w:jc w:val="center"/>
                    <w:rPr>
                      <w:rFonts w:hint="eastAsia" w:cs="Times New Roman"/>
                      <w:sz w:val="18"/>
                      <w:szCs w:val="18"/>
                      <w:lang w:val="en-US" w:eastAsia="zh-CN"/>
                    </w:rPr>
                  </w:pPr>
                </w:p>
              </w:tc>
              <w:tc>
                <w:tcPr>
                  <w:tcW w:w="726" w:type="dxa"/>
                  <w:tcBorders>
                    <w:top w:val="single" w:color="auto" w:sz="4" w:space="0"/>
                    <w:left w:val="single" w:color="auto" w:sz="4" w:space="0"/>
                    <w:bottom w:val="single" w:color="auto" w:sz="4" w:space="0"/>
                    <w:right w:val="single" w:color="auto" w:sz="4" w:space="0"/>
                  </w:tcBorders>
                  <w:vAlign w:val="center"/>
                </w:tcPr>
                <w:p w14:paraId="4ECA9E69">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bottom w:val="single" w:color="auto" w:sz="4" w:space="0"/>
                    <w:right w:val="single" w:color="auto" w:sz="4" w:space="0"/>
                  </w:tcBorders>
                  <w:vAlign w:val="center"/>
                </w:tcPr>
                <w:p w14:paraId="001252AC">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cs="宋体"/>
                      <w:i w:val="0"/>
                      <w:iCs w:val="0"/>
                      <w:color w:val="000000"/>
                      <w:kern w:val="0"/>
                      <w:sz w:val="18"/>
                      <w:szCs w:val="18"/>
                      <w:u w:val="none"/>
                      <w:lang w:val="en-US" w:eastAsia="zh-CN" w:bidi="ar"/>
                    </w:rPr>
                    <w:t>迷宫式过滤箱</w:t>
                  </w:r>
                  <w:r>
                    <w:rPr>
                      <w:rFonts w:hint="eastAsia" w:ascii="宋体" w:hAnsi="宋体" w:eastAsia="宋体" w:cs="宋体"/>
                      <w:i w:val="0"/>
                      <w:iCs w:val="0"/>
                      <w:color w:val="000000"/>
                      <w:kern w:val="0"/>
                      <w:sz w:val="18"/>
                      <w:szCs w:val="18"/>
                      <w:u w:val="none"/>
                      <w:lang w:val="en-US" w:eastAsia="zh-CN" w:bidi="ar"/>
                    </w:rPr>
                    <w:t>（吸附过滤）</w:t>
                  </w:r>
                </w:p>
              </w:tc>
              <w:tc>
                <w:tcPr>
                  <w:tcW w:w="550" w:type="dxa"/>
                  <w:tcBorders>
                    <w:top w:val="single" w:color="auto" w:sz="4" w:space="0"/>
                    <w:left w:val="single" w:color="auto" w:sz="4" w:space="0"/>
                    <w:bottom w:val="single" w:color="auto" w:sz="4" w:space="0"/>
                    <w:right w:val="single" w:color="auto" w:sz="4" w:space="0"/>
                  </w:tcBorders>
                  <w:vAlign w:val="center"/>
                </w:tcPr>
                <w:p w14:paraId="04A8AD8E">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w:t>
                  </w:r>
                  <w:r>
                    <w:rPr>
                      <w:rFonts w:hint="eastAsia" w:cs="Times New Roman"/>
                      <w:i w:val="0"/>
                      <w:iCs w:val="0"/>
                      <w:color w:val="000000"/>
                      <w:kern w:val="0"/>
                      <w:sz w:val="18"/>
                      <w:szCs w:val="18"/>
                      <w:u w:val="none"/>
                      <w:lang w:val="en-US" w:eastAsia="zh-CN" w:bidi="ar"/>
                    </w:rPr>
                    <w:t>0</w:t>
                  </w:r>
                </w:p>
              </w:tc>
              <w:tc>
                <w:tcPr>
                  <w:tcW w:w="682" w:type="dxa"/>
                  <w:tcBorders>
                    <w:top w:val="single" w:color="auto" w:sz="4" w:space="0"/>
                    <w:left w:val="single" w:color="auto" w:sz="4" w:space="0"/>
                    <w:bottom w:val="single" w:color="auto" w:sz="4" w:space="0"/>
                    <w:right w:val="single" w:color="auto" w:sz="4" w:space="0"/>
                  </w:tcBorders>
                  <w:vAlign w:val="center"/>
                </w:tcPr>
                <w:p w14:paraId="3BAA4936">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877" w:type="dxa"/>
                  <w:tcBorders>
                    <w:top w:val="single" w:color="auto" w:sz="4" w:space="0"/>
                    <w:left w:val="single" w:color="auto" w:sz="4" w:space="0"/>
                    <w:bottom w:val="single" w:color="auto" w:sz="4" w:space="0"/>
                    <w:right w:val="single" w:color="auto" w:sz="4" w:space="0"/>
                  </w:tcBorders>
                  <w:vAlign w:val="center"/>
                </w:tcPr>
                <w:p w14:paraId="621B7F96">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0.0503</w:t>
                  </w:r>
                </w:p>
              </w:tc>
              <w:tc>
                <w:tcPr>
                  <w:tcW w:w="719" w:type="dxa"/>
                  <w:tcBorders>
                    <w:top w:val="single" w:color="auto" w:sz="4" w:space="0"/>
                    <w:left w:val="single" w:color="auto" w:sz="4" w:space="0"/>
                    <w:bottom w:val="single" w:color="auto" w:sz="4" w:space="0"/>
                    <w:right w:val="single" w:color="auto" w:sz="4" w:space="0"/>
                  </w:tcBorders>
                  <w:vAlign w:val="center"/>
                </w:tcPr>
                <w:p w14:paraId="60DAF7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2.1</w:t>
                  </w:r>
                </w:p>
              </w:tc>
              <w:tc>
                <w:tcPr>
                  <w:tcW w:w="741" w:type="dxa"/>
                  <w:tcBorders>
                    <w:top w:val="single" w:color="auto" w:sz="4" w:space="0"/>
                    <w:left w:val="single" w:color="auto" w:sz="4" w:space="0"/>
                    <w:bottom w:val="single" w:color="auto" w:sz="4" w:space="0"/>
                    <w:right w:val="single" w:color="auto" w:sz="4" w:space="0"/>
                  </w:tcBorders>
                  <w:vAlign w:val="center"/>
                </w:tcPr>
                <w:p w14:paraId="415C3F2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0.0419</w:t>
                  </w:r>
                </w:p>
              </w:tc>
              <w:tc>
                <w:tcPr>
                  <w:tcW w:w="543" w:type="dxa"/>
                  <w:vMerge w:val="continue"/>
                  <w:tcBorders>
                    <w:left w:val="single" w:color="auto" w:sz="4" w:space="0"/>
                    <w:right w:val="single" w:color="auto" w:sz="4" w:space="0"/>
                  </w:tcBorders>
                  <w:vAlign w:val="center"/>
                </w:tcPr>
                <w:p w14:paraId="3CFEE7A9">
                  <w:pPr>
                    <w:spacing w:line="240" w:lineRule="auto"/>
                    <w:jc w:val="center"/>
                    <w:rPr>
                      <w:rFonts w:hint="eastAsia" w:cs="Times New Roman"/>
                      <w:sz w:val="18"/>
                      <w:szCs w:val="18"/>
                      <w:lang w:val="en-US" w:eastAsia="zh-CN"/>
                    </w:rPr>
                  </w:pPr>
                </w:p>
              </w:tc>
              <w:tc>
                <w:tcPr>
                  <w:tcW w:w="793" w:type="dxa"/>
                  <w:vMerge w:val="continue"/>
                  <w:tcBorders>
                    <w:left w:val="single" w:color="auto" w:sz="4" w:space="0"/>
                    <w:right w:val="single" w:color="auto" w:sz="4" w:space="0"/>
                  </w:tcBorders>
                  <w:vAlign w:val="center"/>
                </w:tcPr>
                <w:p w14:paraId="07F0A894">
                  <w:pPr>
                    <w:spacing w:line="240" w:lineRule="auto"/>
                    <w:jc w:val="center"/>
                    <w:rPr>
                      <w:rFonts w:hint="eastAsia" w:cs="Times New Roman"/>
                      <w:sz w:val="18"/>
                      <w:szCs w:val="18"/>
                      <w:lang w:val="en-US" w:eastAsia="zh-CN"/>
                    </w:rPr>
                  </w:pPr>
                </w:p>
              </w:tc>
            </w:tr>
            <w:tr w14:paraId="70F1D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4B3A5BE8">
                  <w:pPr>
                    <w:spacing w:line="240" w:lineRule="auto"/>
                    <w:jc w:val="center"/>
                    <w:rPr>
                      <w:rFonts w:hint="eastAsia" w:cs="Times New Roman"/>
                      <w:bCs/>
                      <w:sz w:val="18"/>
                      <w:szCs w:val="18"/>
                      <w:lang w:eastAsia="zh-CN"/>
                    </w:rPr>
                  </w:pPr>
                </w:p>
              </w:tc>
              <w:tc>
                <w:tcPr>
                  <w:tcW w:w="821" w:type="dxa"/>
                  <w:tcBorders>
                    <w:left w:val="single" w:color="auto" w:sz="4" w:space="0"/>
                    <w:right w:val="single" w:color="auto" w:sz="4" w:space="0"/>
                  </w:tcBorders>
                  <w:vAlign w:val="center"/>
                </w:tcPr>
                <w:p w14:paraId="622B23C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臭气浓度</w:t>
                  </w:r>
                </w:p>
              </w:tc>
              <w:tc>
                <w:tcPr>
                  <w:tcW w:w="924" w:type="dxa"/>
                  <w:tcBorders>
                    <w:left w:val="single" w:color="auto" w:sz="4" w:space="0"/>
                    <w:right w:val="single" w:color="auto" w:sz="4" w:space="0"/>
                  </w:tcBorders>
                  <w:vAlign w:val="center"/>
                </w:tcPr>
                <w:p w14:paraId="45504098">
                  <w:pPr>
                    <w:keepNext w:val="0"/>
                    <w:keepLines w:val="0"/>
                    <w:widowControl/>
                    <w:suppressLineNumbers w:val="0"/>
                    <w:ind w:left="0" w:leftChars="0" w:right="0" w:rightChars="0" w:firstLine="0" w:firstLineChars="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1078" w:type="dxa"/>
                  <w:tcBorders>
                    <w:top w:val="single" w:color="auto" w:sz="4" w:space="0"/>
                    <w:left w:val="single" w:color="auto" w:sz="4" w:space="0"/>
                    <w:bottom w:val="single" w:color="auto" w:sz="4" w:space="0"/>
                    <w:right w:val="single" w:color="auto" w:sz="4" w:space="0"/>
                  </w:tcBorders>
                  <w:vAlign w:val="center"/>
                </w:tcPr>
                <w:p w14:paraId="25089F8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7670ACF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5B69207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880" w:type="dxa"/>
                  <w:tcBorders>
                    <w:left w:val="single" w:color="auto" w:sz="4" w:space="0"/>
                    <w:bottom w:val="single" w:color="auto" w:sz="4" w:space="0"/>
                    <w:right w:val="single" w:color="auto" w:sz="4" w:space="0"/>
                  </w:tcBorders>
                  <w:vAlign w:val="center"/>
                </w:tcPr>
                <w:p w14:paraId="687400B7">
                  <w:pPr>
                    <w:jc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726" w:type="dxa"/>
                  <w:tcBorders>
                    <w:top w:val="single" w:color="auto" w:sz="4" w:space="0"/>
                    <w:left w:val="single" w:color="auto" w:sz="4" w:space="0"/>
                    <w:bottom w:val="single" w:color="auto" w:sz="4" w:space="0"/>
                    <w:right w:val="single" w:color="auto" w:sz="4" w:space="0"/>
                  </w:tcBorders>
                  <w:vAlign w:val="center"/>
                </w:tcPr>
                <w:p w14:paraId="094F0B9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bottom w:val="single" w:color="auto" w:sz="4" w:space="0"/>
                    <w:right w:val="single" w:color="auto" w:sz="4" w:space="0"/>
                  </w:tcBorders>
                  <w:vAlign w:val="center"/>
                </w:tcPr>
                <w:p w14:paraId="0DA0F46F">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50" w:type="dxa"/>
                  <w:tcBorders>
                    <w:top w:val="single" w:color="auto" w:sz="4" w:space="0"/>
                    <w:left w:val="single" w:color="auto" w:sz="4" w:space="0"/>
                    <w:bottom w:val="single" w:color="auto" w:sz="4" w:space="0"/>
                    <w:right w:val="single" w:color="auto" w:sz="4" w:space="0"/>
                  </w:tcBorders>
                  <w:vAlign w:val="center"/>
                </w:tcPr>
                <w:p w14:paraId="77E93BC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82" w:type="dxa"/>
                  <w:tcBorders>
                    <w:top w:val="single" w:color="auto" w:sz="4" w:space="0"/>
                    <w:left w:val="single" w:color="auto" w:sz="4" w:space="0"/>
                    <w:bottom w:val="single" w:color="auto" w:sz="4" w:space="0"/>
                    <w:right w:val="single" w:color="auto" w:sz="4" w:space="0"/>
                  </w:tcBorders>
                  <w:vAlign w:val="center"/>
                </w:tcPr>
                <w:p w14:paraId="29788503">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877" w:type="dxa"/>
                  <w:tcBorders>
                    <w:top w:val="single" w:color="auto" w:sz="4" w:space="0"/>
                    <w:left w:val="single" w:color="auto" w:sz="4" w:space="0"/>
                    <w:bottom w:val="single" w:color="auto" w:sz="4" w:space="0"/>
                    <w:right w:val="single" w:color="auto" w:sz="4" w:space="0"/>
                  </w:tcBorders>
                  <w:vAlign w:val="center"/>
                </w:tcPr>
                <w:p w14:paraId="5CDF842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微量</w:t>
                  </w:r>
                </w:p>
              </w:tc>
              <w:tc>
                <w:tcPr>
                  <w:tcW w:w="719" w:type="dxa"/>
                  <w:tcBorders>
                    <w:top w:val="single" w:color="auto" w:sz="4" w:space="0"/>
                    <w:left w:val="single" w:color="auto" w:sz="4" w:space="0"/>
                    <w:bottom w:val="single" w:color="auto" w:sz="4" w:space="0"/>
                    <w:right w:val="single" w:color="auto" w:sz="4" w:space="0"/>
                  </w:tcBorders>
                  <w:vAlign w:val="center"/>
                </w:tcPr>
                <w:p w14:paraId="7F5DE70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＜2000无量纲</w:t>
                  </w:r>
                </w:p>
              </w:tc>
              <w:tc>
                <w:tcPr>
                  <w:tcW w:w="741" w:type="dxa"/>
                  <w:tcBorders>
                    <w:top w:val="single" w:color="auto" w:sz="4" w:space="0"/>
                    <w:left w:val="single" w:color="auto" w:sz="4" w:space="0"/>
                    <w:bottom w:val="single" w:color="auto" w:sz="4" w:space="0"/>
                    <w:right w:val="single" w:color="auto" w:sz="4" w:space="0"/>
                  </w:tcBorders>
                  <w:vAlign w:val="center"/>
                </w:tcPr>
                <w:p w14:paraId="050B5577">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43" w:type="dxa"/>
                  <w:vMerge w:val="continue"/>
                  <w:tcBorders>
                    <w:left w:val="single" w:color="auto" w:sz="4" w:space="0"/>
                    <w:right w:val="single" w:color="auto" w:sz="4" w:space="0"/>
                  </w:tcBorders>
                  <w:vAlign w:val="center"/>
                </w:tcPr>
                <w:p w14:paraId="58F15A32">
                  <w:pPr>
                    <w:spacing w:line="240" w:lineRule="auto"/>
                    <w:jc w:val="center"/>
                    <w:rPr>
                      <w:rFonts w:hint="eastAsia" w:cs="Times New Roman"/>
                      <w:sz w:val="18"/>
                      <w:szCs w:val="18"/>
                      <w:lang w:val="en-US" w:eastAsia="zh-CN"/>
                    </w:rPr>
                  </w:pPr>
                </w:p>
              </w:tc>
              <w:tc>
                <w:tcPr>
                  <w:tcW w:w="793" w:type="dxa"/>
                  <w:vMerge w:val="continue"/>
                  <w:tcBorders>
                    <w:left w:val="single" w:color="auto" w:sz="4" w:space="0"/>
                    <w:right w:val="single" w:color="auto" w:sz="4" w:space="0"/>
                  </w:tcBorders>
                  <w:vAlign w:val="center"/>
                </w:tcPr>
                <w:p w14:paraId="5B8F1D1B">
                  <w:pPr>
                    <w:spacing w:line="240" w:lineRule="auto"/>
                    <w:jc w:val="center"/>
                    <w:rPr>
                      <w:rFonts w:hint="eastAsia" w:cs="Times New Roman"/>
                      <w:sz w:val="18"/>
                      <w:szCs w:val="18"/>
                      <w:lang w:val="en-US" w:eastAsia="zh-CN"/>
                    </w:rPr>
                  </w:pPr>
                </w:p>
              </w:tc>
            </w:tr>
            <w:tr w14:paraId="0DED4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0CE8DAF0">
                  <w:pPr>
                    <w:spacing w:line="240" w:lineRule="auto"/>
                    <w:jc w:val="center"/>
                    <w:rPr>
                      <w:rFonts w:hint="eastAsia" w:cs="Times New Roman"/>
                      <w:bCs/>
                      <w:sz w:val="18"/>
                      <w:szCs w:val="18"/>
                      <w:lang w:eastAsia="zh-CN"/>
                    </w:rPr>
                  </w:pPr>
                </w:p>
              </w:tc>
              <w:tc>
                <w:tcPr>
                  <w:tcW w:w="821" w:type="dxa"/>
                  <w:tcBorders>
                    <w:left w:val="single" w:color="auto" w:sz="4" w:space="0"/>
                    <w:right w:val="single" w:color="auto" w:sz="4" w:space="0"/>
                  </w:tcBorders>
                  <w:vAlign w:val="center"/>
                </w:tcPr>
                <w:p w14:paraId="6E04AD6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24" w:type="dxa"/>
                  <w:tcBorders>
                    <w:left w:val="single" w:color="auto" w:sz="4" w:space="0"/>
                    <w:right w:val="single" w:color="auto" w:sz="4" w:space="0"/>
                  </w:tcBorders>
                  <w:vAlign w:val="center"/>
                </w:tcPr>
                <w:p w14:paraId="6B588F73">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696CD741">
                  <w:pPr>
                    <w:keepNext w:val="0"/>
                    <w:keepLines w:val="0"/>
                    <w:widowControl/>
                    <w:suppressLineNumbers w:val="0"/>
                    <w:jc w:val="center"/>
                    <w:textAlignment w:val="center"/>
                    <w:rPr>
                      <w:rFonts w:hint="default" w:ascii="Times New Roman" w:hAnsi="Times New Roman"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w:t>
                  </w:r>
                  <w:r>
                    <w:rPr>
                      <w:rFonts w:hint="eastAsia" w:cs="Times New Roman"/>
                      <w:i w:val="0"/>
                      <w:iCs w:val="0"/>
                      <w:color w:val="000000"/>
                      <w:kern w:val="0"/>
                      <w:sz w:val="18"/>
                      <w:szCs w:val="18"/>
                      <w:u w:val="none"/>
                      <w:lang w:val="en-US" w:eastAsia="zh-CN" w:bidi="ar"/>
                    </w:rPr>
                    <w:t>701</w:t>
                  </w:r>
                </w:p>
              </w:tc>
              <w:tc>
                <w:tcPr>
                  <w:tcW w:w="946" w:type="dxa"/>
                  <w:tcBorders>
                    <w:top w:val="single" w:color="auto" w:sz="4" w:space="0"/>
                    <w:left w:val="single" w:color="auto" w:sz="4" w:space="0"/>
                    <w:bottom w:val="single" w:color="auto" w:sz="4" w:space="0"/>
                    <w:right w:val="single" w:color="auto" w:sz="4" w:space="0"/>
                  </w:tcBorders>
                  <w:vAlign w:val="center"/>
                </w:tcPr>
                <w:p w14:paraId="4B0C1021">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15C6C8C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0.058</w:t>
                  </w:r>
                  <w:r>
                    <w:rPr>
                      <w:rFonts w:hint="eastAsia" w:cs="Times New Roman"/>
                      <w:i w:val="0"/>
                      <w:iCs w:val="0"/>
                      <w:color w:val="000000"/>
                      <w:kern w:val="0"/>
                      <w:sz w:val="18"/>
                      <w:szCs w:val="18"/>
                      <w:u w:val="none"/>
                      <w:lang w:val="en-US" w:eastAsia="zh-CN" w:bidi="ar"/>
                    </w:rPr>
                    <w:t>4</w:t>
                  </w:r>
                </w:p>
              </w:tc>
              <w:tc>
                <w:tcPr>
                  <w:tcW w:w="880" w:type="dxa"/>
                  <w:tcBorders>
                    <w:top w:val="single" w:color="auto" w:sz="4" w:space="0"/>
                    <w:left w:val="single" w:color="auto" w:sz="4" w:space="0"/>
                    <w:bottom w:val="single" w:color="auto" w:sz="4" w:space="0"/>
                    <w:right w:val="single" w:color="auto" w:sz="4" w:space="0"/>
                  </w:tcBorders>
                  <w:vAlign w:val="center"/>
                </w:tcPr>
                <w:p w14:paraId="79772F49">
                  <w:pPr>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6662E7A4">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5A5EF397">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43164FEE">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39E7458F">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466FCE75">
                  <w:pPr>
                    <w:keepNext w:val="0"/>
                    <w:keepLines w:val="0"/>
                    <w:widowControl/>
                    <w:suppressLineNumbers w:val="0"/>
                    <w:jc w:val="center"/>
                    <w:textAlignment w:val="center"/>
                    <w:rPr>
                      <w:rFonts w:hint="default" w:ascii="Times New Roman" w:hAnsi="Times New Roman"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w:t>
                  </w:r>
                  <w:r>
                    <w:rPr>
                      <w:rFonts w:hint="eastAsia" w:cs="Times New Roman"/>
                      <w:i w:val="0"/>
                      <w:iCs w:val="0"/>
                      <w:color w:val="000000"/>
                      <w:kern w:val="0"/>
                      <w:sz w:val="18"/>
                      <w:szCs w:val="18"/>
                      <w:u w:val="none"/>
                      <w:lang w:val="en-US" w:eastAsia="zh-CN" w:bidi="ar"/>
                    </w:rPr>
                    <w:t>701</w:t>
                  </w:r>
                </w:p>
              </w:tc>
              <w:tc>
                <w:tcPr>
                  <w:tcW w:w="719" w:type="dxa"/>
                  <w:tcBorders>
                    <w:top w:val="single" w:color="auto" w:sz="4" w:space="0"/>
                    <w:left w:val="single" w:color="auto" w:sz="4" w:space="0"/>
                    <w:bottom w:val="single" w:color="auto" w:sz="4" w:space="0"/>
                    <w:right w:val="single" w:color="auto" w:sz="4" w:space="0"/>
                  </w:tcBorders>
                  <w:vAlign w:val="center"/>
                </w:tcPr>
                <w:p w14:paraId="70D3830E">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06F6F08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0.058</w:t>
                  </w:r>
                  <w:r>
                    <w:rPr>
                      <w:rFonts w:hint="eastAsia" w:cs="Times New Roman"/>
                      <w:i w:val="0"/>
                      <w:iCs w:val="0"/>
                      <w:color w:val="000000"/>
                      <w:kern w:val="0"/>
                      <w:sz w:val="18"/>
                      <w:szCs w:val="18"/>
                      <w:u w:val="none"/>
                      <w:lang w:val="en-US" w:eastAsia="zh-CN" w:bidi="ar"/>
                    </w:rPr>
                    <w:t>4</w:t>
                  </w:r>
                </w:p>
              </w:tc>
              <w:tc>
                <w:tcPr>
                  <w:tcW w:w="543" w:type="dxa"/>
                  <w:vMerge w:val="continue"/>
                  <w:tcBorders>
                    <w:left w:val="single" w:color="auto" w:sz="4" w:space="0"/>
                    <w:right w:val="single" w:color="auto" w:sz="4" w:space="0"/>
                  </w:tcBorders>
                  <w:vAlign w:val="center"/>
                </w:tcPr>
                <w:p w14:paraId="08580D63">
                  <w:pPr>
                    <w:spacing w:line="240" w:lineRule="auto"/>
                    <w:jc w:val="center"/>
                    <w:rPr>
                      <w:rFonts w:hint="eastAsia" w:cs="Times New Roman"/>
                      <w:sz w:val="18"/>
                      <w:szCs w:val="18"/>
                      <w:lang w:val="en-US" w:eastAsia="zh-CN"/>
                    </w:rPr>
                  </w:pPr>
                </w:p>
              </w:tc>
              <w:tc>
                <w:tcPr>
                  <w:tcW w:w="793" w:type="dxa"/>
                  <w:vMerge w:val="restart"/>
                  <w:tcBorders>
                    <w:left w:val="single" w:color="auto" w:sz="4" w:space="0"/>
                    <w:right w:val="single" w:color="auto" w:sz="4" w:space="0"/>
                  </w:tcBorders>
                  <w:vAlign w:val="center"/>
                </w:tcPr>
                <w:p w14:paraId="33BCB1C1">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2AF39F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63CDA04C">
                  <w:pPr>
                    <w:spacing w:line="240" w:lineRule="auto"/>
                    <w:jc w:val="center"/>
                    <w:rPr>
                      <w:rFonts w:hint="eastAsia" w:cs="Times New Roman"/>
                      <w:bCs/>
                      <w:sz w:val="18"/>
                      <w:szCs w:val="18"/>
                      <w:lang w:eastAsia="zh-CN"/>
                    </w:rPr>
                  </w:pPr>
                </w:p>
              </w:tc>
              <w:tc>
                <w:tcPr>
                  <w:tcW w:w="821" w:type="dxa"/>
                  <w:tcBorders>
                    <w:left w:val="single" w:color="auto" w:sz="4" w:space="0"/>
                    <w:right w:val="single" w:color="auto" w:sz="4" w:space="0"/>
                  </w:tcBorders>
                  <w:vAlign w:val="center"/>
                </w:tcPr>
                <w:p w14:paraId="1E6F037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924" w:type="dxa"/>
                  <w:tcBorders>
                    <w:left w:val="single" w:color="auto" w:sz="4" w:space="0"/>
                    <w:right w:val="single" w:color="auto" w:sz="4" w:space="0"/>
                  </w:tcBorders>
                  <w:vAlign w:val="center"/>
                </w:tcPr>
                <w:p w14:paraId="6F2092B2">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63768A39">
                  <w:pPr>
                    <w:keepNext w:val="0"/>
                    <w:keepLines w:val="0"/>
                    <w:widowControl/>
                    <w:suppressLineNumbers w:val="0"/>
                    <w:jc w:val="center"/>
                    <w:textAlignment w:val="center"/>
                    <w:rPr>
                      <w:rFonts w:hint="default" w:ascii="Times New Roman" w:hAnsi="Times New Roman"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0.043</w:t>
                  </w:r>
                  <w:r>
                    <w:rPr>
                      <w:rFonts w:hint="eastAsia" w:cs="Times New Roman"/>
                      <w:i w:val="0"/>
                      <w:iCs w:val="0"/>
                      <w:color w:val="000000"/>
                      <w:kern w:val="0"/>
                      <w:sz w:val="18"/>
                      <w:szCs w:val="18"/>
                      <w:u w:val="none"/>
                      <w:lang w:val="en-US" w:eastAsia="zh-CN" w:bidi="ar"/>
                    </w:rPr>
                    <w:t>1</w:t>
                  </w:r>
                </w:p>
              </w:tc>
              <w:tc>
                <w:tcPr>
                  <w:tcW w:w="946" w:type="dxa"/>
                  <w:tcBorders>
                    <w:top w:val="single" w:color="auto" w:sz="4" w:space="0"/>
                    <w:left w:val="single" w:color="auto" w:sz="4" w:space="0"/>
                    <w:bottom w:val="single" w:color="auto" w:sz="4" w:space="0"/>
                    <w:right w:val="single" w:color="auto" w:sz="4" w:space="0"/>
                  </w:tcBorders>
                  <w:vAlign w:val="center"/>
                </w:tcPr>
                <w:p w14:paraId="21C4B42F">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01314B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0.035</w:t>
                  </w:r>
                  <w:r>
                    <w:rPr>
                      <w:rFonts w:hint="eastAsia" w:cs="Times New Roman"/>
                      <w:i w:val="0"/>
                      <w:iCs w:val="0"/>
                      <w:color w:val="000000"/>
                      <w:kern w:val="0"/>
                      <w:sz w:val="18"/>
                      <w:szCs w:val="18"/>
                      <w:u w:val="none"/>
                      <w:lang w:val="en-US" w:eastAsia="zh-CN" w:bidi="ar"/>
                    </w:rPr>
                    <w:t>9</w:t>
                  </w:r>
                </w:p>
              </w:tc>
              <w:tc>
                <w:tcPr>
                  <w:tcW w:w="880" w:type="dxa"/>
                  <w:tcBorders>
                    <w:top w:val="single" w:color="auto" w:sz="4" w:space="0"/>
                    <w:left w:val="single" w:color="auto" w:sz="4" w:space="0"/>
                    <w:bottom w:val="single" w:color="auto" w:sz="4" w:space="0"/>
                    <w:right w:val="single" w:color="auto" w:sz="4" w:space="0"/>
                  </w:tcBorders>
                  <w:vAlign w:val="center"/>
                </w:tcPr>
                <w:p w14:paraId="74FE37E9">
                  <w:pPr>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566886AE">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058C2417">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491D05C9">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638C9F12">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054A16BC">
                  <w:pPr>
                    <w:keepNext w:val="0"/>
                    <w:keepLines w:val="0"/>
                    <w:widowControl/>
                    <w:suppressLineNumbers w:val="0"/>
                    <w:jc w:val="center"/>
                    <w:textAlignment w:val="center"/>
                    <w:rPr>
                      <w:rFonts w:hint="default" w:ascii="Times New Roman" w:hAnsi="Times New Roman"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0.043</w:t>
                  </w:r>
                  <w:r>
                    <w:rPr>
                      <w:rFonts w:hint="eastAsia" w:cs="Times New Roman"/>
                      <w:i w:val="0"/>
                      <w:iCs w:val="0"/>
                      <w:color w:val="000000"/>
                      <w:kern w:val="0"/>
                      <w:sz w:val="18"/>
                      <w:szCs w:val="18"/>
                      <w:u w:val="none"/>
                      <w:lang w:val="en-US" w:eastAsia="zh-CN" w:bidi="ar"/>
                    </w:rPr>
                    <w:t>1</w:t>
                  </w:r>
                </w:p>
              </w:tc>
              <w:tc>
                <w:tcPr>
                  <w:tcW w:w="719" w:type="dxa"/>
                  <w:tcBorders>
                    <w:top w:val="single" w:color="auto" w:sz="4" w:space="0"/>
                    <w:left w:val="single" w:color="auto" w:sz="4" w:space="0"/>
                    <w:bottom w:val="single" w:color="auto" w:sz="4" w:space="0"/>
                    <w:right w:val="single" w:color="auto" w:sz="4" w:space="0"/>
                  </w:tcBorders>
                  <w:vAlign w:val="center"/>
                </w:tcPr>
                <w:p w14:paraId="6755B0C5">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08DEC9F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0.035</w:t>
                  </w:r>
                  <w:r>
                    <w:rPr>
                      <w:rFonts w:hint="eastAsia" w:cs="Times New Roman"/>
                      <w:i w:val="0"/>
                      <w:iCs w:val="0"/>
                      <w:color w:val="000000"/>
                      <w:kern w:val="0"/>
                      <w:sz w:val="18"/>
                      <w:szCs w:val="18"/>
                      <w:u w:val="none"/>
                      <w:lang w:val="en-US" w:eastAsia="zh-CN" w:bidi="ar"/>
                    </w:rPr>
                    <w:t>9</w:t>
                  </w:r>
                </w:p>
              </w:tc>
              <w:tc>
                <w:tcPr>
                  <w:tcW w:w="543" w:type="dxa"/>
                  <w:vMerge w:val="continue"/>
                  <w:tcBorders>
                    <w:left w:val="single" w:color="auto" w:sz="4" w:space="0"/>
                    <w:right w:val="single" w:color="auto" w:sz="4" w:space="0"/>
                  </w:tcBorders>
                  <w:vAlign w:val="center"/>
                </w:tcPr>
                <w:p w14:paraId="642EEFCC">
                  <w:pPr>
                    <w:spacing w:line="240" w:lineRule="auto"/>
                    <w:jc w:val="center"/>
                    <w:rPr>
                      <w:rFonts w:hint="eastAsia" w:cs="Times New Roman"/>
                      <w:sz w:val="18"/>
                      <w:szCs w:val="18"/>
                      <w:lang w:val="en-US" w:eastAsia="zh-CN"/>
                    </w:rPr>
                  </w:pPr>
                </w:p>
              </w:tc>
              <w:tc>
                <w:tcPr>
                  <w:tcW w:w="793" w:type="dxa"/>
                  <w:vMerge w:val="continue"/>
                  <w:tcBorders>
                    <w:left w:val="single" w:color="auto" w:sz="4" w:space="0"/>
                    <w:right w:val="single" w:color="auto" w:sz="4" w:space="0"/>
                  </w:tcBorders>
                  <w:vAlign w:val="center"/>
                </w:tcPr>
                <w:p w14:paraId="446D4176">
                  <w:pPr>
                    <w:spacing w:line="240" w:lineRule="auto"/>
                    <w:jc w:val="center"/>
                    <w:rPr>
                      <w:rFonts w:hint="eastAsia" w:cs="Times New Roman"/>
                      <w:sz w:val="18"/>
                      <w:szCs w:val="18"/>
                      <w:lang w:val="en-US" w:eastAsia="zh-CN"/>
                    </w:rPr>
                  </w:pPr>
                </w:p>
              </w:tc>
            </w:tr>
            <w:tr w14:paraId="43B089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51885585">
                  <w:pPr>
                    <w:spacing w:line="240" w:lineRule="auto"/>
                    <w:jc w:val="center"/>
                    <w:rPr>
                      <w:rFonts w:hint="eastAsia" w:cs="Times New Roman"/>
                      <w:bCs/>
                      <w:sz w:val="18"/>
                      <w:szCs w:val="18"/>
                      <w:lang w:eastAsia="zh-CN"/>
                    </w:rPr>
                  </w:pPr>
                </w:p>
              </w:tc>
              <w:tc>
                <w:tcPr>
                  <w:tcW w:w="821" w:type="dxa"/>
                  <w:tcBorders>
                    <w:left w:val="single" w:color="auto" w:sz="4" w:space="0"/>
                    <w:right w:val="single" w:color="auto" w:sz="4" w:space="0"/>
                  </w:tcBorders>
                  <w:shd w:val="clear" w:color="auto" w:fill="auto"/>
                  <w:vAlign w:val="center"/>
                </w:tcPr>
                <w:p w14:paraId="028A8FA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sz w:val="18"/>
                      <w:szCs w:val="18"/>
                      <w:vertAlign w:val="baseline"/>
                      <w:lang w:val="en-US" w:eastAsia="zh-CN"/>
                    </w:rPr>
                    <w:t>臭气浓度</w:t>
                  </w:r>
                </w:p>
              </w:tc>
              <w:tc>
                <w:tcPr>
                  <w:tcW w:w="924" w:type="dxa"/>
                  <w:tcBorders>
                    <w:left w:val="single" w:color="auto" w:sz="4" w:space="0"/>
                    <w:right w:val="single" w:color="auto" w:sz="4" w:space="0"/>
                  </w:tcBorders>
                  <w:vAlign w:val="center"/>
                </w:tcPr>
                <w:p w14:paraId="4C22DC65">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1078" w:type="dxa"/>
                  <w:tcBorders>
                    <w:top w:val="single" w:color="auto" w:sz="4" w:space="0"/>
                    <w:left w:val="single" w:color="auto" w:sz="4" w:space="0"/>
                    <w:bottom w:val="single" w:color="auto" w:sz="4" w:space="0"/>
                    <w:right w:val="single" w:color="auto" w:sz="4" w:space="0"/>
                  </w:tcBorders>
                  <w:vAlign w:val="center"/>
                </w:tcPr>
                <w:p w14:paraId="4633AF0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60A6DDA2">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1F6A9F9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17F0528E">
                  <w:pPr>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68390D33">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2E04D251">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50" w:type="dxa"/>
                  <w:tcBorders>
                    <w:top w:val="single" w:color="auto" w:sz="4" w:space="0"/>
                    <w:left w:val="single" w:color="auto" w:sz="4" w:space="0"/>
                    <w:bottom w:val="single" w:color="auto" w:sz="4" w:space="0"/>
                    <w:right w:val="single" w:color="auto" w:sz="4" w:space="0"/>
                  </w:tcBorders>
                  <w:vAlign w:val="center"/>
                </w:tcPr>
                <w:p w14:paraId="1D26F30C">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7848C67B">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877" w:type="dxa"/>
                  <w:tcBorders>
                    <w:top w:val="single" w:color="auto" w:sz="4" w:space="0"/>
                    <w:left w:val="single" w:color="auto" w:sz="4" w:space="0"/>
                    <w:bottom w:val="single" w:color="auto" w:sz="4" w:space="0"/>
                    <w:right w:val="single" w:color="auto" w:sz="4" w:space="0"/>
                  </w:tcBorders>
                  <w:vAlign w:val="center"/>
                </w:tcPr>
                <w:p w14:paraId="33CB7F9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19" w:type="dxa"/>
                  <w:tcBorders>
                    <w:top w:val="single" w:color="auto" w:sz="4" w:space="0"/>
                    <w:left w:val="single" w:color="auto" w:sz="4" w:space="0"/>
                    <w:bottom w:val="single" w:color="auto" w:sz="4" w:space="0"/>
                    <w:right w:val="single" w:color="auto" w:sz="4" w:space="0"/>
                  </w:tcBorders>
                  <w:vAlign w:val="center"/>
                </w:tcPr>
                <w:p w14:paraId="0F014BAD">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＜20无量纲</w:t>
                  </w:r>
                </w:p>
              </w:tc>
              <w:tc>
                <w:tcPr>
                  <w:tcW w:w="741" w:type="dxa"/>
                  <w:tcBorders>
                    <w:top w:val="single" w:color="auto" w:sz="4" w:space="0"/>
                    <w:left w:val="single" w:color="auto" w:sz="4" w:space="0"/>
                    <w:bottom w:val="single" w:color="auto" w:sz="4" w:space="0"/>
                    <w:right w:val="single" w:color="auto" w:sz="4" w:space="0"/>
                  </w:tcBorders>
                  <w:vAlign w:val="center"/>
                </w:tcPr>
                <w:p w14:paraId="66C6AC1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43" w:type="dxa"/>
                  <w:tcBorders>
                    <w:left w:val="single" w:color="auto" w:sz="4" w:space="0"/>
                    <w:right w:val="single" w:color="auto" w:sz="4" w:space="0"/>
                  </w:tcBorders>
                  <w:vAlign w:val="center"/>
                </w:tcPr>
                <w:p w14:paraId="1005CF6A">
                  <w:pPr>
                    <w:spacing w:line="240" w:lineRule="auto"/>
                    <w:jc w:val="center"/>
                    <w:rPr>
                      <w:rFonts w:hint="eastAsia" w:cs="Times New Roman"/>
                      <w:sz w:val="18"/>
                      <w:szCs w:val="18"/>
                      <w:lang w:val="en-US" w:eastAsia="zh-CN"/>
                    </w:rPr>
                  </w:pPr>
                </w:p>
              </w:tc>
              <w:tc>
                <w:tcPr>
                  <w:tcW w:w="793" w:type="dxa"/>
                  <w:vMerge w:val="continue"/>
                  <w:tcBorders>
                    <w:left w:val="single" w:color="auto" w:sz="4" w:space="0"/>
                    <w:right w:val="single" w:color="auto" w:sz="4" w:space="0"/>
                  </w:tcBorders>
                  <w:vAlign w:val="center"/>
                </w:tcPr>
                <w:p w14:paraId="08781014">
                  <w:pPr>
                    <w:spacing w:line="240" w:lineRule="auto"/>
                    <w:jc w:val="center"/>
                    <w:rPr>
                      <w:rFonts w:hint="eastAsia" w:cs="Times New Roman"/>
                      <w:sz w:val="18"/>
                      <w:szCs w:val="18"/>
                      <w:lang w:val="en-US" w:eastAsia="zh-CN"/>
                    </w:rPr>
                  </w:pPr>
                </w:p>
              </w:tc>
            </w:tr>
            <w:tr w14:paraId="361759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restart"/>
                  <w:tcBorders>
                    <w:left w:val="single" w:color="auto" w:sz="4" w:space="0"/>
                    <w:right w:val="single" w:color="auto" w:sz="4" w:space="0"/>
                  </w:tcBorders>
                  <w:vAlign w:val="center"/>
                </w:tcPr>
                <w:p w14:paraId="7B1F0255">
                  <w:pPr>
                    <w:spacing w:line="240" w:lineRule="auto"/>
                    <w:jc w:val="center"/>
                    <w:rPr>
                      <w:rFonts w:hint="eastAsia" w:cs="Times New Roman"/>
                      <w:bCs/>
                      <w:sz w:val="18"/>
                      <w:szCs w:val="18"/>
                      <w:lang w:eastAsia="zh-CN"/>
                    </w:rPr>
                  </w:pPr>
                  <w:r>
                    <w:rPr>
                      <w:rFonts w:hint="eastAsia" w:cs="Times New Roman"/>
                      <w:sz w:val="18"/>
                      <w:szCs w:val="18"/>
                      <w:lang w:val="en-US" w:eastAsia="zh-CN"/>
                    </w:rPr>
                    <w:t>静电喷塑</w:t>
                  </w:r>
                </w:p>
              </w:tc>
              <w:tc>
                <w:tcPr>
                  <w:tcW w:w="821" w:type="dxa"/>
                  <w:vMerge w:val="restart"/>
                  <w:tcBorders>
                    <w:left w:val="single" w:color="auto" w:sz="4" w:space="0"/>
                    <w:right w:val="single" w:color="auto" w:sz="4" w:space="0"/>
                  </w:tcBorders>
                  <w:vAlign w:val="center"/>
                </w:tcPr>
                <w:p w14:paraId="4FFD686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颗粒物</w:t>
                  </w:r>
                </w:p>
              </w:tc>
              <w:tc>
                <w:tcPr>
                  <w:tcW w:w="924" w:type="dxa"/>
                  <w:vMerge w:val="restart"/>
                  <w:tcBorders>
                    <w:left w:val="single" w:color="auto" w:sz="4" w:space="0"/>
                    <w:right w:val="single" w:color="auto" w:sz="4" w:space="0"/>
                  </w:tcBorders>
                  <w:vAlign w:val="center"/>
                </w:tcPr>
                <w:p w14:paraId="1EC95B77">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ascii="Times New Roman" w:hAnsi="Times New Roman" w:cs="Times New Roman"/>
                      <w:sz w:val="18"/>
                      <w:szCs w:val="18"/>
                      <w:vertAlign w:val="baseline"/>
                      <w:lang w:val="en-US" w:eastAsia="zh-CN"/>
                    </w:rPr>
                    <w:t>1.494</w:t>
                  </w:r>
                </w:p>
              </w:tc>
              <w:tc>
                <w:tcPr>
                  <w:tcW w:w="1078" w:type="dxa"/>
                  <w:tcBorders>
                    <w:top w:val="single" w:color="auto" w:sz="4" w:space="0"/>
                    <w:left w:val="single" w:color="auto" w:sz="4" w:space="0"/>
                    <w:bottom w:val="single" w:color="auto" w:sz="4" w:space="0"/>
                    <w:right w:val="single" w:color="auto" w:sz="4" w:space="0"/>
                  </w:tcBorders>
                  <w:vAlign w:val="center"/>
                </w:tcPr>
                <w:p w14:paraId="03845BD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sz w:val="18"/>
                      <w:szCs w:val="18"/>
                      <w:vertAlign w:val="baseline"/>
                      <w:lang w:val="en-US" w:eastAsia="zh-CN"/>
                    </w:rPr>
                    <w:t>1.345</w:t>
                  </w:r>
                </w:p>
              </w:tc>
              <w:tc>
                <w:tcPr>
                  <w:tcW w:w="946" w:type="dxa"/>
                  <w:tcBorders>
                    <w:top w:val="single" w:color="auto" w:sz="4" w:space="0"/>
                    <w:left w:val="single" w:color="auto" w:sz="4" w:space="0"/>
                    <w:bottom w:val="single" w:color="auto" w:sz="4" w:space="0"/>
                    <w:right w:val="single" w:color="auto" w:sz="4" w:space="0"/>
                  </w:tcBorders>
                  <w:vAlign w:val="center"/>
                </w:tcPr>
                <w:p w14:paraId="686A310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sz w:val="18"/>
                      <w:szCs w:val="18"/>
                      <w:lang w:val="en-US" w:eastAsia="zh-CN"/>
                    </w:rPr>
                    <w:t>186.8</w:t>
                  </w:r>
                </w:p>
              </w:tc>
              <w:tc>
                <w:tcPr>
                  <w:tcW w:w="968" w:type="dxa"/>
                  <w:tcBorders>
                    <w:top w:val="single" w:color="auto" w:sz="4" w:space="0"/>
                    <w:left w:val="single" w:color="auto" w:sz="4" w:space="0"/>
                    <w:bottom w:val="single" w:color="auto" w:sz="4" w:space="0"/>
                    <w:right w:val="single" w:color="auto" w:sz="4" w:space="0"/>
                  </w:tcBorders>
                  <w:vAlign w:val="center"/>
                </w:tcPr>
                <w:p w14:paraId="5C8692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sz w:val="18"/>
                      <w:szCs w:val="18"/>
                      <w:lang w:val="en-US" w:eastAsia="zh-CN"/>
                    </w:rPr>
                    <w:t>1.1208</w:t>
                  </w:r>
                </w:p>
              </w:tc>
              <w:tc>
                <w:tcPr>
                  <w:tcW w:w="880" w:type="dxa"/>
                  <w:tcBorders>
                    <w:top w:val="single" w:color="auto" w:sz="4" w:space="0"/>
                    <w:left w:val="single" w:color="auto" w:sz="4" w:space="0"/>
                    <w:bottom w:val="single" w:color="auto" w:sz="4" w:space="0"/>
                    <w:right w:val="single" w:color="auto" w:sz="4" w:space="0"/>
                  </w:tcBorders>
                  <w:vAlign w:val="center"/>
                </w:tcPr>
                <w:p w14:paraId="214417B6">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6000</w:t>
                  </w:r>
                </w:p>
              </w:tc>
              <w:tc>
                <w:tcPr>
                  <w:tcW w:w="726" w:type="dxa"/>
                  <w:tcBorders>
                    <w:top w:val="single" w:color="auto" w:sz="4" w:space="0"/>
                    <w:left w:val="single" w:color="auto" w:sz="4" w:space="0"/>
                    <w:bottom w:val="single" w:color="auto" w:sz="4" w:space="0"/>
                    <w:right w:val="single" w:color="auto" w:sz="4" w:space="0"/>
                  </w:tcBorders>
                  <w:vAlign w:val="center"/>
                </w:tcPr>
                <w:p w14:paraId="44C995B6">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9</w:t>
                  </w:r>
                  <w:r>
                    <w:rPr>
                      <w:rFonts w:hint="eastAsia" w:ascii="Times New Roman" w:hAnsi="Times New Roman" w:cs="Times New Roman"/>
                      <w:sz w:val="18"/>
                      <w:szCs w:val="18"/>
                      <w:lang w:val="en-US" w:eastAsia="zh-CN"/>
                    </w:rPr>
                    <w:t>0</w:t>
                  </w:r>
                </w:p>
              </w:tc>
              <w:tc>
                <w:tcPr>
                  <w:tcW w:w="770" w:type="dxa"/>
                  <w:tcBorders>
                    <w:top w:val="single" w:color="auto" w:sz="4" w:space="0"/>
                    <w:left w:val="single" w:color="auto" w:sz="4" w:space="0"/>
                    <w:bottom w:val="single" w:color="auto" w:sz="4" w:space="0"/>
                    <w:right w:val="single" w:color="auto" w:sz="4" w:space="0"/>
                  </w:tcBorders>
                  <w:vAlign w:val="center"/>
                </w:tcPr>
                <w:p w14:paraId="542DDCB3">
                  <w:pPr>
                    <w:spacing w:line="240" w:lineRule="auto"/>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滤筒除尘</w:t>
                  </w:r>
                </w:p>
              </w:tc>
              <w:tc>
                <w:tcPr>
                  <w:tcW w:w="550" w:type="dxa"/>
                  <w:tcBorders>
                    <w:top w:val="single" w:color="auto" w:sz="4" w:space="0"/>
                    <w:left w:val="single" w:color="auto" w:sz="4" w:space="0"/>
                    <w:bottom w:val="single" w:color="auto" w:sz="4" w:space="0"/>
                    <w:right w:val="single" w:color="auto" w:sz="4" w:space="0"/>
                  </w:tcBorders>
                  <w:vAlign w:val="center"/>
                </w:tcPr>
                <w:p w14:paraId="5F8867DB">
                  <w:pPr>
                    <w:spacing w:line="240" w:lineRule="auto"/>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95</w:t>
                  </w:r>
                </w:p>
              </w:tc>
              <w:tc>
                <w:tcPr>
                  <w:tcW w:w="682" w:type="dxa"/>
                  <w:tcBorders>
                    <w:top w:val="single" w:color="auto" w:sz="4" w:space="0"/>
                    <w:left w:val="single" w:color="auto" w:sz="4" w:space="0"/>
                    <w:bottom w:val="single" w:color="auto" w:sz="4" w:space="0"/>
                    <w:right w:val="single" w:color="auto" w:sz="4" w:space="0"/>
                  </w:tcBorders>
                  <w:vAlign w:val="center"/>
                </w:tcPr>
                <w:p w14:paraId="6BF4739B">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877" w:type="dxa"/>
                  <w:tcBorders>
                    <w:top w:val="single" w:color="auto" w:sz="4" w:space="0"/>
                    <w:left w:val="single" w:color="auto" w:sz="4" w:space="0"/>
                    <w:bottom w:val="single" w:color="auto" w:sz="4" w:space="0"/>
                    <w:right w:val="single" w:color="auto" w:sz="4" w:space="0"/>
                  </w:tcBorders>
                  <w:vAlign w:val="center"/>
                </w:tcPr>
                <w:p w14:paraId="01AA8EA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kern w:val="0"/>
                      <w:sz w:val="18"/>
                      <w:szCs w:val="18"/>
                      <w:lang w:val="en-US" w:eastAsia="zh-CN"/>
                    </w:rPr>
                    <w:t>0.067</w:t>
                  </w:r>
                </w:p>
              </w:tc>
              <w:tc>
                <w:tcPr>
                  <w:tcW w:w="719" w:type="dxa"/>
                  <w:tcBorders>
                    <w:top w:val="single" w:color="auto" w:sz="4" w:space="0"/>
                    <w:left w:val="single" w:color="auto" w:sz="4" w:space="0"/>
                    <w:bottom w:val="single" w:color="auto" w:sz="4" w:space="0"/>
                    <w:right w:val="single" w:color="auto" w:sz="4" w:space="0"/>
                  </w:tcBorders>
                  <w:vAlign w:val="center"/>
                </w:tcPr>
                <w:p w14:paraId="7E51DCD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sz w:val="18"/>
                      <w:szCs w:val="18"/>
                      <w:lang w:val="en-US" w:eastAsia="zh-CN"/>
                    </w:rPr>
                    <w:t>9.3</w:t>
                  </w:r>
                </w:p>
              </w:tc>
              <w:tc>
                <w:tcPr>
                  <w:tcW w:w="741" w:type="dxa"/>
                  <w:tcBorders>
                    <w:top w:val="single" w:color="auto" w:sz="4" w:space="0"/>
                    <w:left w:val="single" w:color="auto" w:sz="4" w:space="0"/>
                    <w:bottom w:val="single" w:color="auto" w:sz="4" w:space="0"/>
                    <w:right w:val="single" w:color="auto" w:sz="4" w:space="0"/>
                  </w:tcBorders>
                  <w:vAlign w:val="center"/>
                </w:tcPr>
                <w:p w14:paraId="60C712D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sz w:val="18"/>
                      <w:szCs w:val="18"/>
                      <w:lang w:val="en-US" w:eastAsia="zh-CN"/>
                    </w:rPr>
                    <w:t>0.0558</w:t>
                  </w:r>
                </w:p>
              </w:tc>
              <w:tc>
                <w:tcPr>
                  <w:tcW w:w="543" w:type="dxa"/>
                  <w:vMerge w:val="restart"/>
                  <w:tcBorders>
                    <w:left w:val="single" w:color="auto" w:sz="4" w:space="0"/>
                    <w:right w:val="single" w:color="auto" w:sz="4" w:space="0"/>
                  </w:tcBorders>
                  <w:vAlign w:val="center"/>
                </w:tcPr>
                <w:p w14:paraId="16DADE64">
                  <w:pPr>
                    <w:spacing w:line="240" w:lineRule="auto"/>
                    <w:jc w:val="center"/>
                    <w:rPr>
                      <w:rFonts w:hint="default" w:cs="Times New Roman"/>
                      <w:sz w:val="18"/>
                      <w:szCs w:val="18"/>
                      <w:lang w:val="en-US" w:eastAsia="zh-CN"/>
                    </w:rPr>
                  </w:pPr>
                  <w:r>
                    <w:rPr>
                      <w:rFonts w:hint="eastAsia" w:cs="Times New Roman"/>
                      <w:sz w:val="18"/>
                      <w:szCs w:val="18"/>
                      <w:lang w:val="en-US" w:eastAsia="zh-CN"/>
                    </w:rPr>
                    <w:t>1200</w:t>
                  </w:r>
                </w:p>
              </w:tc>
              <w:tc>
                <w:tcPr>
                  <w:tcW w:w="793" w:type="dxa"/>
                  <w:tcBorders>
                    <w:left w:val="single" w:color="auto" w:sz="4" w:space="0"/>
                    <w:right w:val="single" w:color="auto" w:sz="4" w:space="0"/>
                  </w:tcBorders>
                  <w:vAlign w:val="center"/>
                </w:tcPr>
                <w:p w14:paraId="2129A4EC">
                  <w:pPr>
                    <w:spacing w:line="240" w:lineRule="auto"/>
                    <w:jc w:val="center"/>
                    <w:rPr>
                      <w:rFonts w:hint="default"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02</w:t>
                  </w:r>
                </w:p>
              </w:tc>
            </w:tr>
            <w:tr w14:paraId="1400E5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5F4882B5">
                  <w:pPr>
                    <w:spacing w:line="240" w:lineRule="auto"/>
                    <w:jc w:val="center"/>
                    <w:rPr>
                      <w:rFonts w:hint="eastAsia" w:cs="Times New Roman"/>
                      <w:bCs/>
                      <w:sz w:val="18"/>
                      <w:szCs w:val="18"/>
                      <w:lang w:eastAsia="zh-CN"/>
                    </w:rPr>
                  </w:pPr>
                </w:p>
              </w:tc>
              <w:tc>
                <w:tcPr>
                  <w:tcW w:w="821" w:type="dxa"/>
                  <w:vMerge w:val="continue"/>
                  <w:tcBorders>
                    <w:left w:val="single" w:color="auto" w:sz="4" w:space="0"/>
                    <w:right w:val="single" w:color="auto" w:sz="4" w:space="0"/>
                  </w:tcBorders>
                  <w:vAlign w:val="center"/>
                </w:tcPr>
                <w:p w14:paraId="7AE1E28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p>
              </w:tc>
              <w:tc>
                <w:tcPr>
                  <w:tcW w:w="924" w:type="dxa"/>
                  <w:vMerge w:val="continue"/>
                  <w:tcBorders>
                    <w:left w:val="single" w:color="auto" w:sz="4" w:space="0"/>
                    <w:right w:val="single" w:color="auto" w:sz="4" w:space="0"/>
                  </w:tcBorders>
                  <w:vAlign w:val="center"/>
                </w:tcPr>
                <w:p w14:paraId="6F9675AE">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1078" w:type="dxa"/>
                  <w:tcBorders>
                    <w:top w:val="single" w:color="auto" w:sz="4" w:space="0"/>
                    <w:left w:val="single" w:color="auto" w:sz="4" w:space="0"/>
                    <w:bottom w:val="single" w:color="auto" w:sz="4" w:space="0"/>
                    <w:right w:val="single" w:color="auto" w:sz="4" w:space="0"/>
                  </w:tcBorders>
                  <w:vAlign w:val="center"/>
                </w:tcPr>
                <w:p w14:paraId="2947147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cs="Times New Roman"/>
                      <w:sz w:val="18"/>
                      <w:szCs w:val="18"/>
                      <w:vertAlign w:val="baseline"/>
                      <w:lang w:val="en-US" w:eastAsia="zh-CN"/>
                    </w:rPr>
                    <w:t>0.149</w:t>
                  </w:r>
                </w:p>
              </w:tc>
              <w:tc>
                <w:tcPr>
                  <w:tcW w:w="946" w:type="dxa"/>
                  <w:tcBorders>
                    <w:top w:val="single" w:color="auto" w:sz="4" w:space="0"/>
                    <w:left w:val="single" w:color="auto" w:sz="4" w:space="0"/>
                    <w:bottom w:val="single" w:color="auto" w:sz="4" w:space="0"/>
                    <w:right w:val="single" w:color="auto" w:sz="4" w:space="0"/>
                  </w:tcBorders>
                  <w:vAlign w:val="center"/>
                </w:tcPr>
                <w:p w14:paraId="3E6ED1C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cs="Times New Roman"/>
                      <w:sz w:val="18"/>
                      <w:szCs w:val="18"/>
                      <w:lang w:val="en-US" w:eastAsia="zh-CN"/>
                    </w:rPr>
                    <w:t>/</w:t>
                  </w:r>
                </w:p>
              </w:tc>
              <w:tc>
                <w:tcPr>
                  <w:tcW w:w="968" w:type="dxa"/>
                  <w:tcBorders>
                    <w:top w:val="single" w:color="auto" w:sz="4" w:space="0"/>
                    <w:left w:val="single" w:color="auto" w:sz="4" w:space="0"/>
                    <w:bottom w:val="single" w:color="auto" w:sz="4" w:space="0"/>
                    <w:right w:val="single" w:color="auto" w:sz="4" w:space="0"/>
                  </w:tcBorders>
                  <w:vAlign w:val="center"/>
                </w:tcPr>
                <w:p w14:paraId="3A9A17F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cs="Times New Roman"/>
                      <w:sz w:val="18"/>
                      <w:szCs w:val="18"/>
                      <w:lang w:val="en-US" w:eastAsia="zh-CN"/>
                    </w:rPr>
                    <w:t>0.</w:t>
                  </w:r>
                  <w:r>
                    <w:rPr>
                      <w:rFonts w:hint="eastAsia" w:ascii="Times New Roman" w:hAnsi="Times New Roman" w:cs="Times New Roman"/>
                      <w:sz w:val="18"/>
                      <w:szCs w:val="18"/>
                      <w:lang w:val="en-US" w:eastAsia="zh-CN"/>
                    </w:rPr>
                    <w:t>1242</w:t>
                  </w:r>
                </w:p>
              </w:tc>
              <w:tc>
                <w:tcPr>
                  <w:tcW w:w="880" w:type="dxa"/>
                  <w:tcBorders>
                    <w:top w:val="single" w:color="auto" w:sz="4" w:space="0"/>
                    <w:left w:val="single" w:color="auto" w:sz="4" w:space="0"/>
                    <w:bottom w:val="single" w:color="auto" w:sz="4" w:space="0"/>
                    <w:right w:val="single" w:color="auto" w:sz="4" w:space="0"/>
                  </w:tcBorders>
                  <w:vAlign w:val="center"/>
                </w:tcPr>
                <w:p w14:paraId="213D7E5A">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3AA4A760">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1BA48D72">
                  <w:pPr>
                    <w:spacing w:line="240" w:lineRule="auto"/>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洒水降尘</w:t>
                  </w:r>
                </w:p>
              </w:tc>
              <w:tc>
                <w:tcPr>
                  <w:tcW w:w="550" w:type="dxa"/>
                  <w:tcBorders>
                    <w:top w:val="single" w:color="auto" w:sz="4" w:space="0"/>
                    <w:left w:val="single" w:color="auto" w:sz="4" w:space="0"/>
                    <w:bottom w:val="single" w:color="auto" w:sz="4" w:space="0"/>
                    <w:right w:val="single" w:color="auto" w:sz="4" w:space="0"/>
                  </w:tcBorders>
                  <w:vAlign w:val="center"/>
                </w:tcPr>
                <w:p w14:paraId="2BA7DCBE">
                  <w:pPr>
                    <w:spacing w:line="240" w:lineRule="auto"/>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70</w:t>
                  </w:r>
                </w:p>
              </w:tc>
              <w:tc>
                <w:tcPr>
                  <w:tcW w:w="682" w:type="dxa"/>
                  <w:tcBorders>
                    <w:top w:val="single" w:color="auto" w:sz="4" w:space="0"/>
                    <w:left w:val="single" w:color="auto" w:sz="4" w:space="0"/>
                    <w:bottom w:val="single" w:color="auto" w:sz="4" w:space="0"/>
                    <w:right w:val="single" w:color="auto" w:sz="4" w:space="0"/>
                  </w:tcBorders>
                  <w:vAlign w:val="center"/>
                </w:tcPr>
                <w:p w14:paraId="6DB6E0F4">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877" w:type="dxa"/>
                  <w:tcBorders>
                    <w:top w:val="single" w:color="auto" w:sz="4" w:space="0"/>
                    <w:left w:val="single" w:color="auto" w:sz="4" w:space="0"/>
                    <w:bottom w:val="single" w:color="auto" w:sz="4" w:space="0"/>
                    <w:right w:val="single" w:color="auto" w:sz="4" w:space="0"/>
                  </w:tcBorders>
                  <w:vAlign w:val="center"/>
                </w:tcPr>
                <w:p w14:paraId="1EBB76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cs="Times New Roman"/>
                      <w:sz w:val="18"/>
                      <w:szCs w:val="18"/>
                      <w:vertAlign w:val="baseline"/>
                      <w:lang w:val="en-US" w:eastAsia="zh-CN"/>
                    </w:rPr>
                    <w:t>0.</w:t>
                  </w:r>
                  <w:r>
                    <w:rPr>
                      <w:rFonts w:hint="eastAsia" w:ascii="Times New Roman" w:hAnsi="Times New Roman" w:cs="Times New Roman"/>
                      <w:sz w:val="18"/>
                      <w:szCs w:val="18"/>
                      <w:vertAlign w:val="baseline"/>
                      <w:lang w:val="en-US" w:eastAsia="zh-CN"/>
                    </w:rPr>
                    <w:t>045</w:t>
                  </w:r>
                </w:p>
              </w:tc>
              <w:tc>
                <w:tcPr>
                  <w:tcW w:w="719" w:type="dxa"/>
                  <w:tcBorders>
                    <w:top w:val="single" w:color="auto" w:sz="4" w:space="0"/>
                    <w:left w:val="single" w:color="auto" w:sz="4" w:space="0"/>
                    <w:bottom w:val="single" w:color="auto" w:sz="4" w:space="0"/>
                    <w:right w:val="single" w:color="auto" w:sz="4" w:space="0"/>
                  </w:tcBorders>
                  <w:vAlign w:val="center"/>
                </w:tcPr>
                <w:p w14:paraId="4446600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cs="Times New Roman"/>
                      <w:sz w:val="18"/>
                      <w:szCs w:val="18"/>
                      <w:lang w:val="en-US" w:eastAsia="zh-CN"/>
                    </w:rPr>
                    <w:t>/</w:t>
                  </w:r>
                </w:p>
              </w:tc>
              <w:tc>
                <w:tcPr>
                  <w:tcW w:w="741" w:type="dxa"/>
                  <w:tcBorders>
                    <w:top w:val="single" w:color="auto" w:sz="4" w:space="0"/>
                    <w:left w:val="single" w:color="auto" w:sz="4" w:space="0"/>
                    <w:bottom w:val="single" w:color="auto" w:sz="4" w:space="0"/>
                    <w:right w:val="single" w:color="auto" w:sz="4" w:space="0"/>
                  </w:tcBorders>
                  <w:vAlign w:val="center"/>
                </w:tcPr>
                <w:p w14:paraId="134DF52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cs="Times New Roman"/>
                      <w:sz w:val="18"/>
                      <w:szCs w:val="18"/>
                      <w:lang w:val="en-US" w:eastAsia="zh-CN"/>
                    </w:rPr>
                    <w:t>0.</w:t>
                  </w:r>
                  <w:r>
                    <w:rPr>
                      <w:rFonts w:hint="eastAsia" w:ascii="Times New Roman" w:hAnsi="Times New Roman" w:cs="Times New Roman"/>
                      <w:sz w:val="18"/>
                      <w:szCs w:val="18"/>
                      <w:lang w:val="en-US" w:eastAsia="zh-CN"/>
                    </w:rPr>
                    <w:t>0375</w:t>
                  </w:r>
                </w:p>
              </w:tc>
              <w:tc>
                <w:tcPr>
                  <w:tcW w:w="543" w:type="dxa"/>
                  <w:vMerge w:val="continue"/>
                  <w:tcBorders>
                    <w:left w:val="single" w:color="auto" w:sz="4" w:space="0"/>
                    <w:right w:val="single" w:color="auto" w:sz="4" w:space="0"/>
                  </w:tcBorders>
                  <w:vAlign w:val="center"/>
                </w:tcPr>
                <w:p w14:paraId="3BE6D82F">
                  <w:pPr>
                    <w:spacing w:line="240" w:lineRule="auto"/>
                    <w:jc w:val="center"/>
                    <w:rPr>
                      <w:rFonts w:hint="eastAsia" w:cs="Times New Roman"/>
                      <w:sz w:val="18"/>
                      <w:szCs w:val="18"/>
                      <w:lang w:val="en-US" w:eastAsia="zh-CN"/>
                    </w:rPr>
                  </w:pPr>
                </w:p>
              </w:tc>
              <w:tc>
                <w:tcPr>
                  <w:tcW w:w="793" w:type="dxa"/>
                  <w:tcBorders>
                    <w:left w:val="single" w:color="auto" w:sz="4" w:space="0"/>
                    <w:right w:val="single" w:color="auto" w:sz="4" w:space="0"/>
                  </w:tcBorders>
                  <w:vAlign w:val="center"/>
                </w:tcPr>
                <w:p w14:paraId="7ADF868A">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14B54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tcBorders>
                    <w:left w:val="single" w:color="auto" w:sz="4" w:space="0"/>
                    <w:right w:val="single" w:color="auto" w:sz="4" w:space="0"/>
                  </w:tcBorders>
                  <w:vAlign w:val="center"/>
                </w:tcPr>
                <w:p w14:paraId="0AE6F969">
                  <w:pPr>
                    <w:spacing w:line="240" w:lineRule="auto"/>
                    <w:jc w:val="center"/>
                    <w:rPr>
                      <w:rFonts w:hint="eastAsia" w:cs="Times New Roman"/>
                      <w:bCs/>
                      <w:sz w:val="18"/>
                      <w:szCs w:val="18"/>
                      <w:lang w:eastAsia="zh-CN"/>
                    </w:rPr>
                  </w:pPr>
                  <w:r>
                    <w:rPr>
                      <w:rFonts w:hint="eastAsia" w:cs="Times New Roman"/>
                      <w:b w:val="0"/>
                      <w:bCs w:val="0"/>
                      <w:kern w:val="2"/>
                      <w:sz w:val="18"/>
                      <w:szCs w:val="18"/>
                      <w:lang w:val="en-US" w:eastAsia="zh-CN" w:bidi="ar-SA"/>
                    </w:rPr>
                    <w:t>碳钢板/不锈钢板下料、开孔</w:t>
                  </w:r>
                  <w:r>
                    <w:rPr>
                      <w:rFonts w:hint="eastAsia" w:cs="Times New Roman"/>
                      <w:sz w:val="18"/>
                      <w:szCs w:val="18"/>
                      <w:lang w:eastAsia="zh-CN"/>
                    </w:rPr>
                    <w:t>工序</w:t>
                  </w:r>
                </w:p>
              </w:tc>
              <w:tc>
                <w:tcPr>
                  <w:tcW w:w="821" w:type="dxa"/>
                  <w:tcBorders>
                    <w:left w:val="single" w:color="auto" w:sz="4" w:space="0"/>
                    <w:right w:val="single" w:color="auto" w:sz="4" w:space="0"/>
                  </w:tcBorders>
                  <w:vAlign w:val="center"/>
                </w:tcPr>
                <w:p w14:paraId="65CCADB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default" w:ascii="Times New Roman" w:hAnsi="Times New Roman" w:cs="Times New Roman"/>
                      <w:bCs/>
                      <w:color w:val="000000"/>
                      <w:sz w:val="18"/>
                      <w:szCs w:val="18"/>
                      <w:vertAlign w:val="baseline"/>
                      <w:lang w:val="en-US" w:eastAsia="zh-CN"/>
                    </w:rPr>
                    <w:t>颗粒物</w:t>
                  </w:r>
                </w:p>
              </w:tc>
              <w:tc>
                <w:tcPr>
                  <w:tcW w:w="924" w:type="dxa"/>
                  <w:tcBorders>
                    <w:left w:val="single" w:color="auto" w:sz="4" w:space="0"/>
                    <w:right w:val="single" w:color="auto" w:sz="4" w:space="0"/>
                  </w:tcBorders>
                  <w:vAlign w:val="center"/>
                </w:tcPr>
                <w:p w14:paraId="625FDC05">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w:t>
                  </w:r>
                </w:p>
              </w:tc>
              <w:tc>
                <w:tcPr>
                  <w:tcW w:w="1078" w:type="dxa"/>
                  <w:tcBorders>
                    <w:top w:val="single" w:color="auto" w:sz="4" w:space="0"/>
                    <w:left w:val="single" w:color="auto" w:sz="4" w:space="0"/>
                    <w:bottom w:val="single" w:color="auto" w:sz="4" w:space="0"/>
                    <w:right w:val="single" w:color="auto" w:sz="4" w:space="0"/>
                  </w:tcBorders>
                  <w:vAlign w:val="center"/>
                </w:tcPr>
                <w:p w14:paraId="680E069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4920301D">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5572979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434CD8AF">
                  <w:pPr>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1F7E0E60">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615A40C3">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移动式焊烟净化器</w:t>
                  </w:r>
                  <w:r>
                    <w:rPr>
                      <w:rFonts w:hint="eastAsia" w:cs="Times New Roman"/>
                      <w:sz w:val="18"/>
                      <w:szCs w:val="18"/>
                      <w:lang w:val="en-US" w:eastAsia="zh-CN"/>
                    </w:rPr>
                    <w:t>及洒水降尘</w:t>
                  </w:r>
                </w:p>
              </w:tc>
              <w:tc>
                <w:tcPr>
                  <w:tcW w:w="550" w:type="dxa"/>
                  <w:tcBorders>
                    <w:top w:val="single" w:color="auto" w:sz="4" w:space="0"/>
                    <w:left w:val="single" w:color="auto" w:sz="4" w:space="0"/>
                    <w:bottom w:val="single" w:color="auto" w:sz="4" w:space="0"/>
                    <w:right w:val="single" w:color="auto" w:sz="4" w:space="0"/>
                  </w:tcBorders>
                  <w:vAlign w:val="center"/>
                </w:tcPr>
                <w:p w14:paraId="642E2696">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42210448">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877" w:type="dxa"/>
                  <w:tcBorders>
                    <w:top w:val="single" w:color="auto" w:sz="4" w:space="0"/>
                    <w:left w:val="single" w:color="auto" w:sz="4" w:space="0"/>
                    <w:bottom w:val="single" w:color="auto" w:sz="4" w:space="0"/>
                    <w:right w:val="single" w:color="auto" w:sz="4" w:space="0"/>
                  </w:tcBorders>
                  <w:vAlign w:val="center"/>
                </w:tcPr>
                <w:p w14:paraId="1A8C9C1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0.</w:t>
                  </w:r>
                  <w:r>
                    <w:rPr>
                      <w:rFonts w:hint="eastAsia" w:cs="Times New Roman"/>
                      <w:i w:val="0"/>
                      <w:iCs w:val="0"/>
                      <w:color w:val="000000"/>
                      <w:kern w:val="0"/>
                      <w:sz w:val="18"/>
                      <w:szCs w:val="18"/>
                      <w:u w:val="none"/>
                      <w:lang w:val="en-US" w:eastAsia="zh-CN" w:bidi="ar"/>
                    </w:rPr>
                    <w:t>173</w:t>
                  </w:r>
                </w:p>
              </w:tc>
              <w:tc>
                <w:tcPr>
                  <w:tcW w:w="719" w:type="dxa"/>
                  <w:tcBorders>
                    <w:top w:val="single" w:color="auto" w:sz="4" w:space="0"/>
                    <w:left w:val="single" w:color="auto" w:sz="4" w:space="0"/>
                    <w:bottom w:val="single" w:color="auto" w:sz="4" w:space="0"/>
                    <w:right w:val="single" w:color="auto" w:sz="4" w:space="0"/>
                  </w:tcBorders>
                  <w:vAlign w:val="center"/>
                </w:tcPr>
                <w:p w14:paraId="7A61DFE9">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7BD0003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0.</w:t>
                  </w:r>
                  <w:r>
                    <w:rPr>
                      <w:rFonts w:hint="eastAsia" w:cs="Times New Roman"/>
                      <w:i w:val="0"/>
                      <w:iCs w:val="0"/>
                      <w:color w:val="000000"/>
                      <w:kern w:val="0"/>
                      <w:sz w:val="18"/>
                      <w:szCs w:val="18"/>
                      <w:u w:val="none"/>
                      <w:lang w:val="en-US" w:eastAsia="zh-CN" w:bidi="ar"/>
                    </w:rPr>
                    <w:t>2163</w:t>
                  </w:r>
                </w:p>
              </w:tc>
              <w:tc>
                <w:tcPr>
                  <w:tcW w:w="543" w:type="dxa"/>
                  <w:tcBorders>
                    <w:left w:val="single" w:color="auto" w:sz="4" w:space="0"/>
                    <w:right w:val="single" w:color="auto" w:sz="4" w:space="0"/>
                  </w:tcBorders>
                  <w:vAlign w:val="center"/>
                </w:tcPr>
                <w:p w14:paraId="5ACFBD46">
                  <w:pPr>
                    <w:spacing w:line="240" w:lineRule="auto"/>
                    <w:jc w:val="center"/>
                    <w:rPr>
                      <w:rFonts w:hint="default" w:cs="Times New Roman"/>
                      <w:sz w:val="18"/>
                      <w:szCs w:val="18"/>
                      <w:lang w:val="en-US" w:eastAsia="zh-CN"/>
                    </w:rPr>
                  </w:pPr>
                  <w:r>
                    <w:rPr>
                      <w:rFonts w:hint="eastAsia" w:cs="Times New Roman"/>
                      <w:sz w:val="18"/>
                      <w:szCs w:val="18"/>
                      <w:lang w:val="en-US" w:eastAsia="zh-CN"/>
                    </w:rPr>
                    <w:t>800</w:t>
                  </w:r>
                </w:p>
              </w:tc>
              <w:tc>
                <w:tcPr>
                  <w:tcW w:w="793" w:type="dxa"/>
                  <w:tcBorders>
                    <w:left w:val="single" w:color="auto" w:sz="4" w:space="0"/>
                    <w:right w:val="single" w:color="auto" w:sz="4" w:space="0"/>
                  </w:tcBorders>
                  <w:vAlign w:val="center"/>
                </w:tcPr>
                <w:p w14:paraId="087ECA95">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68FCC4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tcBorders>
                    <w:left w:val="single" w:color="auto" w:sz="4" w:space="0"/>
                    <w:right w:val="single" w:color="auto" w:sz="4" w:space="0"/>
                  </w:tcBorders>
                  <w:vAlign w:val="center"/>
                </w:tcPr>
                <w:p w14:paraId="11BCA973">
                  <w:pPr>
                    <w:spacing w:line="240" w:lineRule="auto"/>
                    <w:jc w:val="center"/>
                    <w:rPr>
                      <w:rFonts w:hint="default" w:cs="Times New Roman"/>
                      <w:bCs/>
                      <w:sz w:val="18"/>
                      <w:szCs w:val="18"/>
                      <w:lang w:val="en-US" w:eastAsia="zh-CN"/>
                    </w:rPr>
                  </w:pPr>
                  <w:r>
                    <w:rPr>
                      <w:rFonts w:hint="eastAsia" w:cs="Times New Roman"/>
                      <w:bCs/>
                      <w:sz w:val="18"/>
                      <w:szCs w:val="18"/>
                      <w:lang w:val="en-US" w:eastAsia="zh-CN"/>
                    </w:rPr>
                    <w:t>焊接</w:t>
                  </w:r>
                </w:p>
              </w:tc>
              <w:tc>
                <w:tcPr>
                  <w:tcW w:w="821" w:type="dxa"/>
                  <w:tcBorders>
                    <w:left w:val="single" w:color="auto" w:sz="4" w:space="0"/>
                    <w:right w:val="single" w:color="auto" w:sz="4" w:space="0"/>
                  </w:tcBorders>
                  <w:vAlign w:val="center"/>
                </w:tcPr>
                <w:p w14:paraId="2DE50FC3">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颗粒物</w:t>
                  </w:r>
                </w:p>
              </w:tc>
              <w:tc>
                <w:tcPr>
                  <w:tcW w:w="924" w:type="dxa"/>
                  <w:tcBorders>
                    <w:left w:val="single" w:color="auto" w:sz="4" w:space="0"/>
                    <w:right w:val="single" w:color="auto" w:sz="4" w:space="0"/>
                  </w:tcBorders>
                  <w:vAlign w:val="center"/>
                </w:tcPr>
                <w:p w14:paraId="3578D964">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0.224</w:t>
                  </w:r>
                </w:p>
              </w:tc>
              <w:tc>
                <w:tcPr>
                  <w:tcW w:w="1078" w:type="dxa"/>
                  <w:tcBorders>
                    <w:top w:val="single" w:color="auto" w:sz="4" w:space="0"/>
                    <w:left w:val="single" w:color="auto" w:sz="4" w:space="0"/>
                    <w:bottom w:val="single" w:color="auto" w:sz="4" w:space="0"/>
                    <w:right w:val="single" w:color="auto" w:sz="4" w:space="0"/>
                  </w:tcBorders>
                  <w:vAlign w:val="center"/>
                </w:tcPr>
                <w:p w14:paraId="3CF7EB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68F7192F">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661ED4F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3D952CEE">
                  <w:pPr>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238C6ACC">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4593B937">
                  <w:pPr>
                    <w:jc w:val="center"/>
                    <w:rPr>
                      <w:rFonts w:hint="default" w:ascii="Times New Roman" w:hAnsi="Times New Roman" w:eastAsia="宋体" w:cs="Times New Roman"/>
                      <w:kern w:val="2"/>
                      <w:sz w:val="18"/>
                      <w:szCs w:val="18"/>
                      <w:lang w:val="en-US" w:eastAsia="zh-CN" w:bidi="ar-SA"/>
                    </w:rPr>
                  </w:pPr>
                  <w:r>
                    <w:rPr>
                      <w:rFonts w:hint="eastAsia" w:ascii="Times New Roman" w:hAnsi="Times New Roman" w:eastAsia="宋体" w:cs="Times New Roman"/>
                      <w:sz w:val="18"/>
                      <w:szCs w:val="18"/>
                      <w:lang w:val="en-US" w:eastAsia="zh-CN"/>
                    </w:rPr>
                    <w:t>移动式焊烟净化器</w:t>
                  </w:r>
                  <w:r>
                    <w:rPr>
                      <w:rFonts w:hint="eastAsia" w:cs="Times New Roman"/>
                      <w:sz w:val="18"/>
                      <w:szCs w:val="18"/>
                      <w:lang w:val="en-US" w:eastAsia="zh-CN"/>
                    </w:rPr>
                    <w:t>及洒水降尘</w:t>
                  </w:r>
                </w:p>
              </w:tc>
              <w:tc>
                <w:tcPr>
                  <w:tcW w:w="550" w:type="dxa"/>
                  <w:tcBorders>
                    <w:top w:val="single" w:color="auto" w:sz="4" w:space="0"/>
                    <w:left w:val="single" w:color="auto" w:sz="4" w:space="0"/>
                    <w:bottom w:val="single" w:color="auto" w:sz="4" w:space="0"/>
                    <w:right w:val="single" w:color="auto" w:sz="4" w:space="0"/>
                  </w:tcBorders>
                  <w:vAlign w:val="center"/>
                </w:tcPr>
                <w:p w14:paraId="4AFE3314">
                  <w:pPr>
                    <w:jc w:val="center"/>
                    <w:rPr>
                      <w:rFonts w:hint="default" w:ascii="Times New Roman" w:hAnsi="Times New Roman" w:eastAsia="宋体" w:cs="Times New Roman"/>
                      <w:kern w:val="2"/>
                      <w:sz w:val="18"/>
                      <w:szCs w:val="18"/>
                      <w:lang w:val="en-US" w:eastAsia="zh-CN" w:bidi="ar-SA"/>
                    </w:rPr>
                  </w:pPr>
                  <w:r>
                    <w:rPr>
                      <w:rFonts w:hint="eastAsia"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7DCA0360">
                  <w:pPr>
                    <w:jc w:val="center"/>
                    <w:rPr>
                      <w:rFonts w:hint="default" w:ascii="Times New Roman" w:hAnsi="Times New Roman" w:eastAsia="宋体" w:cs="Times New Roman"/>
                      <w:kern w:val="2"/>
                      <w:sz w:val="18"/>
                      <w:szCs w:val="18"/>
                      <w:lang w:val="en-US" w:eastAsia="zh-CN" w:bidi="ar-SA"/>
                    </w:rPr>
                  </w:pPr>
                  <w:r>
                    <w:rPr>
                      <w:rFonts w:hint="eastAsia" w:cs="Times New Roman"/>
                      <w:sz w:val="18"/>
                      <w:szCs w:val="18"/>
                      <w:lang w:val="en-US" w:eastAsia="zh-CN"/>
                    </w:rPr>
                    <w:t>是</w:t>
                  </w:r>
                </w:p>
              </w:tc>
              <w:tc>
                <w:tcPr>
                  <w:tcW w:w="877" w:type="dxa"/>
                  <w:tcBorders>
                    <w:top w:val="single" w:color="auto" w:sz="4" w:space="0"/>
                    <w:left w:val="single" w:color="auto" w:sz="4" w:space="0"/>
                    <w:bottom w:val="single" w:color="auto" w:sz="4" w:space="0"/>
                    <w:right w:val="single" w:color="auto" w:sz="4" w:space="0"/>
                  </w:tcBorders>
                  <w:vAlign w:val="center"/>
                </w:tcPr>
                <w:p w14:paraId="716AEFB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0.0</w:t>
                  </w:r>
                  <w:r>
                    <w:rPr>
                      <w:rFonts w:hint="eastAsia" w:cs="Times New Roman"/>
                      <w:i w:val="0"/>
                      <w:iCs w:val="0"/>
                      <w:color w:val="000000"/>
                      <w:kern w:val="0"/>
                      <w:sz w:val="18"/>
                      <w:szCs w:val="18"/>
                      <w:u w:val="none"/>
                      <w:lang w:val="en-US" w:eastAsia="zh-CN" w:bidi="ar"/>
                    </w:rPr>
                    <w:t>24</w:t>
                  </w:r>
                </w:p>
              </w:tc>
              <w:tc>
                <w:tcPr>
                  <w:tcW w:w="719" w:type="dxa"/>
                  <w:tcBorders>
                    <w:top w:val="single" w:color="auto" w:sz="4" w:space="0"/>
                    <w:left w:val="single" w:color="auto" w:sz="4" w:space="0"/>
                    <w:bottom w:val="single" w:color="auto" w:sz="4" w:space="0"/>
                    <w:right w:val="single" w:color="auto" w:sz="4" w:space="0"/>
                  </w:tcBorders>
                  <w:vAlign w:val="center"/>
                </w:tcPr>
                <w:p w14:paraId="65C03EFD">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107CA24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0.</w:t>
                  </w:r>
                  <w:r>
                    <w:rPr>
                      <w:rFonts w:hint="eastAsia" w:cs="Times New Roman"/>
                      <w:i w:val="0"/>
                      <w:iCs w:val="0"/>
                      <w:color w:val="000000"/>
                      <w:kern w:val="0"/>
                      <w:sz w:val="18"/>
                      <w:szCs w:val="18"/>
                      <w:u w:val="none"/>
                      <w:lang w:val="en-US" w:eastAsia="zh-CN" w:bidi="ar"/>
                    </w:rPr>
                    <w:t>04</w:t>
                  </w:r>
                </w:p>
              </w:tc>
              <w:tc>
                <w:tcPr>
                  <w:tcW w:w="543" w:type="dxa"/>
                  <w:tcBorders>
                    <w:left w:val="single" w:color="auto" w:sz="4" w:space="0"/>
                    <w:right w:val="single" w:color="auto" w:sz="4" w:space="0"/>
                  </w:tcBorders>
                  <w:vAlign w:val="center"/>
                </w:tcPr>
                <w:p w14:paraId="69BA74B7">
                  <w:pPr>
                    <w:spacing w:line="240" w:lineRule="auto"/>
                    <w:jc w:val="center"/>
                    <w:rPr>
                      <w:rFonts w:hint="default" w:cs="Times New Roman"/>
                      <w:sz w:val="18"/>
                      <w:szCs w:val="18"/>
                      <w:lang w:val="en-US" w:eastAsia="zh-CN"/>
                    </w:rPr>
                  </w:pPr>
                  <w:r>
                    <w:rPr>
                      <w:rFonts w:hint="eastAsia" w:cs="Times New Roman"/>
                      <w:sz w:val="18"/>
                      <w:szCs w:val="18"/>
                      <w:lang w:val="en-US" w:eastAsia="zh-CN"/>
                    </w:rPr>
                    <w:t>600</w:t>
                  </w:r>
                </w:p>
              </w:tc>
              <w:tc>
                <w:tcPr>
                  <w:tcW w:w="793" w:type="dxa"/>
                  <w:tcBorders>
                    <w:left w:val="single" w:color="auto" w:sz="4" w:space="0"/>
                    <w:right w:val="single" w:color="auto" w:sz="4" w:space="0"/>
                  </w:tcBorders>
                  <w:vAlign w:val="center"/>
                </w:tcPr>
                <w:p w14:paraId="0A9736C4">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357CC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tcBorders>
                    <w:left w:val="single" w:color="auto" w:sz="4" w:space="0"/>
                    <w:right w:val="single" w:color="auto" w:sz="4" w:space="0"/>
                  </w:tcBorders>
                  <w:vAlign w:val="center"/>
                </w:tcPr>
                <w:p w14:paraId="1FC1C140">
                  <w:pPr>
                    <w:spacing w:line="240" w:lineRule="auto"/>
                    <w:jc w:val="center"/>
                    <w:rPr>
                      <w:rFonts w:hint="eastAsia" w:cs="Times New Roman"/>
                      <w:bCs/>
                      <w:sz w:val="18"/>
                      <w:szCs w:val="18"/>
                      <w:lang w:val="en-US" w:eastAsia="zh-CN"/>
                    </w:rPr>
                  </w:pPr>
                  <w:r>
                    <w:rPr>
                      <w:rFonts w:hint="eastAsia" w:cs="Times New Roman"/>
                      <w:bCs/>
                      <w:color w:val="auto"/>
                      <w:sz w:val="18"/>
                      <w:szCs w:val="18"/>
                      <w:lang w:eastAsia="zh-CN"/>
                    </w:rPr>
                    <w:t>玻璃钢缠绕罐、</w:t>
                  </w:r>
                  <w:r>
                    <w:rPr>
                      <w:rFonts w:hint="eastAsia" w:cs="Times New Roman"/>
                      <w:b w:val="0"/>
                      <w:bCs w:val="0"/>
                      <w:kern w:val="2"/>
                      <w:sz w:val="18"/>
                      <w:szCs w:val="18"/>
                      <w:lang w:val="en-US" w:eastAsia="zh-CN" w:bidi="ar-SA"/>
                    </w:rPr>
                    <w:t>PPH缠绕罐开孔</w:t>
                  </w:r>
                </w:p>
              </w:tc>
              <w:tc>
                <w:tcPr>
                  <w:tcW w:w="821" w:type="dxa"/>
                  <w:tcBorders>
                    <w:left w:val="single" w:color="auto" w:sz="4" w:space="0"/>
                    <w:right w:val="single" w:color="auto" w:sz="4" w:space="0"/>
                  </w:tcBorders>
                  <w:vAlign w:val="center"/>
                </w:tcPr>
                <w:p w14:paraId="08F4CD6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颗粒物</w:t>
                  </w:r>
                </w:p>
              </w:tc>
              <w:tc>
                <w:tcPr>
                  <w:tcW w:w="924" w:type="dxa"/>
                  <w:tcBorders>
                    <w:left w:val="single" w:color="auto" w:sz="4" w:space="0"/>
                    <w:right w:val="single" w:color="auto" w:sz="4" w:space="0"/>
                  </w:tcBorders>
                  <w:vAlign w:val="center"/>
                </w:tcPr>
                <w:p w14:paraId="3B323AD6">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0.027</w:t>
                  </w:r>
                </w:p>
              </w:tc>
              <w:tc>
                <w:tcPr>
                  <w:tcW w:w="1078" w:type="dxa"/>
                  <w:tcBorders>
                    <w:top w:val="single" w:color="auto" w:sz="4" w:space="0"/>
                    <w:left w:val="single" w:color="auto" w:sz="4" w:space="0"/>
                    <w:bottom w:val="single" w:color="auto" w:sz="4" w:space="0"/>
                    <w:right w:val="single" w:color="auto" w:sz="4" w:space="0"/>
                  </w:tcBorders>
                  <w:vAlign w:val="center"/>
                </w:tcPr>
                <w:p w14:paraId="100352F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10F57E74">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37E4D1F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07124D7B">
                  <w:pPr>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w:t>
                  </w:r>
                </w:p>
              </w:tc>
              <w:tc>
                <w:tcPr>
                  <w:tcW w:w="726" w:type="dxa"/>
                  <w:tcBorders>
                    <w:top w:val="single" w:color="auto" w:sz="4" w:space="0"/>
                    <w:left w:val="single" w:color="auto" w:sz="4" w:space="0"/>
                    <w:bottom w:val="single" w:color="auto" w:sz="4" w:space="0"/>
                    <w:right w:val="single" w:color="auto" w:sz="4" w:space="0"/>
                  </w:tcBorders>
                  <w:vAlign w:val="center"/>
                </w:tcPr>
                <w:p w14:paraId="5A282505">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770" w:type="dxa"/>
                  <w:tcBorders>
                    <w:top w:val="single" w:color="auto" w:sz="4" w:space="0"/>
                    <w:left w:val="single" w:color="auto" w:sz="4" w:space="0"/>
                    <w:bottom w:val="single" w:color="auto" w:sz="4" w:space="0"/>
                    <w:right w:val="single" w:color="auto" w:sz="4" w:space="0"/>
                  </w:tcBorders>
                  <w:vAlign w:val="center"/>
                </w:tcPr>
                <w:p w14:paraId="0077443A">
                  <w:pPr>
                    <w:jc w:val="center"/>
                    <w:rPr>
                      <w:rFonts w:hint="eastAsia" w:ascii="Times New Roman" w:hAnsi="Times New Roman" w:eastAsia="宋体" w:cs="Times New Roman"/>
                      <w:kern w:val="2"/>
                      <w:sz w:val="18"/>
                      <w:szCs w:val="18"/>
                      <w:lang w:val="en-US" w:eastAsia="zh-CN" w:bidi="ar-SA"/>
                    </w:rPr>
                  </w:pPr>
                  <w:r>
                    <w:rPr>
                      <w:rFonts w:hint="eastAsia" w:ascii="Times New Roman" w:hAnsi="Times New Roman" w:eastAsia="宋体" w:cs="Times New Roman"/>
                      <w:sz w:val="18"/>
                      <w:szCs w:val="18"/>
                      <w:lang w:val="en-US" w:eastAsia="zh-CN"/>
                    </w:rPr>
                    <w:t>移动式焊烟净化器</w:t>
                  </w:r>
                  <w:r>
                    <w:rPr>
                      <w:rFonts w:hint="eastAsia" w:cs="Times New Roman"/>
                      <w:sz w:val="18"/>
                      <w:szCs w:val="18"/>
                      <w:lang w:val="en-US" w:eastAsia="zh-CN"/>
                    </w:rPr>
                    <w:t>及洒水降尘</w:t>
                  </w:r>
                </w:p>
              </w:tc>
              <w:tc>
                <w:tcPr>
                  <w:tcW w:w="550" w:type="dxa"/>
                  <w:tcBorders>
                    <w:top w:val="single" w:color="auto" w:sz="4" w:space="0"/>
                    <w:left w:val="single" w:color="auto" w:sz="4" w:space="0"/>
                    <w:bottom w:val="single" w:color="auto" w:sz="4" w:space="0"/>
                    <w:right w:val="single" w:color="auto" w:sz="4" w:space="0"/>
                  </w:tcBorders>
                  <w:vAlign w:val="center"/>
                </w:tcPr>
                <w:p w14:paraId="3A561F5E">
                  <w:pPr>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w:t>
                  </w:r>
                </w:p>
              </w:tc>
              <w:tc>
                <w:tcPr>
                  <w:tcW w:w="682" w:type="dxa"/>
                  <w:tcBorders>
                    <w:top w:val="single" w:color="auto" w:sz="4" w:space="0"/>
                    <w:left w:val="single" w:color="auto" w:sz="4" w:space="0"/>
                    <w:bottom w:val="single" w:color="auto" w:sz="4" w:space="0"/>
                    <w:right w:val="single" w:color="auto" w:sz="4" w:space="0"/>
                  </w:tcBorders>
                  <w:vAlign w:val="center"/>
                </w:tcPr>
                <w:p w14:paraId="6D6F16E0">
                  <w:pPr>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是</w:t>
                  </w:r>
                </w:p>
              </w:tc>
              <w:tc>
                <w:tcPr>
                  <w:tcW w:w="877" w:type="dxa"/>
                  <w:tcBorders>
                    <w:top w:val="single" w:color="auto" w:sz="4" w:space="0"/>
                    <w:left w:val="single" w:color="auto" w:sz="4" w:space="0"/>
                    <w:bottom w:val="single" w:color="auto" w:sz="4" w:space="0"/>
                    <w:right w:val="single" w:color="auto" w:sz="4" w:space="0"/>
                  </w:tcBorders>
                  <w:vAlign w:val="center"/>
                </w:tcPr>
                <w:p w14:paraId="098B4F3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0.0</w:t>
                  </w:r>
                  <w:r>
                    <w:rPr>
                      <w:rFonts w:hint="eastAsia" w:cs="Times New Roman"/>
                      <w:i w:val="0"/>
                      <w:iCs w:val="0"/>
                      <w:color w:val="000000"/>
                      <w:kern w:val="0"/>
                      <w:sz w:val="18"/>
                      <w:szCs w:val="18"/>
                      <w:u w:val="none"/>
                      <w:lang w:val="en-US" w:eastAsia="zh-CN" w:bidi="ar"/>
                    </w:rPr>
                    <w:t>03</w:t>
                  </w:r>
                </w:p>
              </w:tc>
              <w:tc>
                <w:tcPr>
                  <w:tcW w:w="719" w:type="dxa"/>
                  <w:tcBorders>
                    <w:top w:val="single" w:color="auto" w:sz="4" w:space="0"/>
                    <w:left w:val="single" w:color="auto" w:sz="4" w:space="0"/>
                    <w:bottom w:val="single" w:color="auto" w:sz="4" w:space="0"/>
                    <w:right w:val="single" w:color="auto" w:sz="4" w:space="0"/>
                  </w:tcBorders>
                  <w:vAlign w:val="center"/>
                </w:tcPr>
                <w:p w14:paraId="0D539EEE">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41" w:type="dxa"/>
                  <w:tcBorders>
                    <w:top w:val="single" w:color="auto" w:sz="4" w:space="0"/>
                    <w:left w:val="single" w:color="auto" w:sz="4" w:space="0"/>
                    <w:bottom w:val="single" w:color="auto" w:sz="4" w:space="0"/>
                    <w:right w:val="single" w:color="auto" w:sz="4" w:space="0"/>
                  </w:tcBorders>
                  <w:vAlign w:val="center"/>
                </w:tcPr>
                <w:p w14:paraId="266D3B4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0.</w:t>
                  </w:r>
                  <w:r>
                    <w:rPr>
                      <w:rFonts w:hint="eastAsia" w:cs="Times New Roman"/>
                      <w:i w:val="0"/>
                      <w:iCs w:val="0"/>
                      <w:color w:val="000000"/>
                      <w:kern w:val="0"/>
                      <w:sz w:val="18"/>
                      <w:szCs w:val="18"/>
                      <w:u w:val="none"/>
                      <w:lang w:val="en-US" w:eastAsia="zh-CN" w:bidi="ar"/>
                    </w:rPr>
                    <w:t>03</w:t>
                  </w:r>
                </w:p>
              </w:tc>
              <w:tc>
                <w:tcPr>
                  <w:tcW w:w="543" w:type="dxa"/>
                  <w:tcBorders>
                    <w:left w:val="single" w:color="auto" w:sz="4" w:space="0"/>
                    <w:right w:val="single" w:color="auto" w:sz="4" w:space="0"/>
                  </w:tcBorders>
                  <w:vAlign w:val="center"/>
                </w:tcPr>
                <w:p w14:paraId="55117625">
                  <w:pPr>
                    <w:spacing w:line="240" w:lineRule="auto"/>
                    <w:jc w:val="center"/>
                    <w:rPr>
                      <w:rFonts w:hint="default" w:cs="Times New Roman"/>
                      <w:sz w:val="18"/>
                      <w:szCs w:val="18"/>
                      <w:lang w:val="en-US" w:eastAsia="zh-CN"/>
                    </w:rPr>
                  </w:pPr>
                  <w:r>
                    <w:rPr>
                      <w:rFonts w:hint="eastAsia" w:cs="Times New Roman"/>
                      <w:sz w:val="18"/>
                      <w:szCs w:val="18"/>
                      <w:lang w:val="en-US" w:eastAsia="zh-CN"/>
                    </w:rPr>
                    <w:t>100</w:t>
                  </w:r>
                </w:p>
              </w:tc>
              <w:tc>
                <w:tcPr>
                  <w:tcW w:w="793" w:type="dxa"/>
                  <w:tcBorders>
                    <w:left w:val="single" w:color="auto" w:sz="4" w:space="0"/>
                    <w:right w:val="single" w:color="auto" w:sz="4" w:space="0"/>
                  </w:tcBorders>
                  <w:vAlign w:val="center"/>
                </w:tcPr>
                <w:p w14:paraId="2FDD4102">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34B873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restart"/>
                  <w:tcBorders>
                    <w:left w:val="single" w:color="auto" w:sz="4" w:space="0"/>
                    <w:right w:val="single" w:color="auto" w:sz="4" w:space="0"/>
                  </w:tcBorders>
                  <w:vAlign w:val="center"/>
                </w:tcPr>
                <w:p w14:paraId="5D8C7089">
                  <w:pPr>
                    <w:spacing w:line="240" w:lineRule="auto"/>
                    <w:jc w:val="center"/>
                    <w:rPr>
                      <w:rFonts w:hint="eastAsia" w:cs="Times New Roman"/>
                      <w:bCs/>
                      <w:color w:val="auto"/>
                      <w:sz w:val="21"/>
                      <w:szCs w:val="21"/>
                      <w:lang w:eastAsia="zh-CN"/>
                    </w:rPr>
                  </w:pPr>
                  <w:r>
                    <w:rPr>
                      <w:rFonts w:hint="eastAsia" w:cs="Times New Roman"/>
                      <w:bCs/>
                      <w:color w:val="auto"/>
                      <w:sz w:val="21"/>
                      <w:szCs w:val="21"/>
                      <w:lang w:eastAsia="zh-CN"/>
                    </w:rPr>
                    <w:t>合计</w:t>
                  </w:r>
                </w:p>
              </w:tc>
              <w:tc>
                <w:tcPr>
                  <w:tcW w:w="821" w:type="dxa"/>
                  <w:tcBorders>
                    <w:left w:val="single" w:color="auto" w:sz="4" w:space="0"/>
                    <w:right w:val="single" w:color="auto" w:sz="4" w:space="0"/>
                  </w:tcBorders>
                  <w:vAlign w:val="center"/>
                </w:tcPr>
                <w:p w14:paraId="18A4A64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颗粒物</w:t>
                  </w:r>
                </w:p>
              </w:tc>
              <w:tc>
                <w:tcPr>
                  <w:tcW w:w="924" w:type="dxa"/>
                  <w:tcBorders>
                    <w:left w:val="single" w:color="auto" w:sz="4" w:space="0"/>
                    <w:right w:val="single" w:color="auto" w:sz="4" w:space="0"/>
                  </w:tcBorders>
                  <w:vAlign w:val="center"/>
                </w:tcPr>
                <w:p w14:paraId="07FDE94C">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1217451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5BA2613F">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48FB982A">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1214B82E">
                  <w:pPr>
                    <w:jc w:val="center"/>
                    <w:rPr>
                      <w:rFonts w:hint="eastAsia" w:ascii="Times New Roman" w:hAnsi="Times New Roman"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26" w:type="dxa"/>
                  <w:tcBorders>
                    <w:top w:val="single" w:color="auto" w:sz="4" w:space="0"/>
                    <w:left w:val="single" w:color="auto" w:sz="4" w:space="0"/>
                    <w:bottom w:val="single" w:color="auto" w:sz="4" w:space="0"/>
                    <w:right w:val="single" w:color="auto" w:sz="4" w:space="0"/>
                  </w:tcBorders>
                  <w:vAlign w:val="center"/>
                </w:tcPr>
                <w:p w14:paraId="7C8A8305">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bottom w:val="single" w:color="auto" w:sz="4" w:space="0"/>
                    <w:right w:val="single" w:color="auto" w:sz="4" w:space="0"/>
                  </w:tcBorders>
                  <w:vAlign w:val="center"/>
                </w:tcPr>
                <w:p w14:paraId="0D95976E">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50" w:type="dxa"/>
                  <w:tcBorders>
                    <w:top w:val="single" w:color="auto" w:sz="4" w:space="0"/>
                    <w:left w:val="single" w:color="auto" w:sz="4" w:space="0"/>
                    <w:bottom w:val="single" w:color="auto" w:sz="4" w:space="0"/>
                    <w:right w:val="single" w:color="auto" w:sz="4" w:space="0"/>
                  </w:tcBorders>
                  <w:vAlign w:val="center"/>
                </w:tcPr>
                <w:p w14:paraId="32B50D4C">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682" w:type="dxa"/>
                  <w:tcBorders>
                    <w:top w:val="single" w:color="auto" w:sz="4" w:space="0"/>
                    <w:left w:val="single" w:color="auto" w:sz="4" w:space="0"/>
                    <w:bottom w:val="single" w:color="auto" w:sz="4" w:space="0"/>
                    <w:right w:val="single" w:color="auto" w:sz="4" w:space="0"/>
                  </w:tcBorders>
                  <w:vAlign w:val="center"/>
                </w:tcPr>
                <w:p w14:paraId="24875A99">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77" w:type="dxa"/>
                  <w:tcBorders>
                    <w:top w:val="single" w:color="auto" w:sz="4" w:space="0"/>
                    <w:left w:val="single" w:color="auto" w:sz="4" w:space="0"/>
                    <w:bottom w:val="single" w:color="auto" w:sz="4" w:space="0"/>
                    <w:right w:val="single" w:color="auto" w:sz="4" w:space="0"/>
                  </w:tcBorders>
                  <w:vAlign w:val="center"/>
                </w:tcPr>
                <w:p w14:paraId="1F9EE9A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0.</w:t>
                  </w:r>
                  <w:r>
                    <w:rPr>
                      <w:rFonts w:hint="eastAsia" w:cs="Times New Roman"/>
                      <w:i w:val="0"/>
                      <w:iCs w:val="0"/>
                      <w:color w:val="000000"/>
                      <w:kern w:val="0"/>
                      <w:sz w:val="18"/>
                      <w:szCs w:val="18"/>
                      <w:highlight w:val="none"/>
                      <w:u w:val="none"/>
                      <w:lang w:val="en-US" w:eastAsia="zh-CN" w:bidi="ar"/>
                    </w:rPr>
                    <w:t>3623</w:t>
                  </w:r>
                </w:p>
              </w:tc>
              <w:tc>
                <w:tcPr>
                  <w:tcW w:w="2796" w:type="dxa"/>
                  <w:gridSpan w:val="4"/>
                  <w:tcBorders>
                    <w:top w:val="single" w:color="auto" w:sz="4" w:space="0"/>
                    <w:left w:val="single" w:color="auto" w:sz="4" w:space="0"/>
                    <w:bottom w:val="single" w:color="auto" w:sz="4" w:space="0"/>
                    <w:right w:val="single" w:color="auto" w:sz="4" w:space="0"/>
                  </w:tcBorders>
                  <w:vAlign w:val="center"/>
                </w:tcPr>
                <w:p w14:paraId="08A4DC4F">
                  <w:pPr>
                    <w:keepNext w:val="0"/>
                    <w:keepLines w:val="0"/>
                    <w:widowControl/>
                    <w:suppressLineNumbers w:val="0"/>
                    <w:jc w:val="center"/>
                    <w:textAlignment w:val="center"/>
                    <w:rPr>
                      <w:rFonts w:hint="default" w:ascii="Times New Roman" w:hAnsi="Times New Roman" w:cs="Times New Roman"/>
                      <w:sz w:val="18"/>
                      <w:szCs w:val="18"/>
                      <w:highlight w:val="none"/>
                      <w:lang w:val="en-US" w:eastAsia="zh-CN"/>
                    </w:rPr>
                  </w:pPr>
                  <w:r>
                    <w:rPr>
                      <w:rFonts w:hint="default" w:ascii="Times New Roman" w:hAnsi="Times New Roman" w:eastAsia="宋体" w:cs="Times New Roman"/>
                      <w:i w:val="0"/>
                      <w:iCs w:val="0"/>
                      <w:color w:val="000000"/>
                      <w:kern w:val="0"/>
                      <w:sz w:val="18"/>
                      <w:szCs w:val="18"/>
                      <w:highlight w:val="none"/>
                      <w:u w:val="none"/>
                      <w:lang w:val="en-US" w:eastAsia="zh-CN" w:bidi="ar"/>
                    </w:rPr>
                    <w:t>其中有组织0.</w:t>
                  </w:r>
                  <w:r>
                    <w:rPr>
                      <w:rFonts w:hint="eastAsia" w:cs="Times New Roman"/>
                      <w:i w:val="0"/>
                      <w:iCs w:val="0"/>
                      <w:color w:val="000000"/>
                      <w:kern w:val="0"/>
                      <w:sz w:val="18"/>
                      <w:szCs w:val="18"/>
                      <w:highlight w:val="none"/>
                      <w:u w:val="none"/>
                      <w:lang w:val="en-US" w:eastAsia="zh-CN" w:bidi="ar"/>
                    </w:rPr>
                    <w:t>1173</w:t>
                  </w:r>
                  <w:r>
                    <w:rPr>
                      <w:rFonts w:hint="default" w:ascii="Times New Roman" w:hAnsi="Times New Roman" w:eastAsia="宋体" w:cs="Times New Roman"/>
                      <w:i w:val="0"/>
                      <w:iCs w:val="0"/>
                      <w:color w:val="000000"/>
                      <w:kern w:val="0"/>
                      <w:sz w:val="18"/>
                      <w:szCs w:val="18"/>
                      <w:highlight w:val="none"/>
                      <w:u w:val="none"/>
                      <w:lang w:val="en-US" w:eastAsia="zh-CN" w:bidi="ar"/>
                    </w:rPr>
                    <w:t>，无组织0.</w:t>
                  </w:r>
                  <w:r>
                    <w:rPr>
                      <w:rFonts w:hint="eastAsia" w:cs="Times New Roman"/>
                      <w:i w:val="0"/>
                      <w:iCs w:val="0"/>
                      <w:color w:val="000000"/>
                      <w:kern w:val="0"/>
                      <w:sz w:val="18"/>
                      <w:szCs w:val="18"/>
                      <w:highlight w:val="none"/>
                      <w:u w:val="none"/>
                      <w:lang w:val="en-US" w:eastAsia="zh-CN" w:bidi="ar"/>
                    </w:rPr>
                    <w:t>245</w:t>
                  </w:r>
                </w:p>
              </w:tc>
            </w:tr>
            <w:tr w14:paraId="66CCA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7CA846BD">
                  <w:pPr>
                    <w:spacing w:line="240" w:lineRule="auto"/>
                    <w:jc w:val="center"/>
                    <w:rPr>
                      <w:rFonts w:hint="eastAsia" w:cs="Times New Roman"/>
                      <w:bCs/>
                      <w:color w:val="auto"/>
                      <w:sz w:val="21"/>
                      <w:szCs w:val="21"/>
                      <w:lang w:eastAsia="zh-CN"/>
                    </w:rPr>
                  </w:pPr>
                </w:p>
              </w:tc>
              <w:tc>
                <w:tcPr>
                  <w:tcW w:w="821" w:type="dxa"/>
                  <w:tcBorders>
                    <w:left w:val="single" w:color="auto" w:sz="4" w:space="0"/>
                    <w:right w:val="single" w:color="auto" w:sz="4" w:space="0"/>
                  </w:tcBorders>
                  <w:vAlign w:val="center"/>
                </w:tcPr>
                <w:p w14:paraId="0A42B6F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924" w:type="dxa"/>
                  <w:tcBorders>
                    <w:left w:val="single" w:color="auto" w:sz="4" w:space="0"/>
                    <w:right w:val="single" w:color="auto" w:sz="4" w:space="0"/>
                  </w:tcBorders>
                  <w:vAlign w:val="center"/>
                </w:tcPr>
                <w:p w14:paraId="022473C8">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4ADDE45E">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53C98401">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20C61C8D">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582C6E87">
                  <w:pPr>
                    <w:jc w:val="center"/>
                    <w:rPr>
                      <w:rFonts w:hint="eastAsia" w:ascii="Times New Roman" w:hAnsi="Times New Roman"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26" w:type="dxa"/>
                  <w:tcBorders>
                    <w:top w:val="single" w:color="auto" w:sz="4" w:space="0"/>
                    <w:left w:val="single" w:color="auto" w:sz="4" w:space="0"/>
                    <w:bottom w:val="single" w:color="auto" w:sz="4" w:space="0"/>
                    <w:right w:val="single" w:color="auto" w:sz="4" w:space="0"/>
                  </w:tcBorders>
                  <w:vAlign w:val="center"/>
                </w:tcPr>
                <w:p w14:paraId="474B38F0">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bottom w:val="single" w:color="auto" w:sz="4" w:space="0"/>
                    <w:right w:val="single" w:color="auto" w:sz="4" w:space="0"/>
                  </w:tcBorders>
                  <w:vAlign w:val="center"/>
                </w:tcPr>
                <w:p w14:paraId="4B5EF702">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50" w:type="dxa"/>
                  <w:tcBorders>
                    <w:top w:val="single" w:color="auto" w:sz="4" w:space="0"/>
                    <w:left w:val="single" w:color="auto" w:sz="4" w:space="0"/>
                    <w:bottom w:val="single" w:color="auto" w:sz="4" w:space="0"/>
                    <w:right w:val="single" w:color="auto" w:sz="4" w:space="0"/>
                  </w:tcBorders>
                  <w:vAlign w:val="center"/>
                </w:tcPr>
                <w:p w14:paraId="2647F4E9">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682" w:type="dxa"/>
                  <w:tcBorders>
                    <w:top w:val="single" w:color="auto" w:sz="4" w:space="0"/>
                    <w:left w:val="single" w:color="auto" w:sz="4" w:space="0"/>
                    <w:bottom w:val="single" w:color="auto" w:sz="4" w:space="0"/>
                    <w:right w:val="single" w:color="auto" w:sz="4" w:space="0"/>
                  </w:tcBorders>
                  <w:vAlign w:val="center"/>
                </w:tcPr>
                <w:p w14:paraId="2F145751">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77" w:type="dxa"/>
                  <w:tcBorders>
                    <w:top w:val="single" w:color="auto" w:sz="4" w:space="0"/>
                    <w:left w:val="single" w:color="auto" w:sz="4" w:space="0"/>
                    <w:bottom w:val="single" w:color="auto" w:sz="4" w:space="0"/>
                    <w:right w:val="single" w:color="auto" w:sz="4" w:space="0"/>
                  </w:tcBorders>
                  <w:vAlign w:val="center"/>
                </w:tcPr>
                <w:p w14:paraId="6088F2E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default" w:ascii="Times New Roman" w:hAnsi="Times New Roman" w:eastAsia="宋体" w:cs="Times New Roman"/>
                      <w:i w:val="0"/>
                      <w:iCs w:val="0"/>
                      <w:color w:val="000000"/>
                      <w:kern w:val="0"/>
                      <w:sz w:val="18"/>
                      <w:szCs w:val="18"/>
                      <w:highlight w:val="none"/>
                      <w:u w:val="none"/>
                      <w:lang w:val="en-US" w:eastAsia="zh-CN" w:bidi="ar"/>
                    </w:rPr>
                    <w:t>0.4</w:t>
                  </w:r>
                  <w:r>
                    <w:rPr>
                      <w:rFonts w:hint="eastAsia" w:cs="Times New Roman"/>
                      <w:i w:val="0"/>
                      <w:iCs w:val="0"/>
                      <w:color w:val="000000"/>
                      <w:kern w:val="0"/>
                      <w:sz w:val="18"/>
                      <w:szCs w:val="18"/>
                      <w:highlight w:val="none"/>
                      <w:u w:val="none"/>
                      <w:lang w:val="en-US" w:eastAsia="zh-CN" w:bidi="ar"/>
                    </w:rPr>
                    <w:t>623</w:t>
                  </w:r>
                </w:p>
              </w:tc>
              <w:tc>
                <w:tcPr>
                  <w:tcW w:w="2796" w:type="dxa"/>
                  <w:gridSpan w:val="4"/>
                  <w:tcBorders>
                    <w:top w:val="single" w:color="auto" w:sz="4" w:space="0"/>
                    <w:left w:val="single" w:color="auto" w:sz="4" w:space="0"/>
                    <w:bottom w:val="single" w:color="auto" w:sz="4" w:space="0"/>
                    <w:right w:val="single" w:color="auto" w:sz="4" w:space="0"/>
                  </w:tcBorders>
                  <w:vAlign w:val="center"/>
                </w:tcPr>
                <w:p w14:paraId="0D878D8A">
                  <w:pPr>
                    <w:keepNext w:val="0"/>
                    <w:keepLines w:val="0"/>
                    <w:widowControl/>
                    <w:suppressLineNumbers w:val="0"/>
                    <w:jc w:val="center"/>
                    <w:textAlignment w:val="center"/>
                    <w:rPr>
                      <w:rFonts w:hint="default" w:ascii="Times New Roman" w:hAnsi="Times New Roman" w:cs="Times New Roman"/>
                      <w:sz w:val="18"/>
                      <w:szCs w:val="18"/>
                      <w:highlight w:val="none"/>
                      <w:lang w:val="en-US" w:eastAsia="zh-CN"/>
                    </w:rPr>
                  </w:pPr>
                  <w:r>
                    <w:rPr>
                      <w:rFonts w:hint="default" w:ascii="Times New Roman" w:hAnsi="Times New Roman" w:eastAsia="宋体" w:cs="Times New Roman"/>
                      <w:i w:val="0"/>
                      <w:iCs w:val="0"/>
                      <w:color w:val="000000"/>
                      <w:kern w:val="0"/>
                      <w:sz w:val="18"/>
                      <w:szCs w:val="18"/>
                      <w:highlight w:val="none"/>
                      <w:u w:val="none"/>
                      <w:lang w:val="en-US" w:eastAsia="zh-CN" w:bidi="ar"/>
                    </w:rPr>
                    <w:t>其中有组织0.3</w:t>
                  </w:r>
                  <w:r>
                    <w:rPr>
                      <w:rFonts w:hint="eastAsia" w:cs="Times New Roman"/>
                      <w:i w:val="0"/>
                      <w:iCs w:val="0"/>
                      <w:color w:val="000000"/>
                      <w:kern w:val="0"/>
                      <w:sz w:val="18"/>
                      <w:szCs w:val="18"/>
                      <w:highlight w:val="none"/>
                      <w:u w:val="none"/>
                      <w:lang w:val="en-US" w:eastAsia="zh-CN" w:bidi="ar"/>
                    </w:rPr>
                    <w:t>922</w:t>
                  </w:r>
                  <w:r>
                    <w:rPr>
                      <w:rFonts w:hint="default" w:ascii="Times New Roman" w:hAnsi="Times New Roman" w:eastAsia="宋体" w:cs="Times New Roman"/>
                      <w:i w:val="0"/>
                      <w:iCs w:val="0"/>
                      <w:color w:val="000000"/>
                      <w:kern w:val="0"/>
                      <w:sz w:val="18"/>
                      <w:szCs w:val="18"/>
                      <w:highlight w:val="none"/>
                      <w:u w:val="none"/>
                      <w:lang w:val="en-US" w:eastAsia="zh-CN" w:bidi="ar"/>
                    </w:rPr>
                    <w:t>，无组织0.0</w:t>
                  </w:r>
                  <w:r>
                    <w:rPr>
                      <w:rFonts w:hint="eastAsia" w:cs="Times New Roman"/>
                      <w:i w:val="0"/>
                      <w:iCs w:val="0"/>
                      <w:color w:val="000000"/>
                      <w:kern w:val="0"/>
                      <w:sz w:val="18"/>
                      <w:szCs w:val="18"/>
                      <w:highlight w:val="none"/>
                      <w:u w:val="none"/>
                      <w:lang w:val="en-US" w:eastAsia="zh-CN" w:bidi="ar"/>
                    </w:rPr>
                    <w:t>701</w:t>
                  </w:r>
                </w:p>
              </w:tc>
            </w:tr>
            <w:tr w14:paraId="199BF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74432C8A">
                  <w:pPr>
                    <w:spacing w:line="240" w:lineRule="auto"/>
                    <w:jc w:val="center"/>
                    <w:rPr>
                      <w:rFonts w:hint="eastAsia" w:cs="Times New Roman"/>
                      <w:bCs/>
                      <w:color w:val="auto"/>
                      <w:sz w:val="21"/>
                      <w:szCs w:val="21"/>
                      <w:lang w:eastAsia="zh-CN"/>
                    </w:rPr>
                  </w:pPr>
                </w:p>
              </w:tc>
              <w:tc>
                <w:tcPr>
                  <w:tcW w:w="821" w:type="dxa"/>
                  <w:tcBorders>
                    <w:left w:val="single" w:color="auto" w:sz="4" w:space="0"/>
                    <w:right w:val="single" w:color="auto" w:sz="4" w:space="0"/>
                  </w:tcBorders>
                  <w:vAlign w:val="center"/>
                </w:tcPr>
                <w:p w14:paraId="079D1DA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924" w:type="dxa"/>
                  <w:tcBorders>
                    <w:left w:val="single" w:color="auto" w:sz="4" w:space="0"/>
                    <w:right w:val="single" w:color="auto" w:sz="4" w:space="0"/>
                  </w:tcBorders>
                  <w:vAlign w:val="center"/>
                </w:tcPr>
                <w:p w14:paraId="180D1050">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2DD5798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7238DDF4">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bottom w:val="single" w:color="auto" w:sz="4" w:space="0"/>
                    <w:right w:val="single" w:color="auto" w:sz="4" w:space="0"/>
                  </w:tcBorders>
                  <w:vAlign w:val="center"/>
                </w:tcPr>
                <w:p w14:paraId="163B6E65">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bottom w:val="single" w:color="auto" w:sz="4" w:space="0"/>
                    <w:right w:val="single" w:color="auto" w:sz="4" w:space="0"/>
                  </w:tcBorders>
                  <w:vAlign w:val="center"/>
                </w:tcPr>
                <w:p w14:paraId="036567A6">
                  <w:pPr>
                    <w:jc w:val="center"/>
                    <w:rPr>
                      <w:rFonts w:hint="eastAsia" w:ascii="Times New Roman" w:hAnsi="Times New Roman"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26" w:type="dxa"/>
                  <w:tcBorders>
                    <w:top w:val="single" w:color="auto" w:sz="4" w:space="0"/>
                    <w:left w:val="single" w:color="auto" w:sz="4" w:space="0"/>
                    <w:bottom w:val="single" w:color="auto" w:sz="4" w:space="0"/>
                    <w:right w:val="single" w:color="auto" w:sz="4" w:space="0"/>
                  </w:tcBorders>
                  <w:vAlign w:val="center"/>
                </w:tcPr>
                <w:p w14:paraId="18B4F5DB">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bottom w:val="single" w:color="auto" w:sz="4" w:space="0"/>
                    <w:right w:val="single" w:color="auto" w:sz="4" w:space="0"/>
                  </w:tcBorders>
                  <w:vAlign w:val="center"/>
                </w:tcPr>
                <w:p w14:paraId="416291A6">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50" w:type="dxa"/>
                  <w:tcBorders>
                    <w:top w:val="single" w:color="auto" w:sz="4" w:space="0"/>
                    <w:left w:val="single" w:color="auto" w:sz="4" w:space="0"/>
                    <w:bottom w:val="single" w:color="auto" w:sz="4" w:space="0"/>
                    <w:right w:val="single" w:color="auto" w:sz="4" w:space="0"/>
                  </w:tcBorders>
                  <w:vAlign w:val="center"/>
                </w:tcPr>
                <w:p w14:paraId="548A8F61">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682" w:type="dxa"/>
                  <w:tcBorders>
                    <w:top w:val="single" w:color="auto" w:sz="4" w:space="0"/>
                    <w:left w:val="single" w:color="auto" w:sz="4" w:space="0"/>
                    <w:bottom w:val="single" w:color="auto" w:sz="4" w:space="0"/>
                    <w:right w:val="single" w:color="auto" w:sz="4" w:space="0"/>
                  </w:tcBorders>
                  <w:vAlign w:val="center"/>
                </w:tcPr>
                <w:p w14:paraId="0F764AC8">
                  <w:pPr>
                    <w:jc w:val="center"/>
                    <w:rPr>
                      <w:rFonts w:hint="eastAsia" w:ascii="Times New Roman" w:hAnsi="Times New Roman" w:eastAsia="宋体" w:cs="Times New Roman"/>
                      <w:sz w:val="18"/>
                      <w:szCs w:val="18"/>
                      <w:lang w:val="en-US" w:eastAsia="zh-CN"/>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77" w:type="dxa"/>
                  <w:tcBorders>
                    <w:top w:val="single" w:color="auto" w:sz="4" w:space="0"/>
                    <w:left w:val="single" w:color="auto" w:sz="4" w:space="0"/>
                    <w:bottom w:val="single" w:color="auto" w:sz="4" w:space="0"/>
                    <w:right w:val="single" w:color="auto" w:sz="4" w:space="0"/>
                  </w:tcBorders>
                  <w:vAlign w:val="center"/>
                </w:tcPr>
                <w:p w14:paraId="73AC192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0.1607</w:t>
                  </w:r>
                </w:p>
              </w:tc>
              <w:tc>
                <w:tcPr>
                  <w:tcW w:w="2796" w:type="dxa"/>
                  <w:gridSpan w:val="4"/>
                  <w:tcBorders>
                    <w:top w:val="single" w:color="auto" w:sz="4" w:space="0"/>
                    <w:left w:val="single" w:color="auto" w:sz="4" w:space="0"/>
                    <w:bottom w:val="single" w:color="auto" w:sz="4" w:space="0"/>
                    <w:right w:val="single" w:color="auto" w:sz="4" w:space="0"/>
                  </w:tcBorders>
                  <w:vAlign w:val="center"/>
                </w:tcPr>
                <w:p w14:paraId="1A9188D4">
                  <w:pPr>
                    <w:keepNext w:val="0"/>
                    <w:keepLines w:val="0"/>
                    <w:widowControl/>
                    <w:suppressLineNumbers w:val="0"/>
                    <w:jc w:val="center"/>
                    <w:textAlignment w:val="center"/>
                    <w:rPr>
                      <w:rFonts w:hint="default" w:ascii="Times New Roman" w:hAnsi="Times New Roman" w:cs="Times New Roman"/>
                      <w:sz w:val="18"/>
                      <w:szCs w:val="18"/>
                      <w:highlight w:val="none"/>
                      <w:lang w:val="en-US" w:eastAsia="zh-CN"/>
                    </w:rPr>
                  </w:pPr>
                  <w:r>
                    <w:rPr>
                      <w:rFonts w:hint="default" w:ascii="Times New Roman" w:hAnsi="Times New Roman" w:eastAsia="宋体" w:cs="Times New Roman"/>
                      <w:i w:val="0"/>
                      <w:iCs w:val="0"/>
                      <w:color w:val="000000"/>
                      <w:kern w:val="0"/>
                      <w:sz w:val="18"/>
                      <w:szCs w:val="18"/>
                      <w:highlight w:val="none"/>
                      <w:u w:val="none"/>
                      <w:lang w:val="en-US" w:eastAsia="zh-CN" w:bidi="ar"/>
                    </w:rPr>
                    <w:t>其中有组织0.11</w:t>
                  </w:r>
                  <w:r>
                    <w:rPr>
                      <w:rFonts w:hint="eastAsia" w:cs="Times New Roman"/>
                      <w:i w:val="0"/>
                      <w:iCs w:val="0"/>
                      <w:color w:val="000000"/>
                      <w:kern w:val="0"/>
                      <w:sz w:val="18"/>
                      <w:szCs w:val="18"/>
                      <w:highlight w:val="none"/>
                      <w:u w:val="none"/>
                      <w:lang w:val="en-US" w:eastAsia="zh-CN" w:bidi="ar"/>
                    </w:rPr>
                    <w:t>7</w:t>
                  </w:r>
                  <w:r>
                    <w:rPr>
                      <w:rFonts w:hint="default" w:ascii="Times New Roman" w:hAnsi="Times New Roman" w:eastAsia="宋体" w:cs="Times New Roman"/>
                      <w:i w:val="0"/>
                      <w:iCs w:val="0"/>
                      <w:color w:val="000000"/>
                      <w:kern w:val="0"/>
                      <w:sz w:val="18"/>
                      <w:szCs w:val="18"/>
                      <w:highlight w:val="none"/>
                      <w:u w:val="none"/>
                      <w:lang w:val="en-US" w:eastAsia="zh-CN" w:bidi="ar"/>
                    </w:rPr>
                    <w:t>6，无组织0.043</w:t>
                  </w:r>
                  <w:r>
                    <w:rPr>
                      <w:rFonts w:hint="eastAsia" w:cs="Times New Roman"/>
                      <w:i w:val="0"/>
                      <w:iCs w:val="0"/>
                      <w:color w:val="000000"/>
                      <w:kern w:val="0"/>
                      <w:sz w:val="18"/>
                      <w:szCs w:val="18"/>
                      <w:highlight w:val="none"/>
                      <w:u w:val="none"/>
                      <w:lang w:val="en-US" w:eastAsia="zh-CN" w:bidi="ar"/>
                    </w:rPr>
                    <w:t>1</w:t>
                  </w:r>
                </w:p>
              </w:tc>
            </w:tr>
            <w:tr w14:paraId="159F1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563" w:type="dxa"/>
                  <w:vMerge w:val="continue"/>
                  <w:tcBorders>
                    <w:left w:val="single" w:color="auto" w:sz="4" w:space="0"/>
                    <w:right w:val="single" w:color="auto" w:sz="4" w:space="0"/>
                  </w:tcBorders>
                  <w:vAlign w:val="center"/>
                </w:tcPr>
                <w:p w14:paraId="77568D2B">
                  <w:pPr>
                    <w:spacing w:line="240" w:lineRule="auto"/>
                    <w:jc w:val="center"/>
                    <w:rPr>
                      <w:rFonts w:hint="eastAsia" w:cs="Times New Roman"/>
                      <w:bCs/>
                      <w:color w:val="auto"/>
                      <w:sz w:val="21"/>
                      <w:szCs w:val="21"/>
                      <w:lang w:eastAsia="zh-CN"/>
                    </w:rPr>
                  </w:pPr>
                </w:p>
              </w:tc>
              <w:tc>
                <w:tcPr>
                  <w:tcW w:w="821" w:type="dxa"/>
                  <w:tcBorders>
                    <w:left w:val="single" w:color="auto" w:sz="4" w:space="0"/>
                    <w:bottom w:val="single" w:color="auto" w:sz="4" w:space="0"/>
                    <w:right w:val="single" w:color="auto" w:sz="4" w:space="0"/>
                  </w:tcBorders>
                  <w:vAlign w:val="center"/>
                </w:tcPr>
                <w:p w14:paraId="03E3C73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臭气浓度</w:t>
                  </w:r>
                </w:p>
              </w:tc>
              <w:tc>
                <w:tcPr>
                  <w:tcW w:w="924" w:type="dxa"/>
                  <w:tcBorders>
                    <w:left w:val="single" w:color="auto" w:sz="4" w:space="0"/>
                    <w:bottom w:val="single" w:color="auto" w:sz="4" w:space="0"/>
                    <w:right w:val="single" w:color="auto" w:sz="4" w:space="0"/>
                  </w:tcBorders>
                  <w:vAlign w:val="center"/>
                </w:tcPr>
                <w:p w14:paraId="33D69CC0">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1078" w:type="dxa"/>
                  <w:tcBorders>
                    <w:top w:val="single" w:color="auto" w:sz="4" w:space="0"/>
                    <w:left w:val="single" w:color="auto" w:sz="4" w:space="0"/>
                    <w:bottom w:val="single" w:color="auto" w:sz="4" w:space="0"/>
                    <w:right w:val="single" w:color="auto" w:sz="4" w:space="0"/>
                  </w:tcBorders>
                  <w:vAlign w:val="center"/>
                </w:tcPr>
                <w:p w14:paraId="18A41043">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46" w:type="dxa"/>
                  <w:tcBorders>
                    <w:top w:val="single" w:color="auto" w:sz="4" w:space="0"/>
                    <w:left w:val="single" w:color="auto" w:sz="4" w:space="0"/>
                    <w:bottom w:val="single" w:color="auto" w:sz="4" w:space="0"/>
                    <w:right w:val="single" w:color="auto" w:sz="4" w:space="0"/>
                  </w:tcBorders>
                  <w:vAlign w:val="center"/>
                </w:tcPr>
                <w:p w14:paraId="28A188CE">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968" w:type="dxa"/>
                  <w:tcBorders>
                    <w:top w:val="single" w:color="auto" w:sz="4" w:space="0"/>
                    <w:left w:val="single" w:color="auto" w:sz="4" w:space="0"/>
                    <w:right w:val="single" w:color="auto" w:sz="4" w:space="0"/>
                  </w:tcBorders>
                  <w:vAlign w:val="center"/>
                </w:tcPr>
                <w:p w14:paraId="3E33936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80" w:type="dxa"/>
                  <w:tcBorders>
                    <w:top w:val="single" w:color="auto" w:sz="4" w:space="0"/>
                    <w:left w:val="single" w:color="auto" w:sz="4" w:space="0"/>
                    <w:right w:val="single" w:color="auto" w:sz="4" w:space="0"/>
                  </w:tcBorders>
                  <w:vAlign w:val="center"/>
                </w:tcPr>
                <w:p w14:paraId="27BA7F19">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26" w:type="dxa"/>
                  <w:tcBorders>
                    <w:top w:val="single" w:color="auto" w:sz="4" w:space="0"/>
                    <w:left w:val="single" w:color="auto" w:sz="4" w:space="0"/>
                    <w:right w:val="single" w:color="auto" w:sz="4" w:space="0"/>
                  </w:tcBorders>
                  <w:vAlign w:val="center"/>
                </w:tcPr>
                <w:p w14:paraId="2548858F">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770" w:type="dxa"/>
                  <w:tcBorders>
                    <w:top w:val="single" w:color="auto" w:sz="4" w:space="0"/>
                    <w:left w:val="single" w:color="auto" w:sz="4" w:space="0"/>
                    <w:right w:val="single" w:color="auto" w:sz="4" w:space="0"/>
                  </w:tcBorders>
                  <w:vAlign w:val="center"/>
                </w:tcPr>
                <w:p w14:paraId="10D31952">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50" w:type="dxa"/>
                  <w:tcBorders>
                    <w:top w:val="single" w:color="auto" w:sz="4" w:space="0"/>
                    <w:left w:val="single" w:color="auto" w:sz="4" w:space="0"/>
                    <w:right w:val="single" w:color="auto" w:sz="4" w:space="0"/>
                  </w:tcBorders>
                  <w:vAlign w:val="center"/>
                </w:tcPr>
                <w:p w14:paraId="6CA9F039">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682" w:type="dxa"/>
                  <w:tcBorders>
                    <w:top w:val="single" w:color="auto" w:sz="4" w:space="0"/>
                    <w:left w:val="single" w:color="auto" w:sz="4" w:space="0"/>
                    <w:right w:val="single" w:color="auto" w:sz="4" w:space="0"/>
                  </w:tcBorders>
                  <w:vAlign w:val="center"/>
                </w:tcPr>
                <w:p w14:paraId="2BE24B71">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877" w:type="dxa"/>
                  <w:tcBorders>
                    <w:top w:val="single" w:color="auto" w:sz="4" w:space="0"/>
                    <w:left w:val="single" w:color="auto" w:sz="4" w:space="0"/>
                    <w:bottom w:val="single" w:color="auto" w:sz="4" w:space="0"/>
                    <w:right w:val="single" w:color="auto" w:sz="4" w:space="0"/>
                  </w:tcBorders>
                  <w:vAlign w:val="center"/>
                </w:tcPr>
                <w:p w14:paraId="2204F073">
                  <w:pPr>
                    <w:keepNext w:val="0"/>
                    <w:keepLines w:val="0"/>
                    <w:widowControl/>
                    <w:suppressLineNumbers w:val="0"/>
                    <w:jc w:val="center"/>
                    <w:textAlignment w:val="center"/>
                    <w:rPr>
                      <w:rFonts w:hint="default"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微量</w:t>
                  </w:r>
                </w:p>
              </w:tc>
              <w:tc>
                <w:tcPr>
                  <w:tcW w:w="2796" w:type="dxa"/>
                  <w:gridSpan w:val="4"/>
                  <w:tcBorders>
                    <w:top w:val="single" w:color="auto" w:sz="4" w:space="0"/>
                    <w:left w:val="single" w:color="auto" w:sz="4" w:space="0"/>
                    <w:bottom w:val="single" w:color="auto" w:sz="4" w:space="0"/>
                    <w:right w:val="single" w:color="auto" w:sz="4" w:space="0"/>
                  </w:tcBorders>
                  <w:vAlign w:val="center"/>
                </w:tcPr>
                <w:p w14:paraId="4F32C83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highlight w:val="none"/>
                      <w:u w:val="none"/>
                      <w:lang w:val="en-US" w:eastAsia="zh-CN" w:bidi="ar"/>
                    </w:rPr>
                  </w:pPr>
                  <w:r>
                    <w:rPr>
                      <w:rFonts w:hint="eastAsia" w:cs="Times New Roman"/>
                      <w:i w:val="0"/>
                      <w:iCs w:val="0"/>
                      <w:color w:val="000000"/>
                      <w:kern w:val="0"/>
                      <w:sz w:val="18"/>
                      <w:szCs w:val="18"/>
                      <w:highlight w:val="none"/>
                      <w:u w:val="none"/>
                      <w:lang w:val="en-US" w:eastAsia="zh-CN" w:bidi="ar"/>
                    </w:rPr>
                    <w:t>/</w:t>
                  </w:r>
                </w:p>
              </w:tc>
            </w:tr>
          </w:tbl>
          <w:p w14:paraId="4258576A">
            <w:pPr>
              <w:jc w:val="center"/>
              <w:rPr>
                <w:rFonts w:hint="eastAsia" w:eastAsia="宋体"/>
                <w:b/>
                <w:bCs/>
                <w:lang w:eastAsia="zh-CN"/>
              </w:rPr>
            </w:pPr>
            <w:r>
              <w:rPr>
                <w:b/>
                <w:bCs/>
              </w:rPr>
              <w:t>表4-</w:t>
            </w:r>
            <w:r>
              <w:rPr>
                <w:rFonts w:hint="eastAsia"/>
                <w:b/>
                <w:bCs/>
                <w:lang w:val="en-US" w:eastAsia="zh-CN"/>
              </w:rPr>
              <w:t>2</w:t>
            </w:r>
            <w:r>
              <w:rPr>
                <w:b/>
                <w:bCs/>
              </w:rPr>
              <w:t>大气污染物排放口基本情况表</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536"/>
              <w:gridCol w:w="556"/>
              <w:gridCol w:w="666"/>
              <w:gridCol w:w="923"/>
              <w:gridCol w:w="882"/>
              <w:gridCol w:w="785"/>
              <w:gridCol w:w="1335"/>
              <w:gridCol w:w="562"/>
              <w:gridCol w:w="684"/>
              <w:gridCol w:w="567"/>
              <w:gridCol w:w="834"/>
              <w:gridCol w:w="904"/>
              <w:gridCol w:w="975"/>
              <w:gridCol w:w="882"/>
              <w:gridCol w:w="641"/>
              <w:gridCol w:w="849"/>
            </w:tblGrid>
            <w:tr w14:paraId="64A5B3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6" w:type="dxa"/>
                  <w:vMerge w:val="restart"/>
                  <w:vAlign w:val="center"/>
                </w:tcPr>
                <w:p w14:paraId="10359259">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序号</w:t>
                  </w:r>
                </w:p>
              </w:tc>
              <w:tc>
                <w:tcPr>
                  <w:tcW w:w="556" w:type="dxa"/>
                  <w:vMerge w:val="restart"/>
                  <w:vAlign w:val="center"/>
                </w:tcPr>
                <w:p w14:paraId="4A0FE16A">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排放时段</w:t>
                  </w:r>
                </w:p>
              </w:tc>
              <w:tc>
                <w:tcPr>
                  <w:tcW w:w="666" w:type="dxa"/>
                  <w:vMerge w:val="restart"/>
                  <w:vAlign w:val="center"/>
                </w:tcPr>
                <w:p w14:paraId="1145106E">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排放口</w:t>
                  </w:r>
                </w:p>
                <w:p w14:paraId="185D8700">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编号</w:t>
                  </w:r>
                </w:p>
              </w:tc>
              <w:tc>
                <w:tcPr>
                  <w:tcW w:w="923" w:type="dxa"/>
                  <w:vMerge w:val="restart"/>
                  <w:vAlign w:val="center"/>
                </w:tcPr>
                <w:p w14:paraId="14D4953B">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排放口</w:t>
                  </w:r>
                </w:p>
                <w:p w14:paraId="14A49B2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名称</w:t>
                  </w:r>
                </w:p>
              </w:tc>
              <w:tc>
                <w:tcPr>
                  <w:tcW w:w="882" w:type="dxa"/>
                  <w:vMerge w:val="restart"/>
                  <w:vAlign w:val="center"/>
                </w:tcPr>
                <w:p w14:paraId="6DAC82B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排放口</w:t>
                  </w:r>
                </w:p>
                <w:p w14:paraId="46EE95E9">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类型</w:t>
                  </w:r>
                </w:p>
              </w:tc>
              <w:tc>
                <w:tcPr>
                  <w:tcW w:w="785" w:type="dxa"/>
                  <w:vMerge w:val="restart"/>
                  <w:vAlign w:val="center"/>
                </w:tcPr>
                <w:p w14:paraId="664B05A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污染物种类</w:t>
                  </w:r>
                </w:p>
              </w:tc>
              <w:tc>
                <w:tcPr>
                  <w:tcW w:w="1335" w:type="dxa"/>
                  <w:vAlign w:val="center"/>
                </w:tcPr>
                <w:p w14:paraId="3954E533">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排放口地理坐标</w:t>
                  </w:r>
                </w:p>
              </w:tc>
              <w:tc>
                <w:tcPr>
                  <w:tcW w:w="562" w:type="dxa"/>
                  <w:vMerge w:val="restart"/>
                  <w:vAlign w:val="center"/>
                </w:tcPr>
                <w:p w14:paraId="3B2FF57B">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排气筒高度（m）</w:t>
                  </w:r>
                </w:p>
              </w:tc>
              <w:tc>
                <w:tcPr>
                  <w:tcW w:w="684" w:type="dxa"/>
                  <w:vMerge w:val="restart"/>
                  <w:vAlign w:val="center"/>
                </w:tcPr>
                <w:p w14:paraId="2450FFCE">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排气筒出口</w:t>
                  </w:r>
                </w:p>
                <w:p w14:paraId="2B5C573D">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内径（m）</w:t>
                  </w:r>
                </w:p>
              </w:tc>
              <w:tc>
                <w:tcPr>
                  <w:tcW w:w="567" w:type="dxa"/>
                  <w:vMerge w:val="restart"/>
                  <w:vAlign w:val="center"/>
                </w:tcPr>
                <w:p w14:paraId="5BFA162D">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排气温度（℃）</w:t>
                  </w:r>
                </w:p>
              </w:tc>
              <w:tc>
                <w:tcPr>
                  <w:tcW w:w="834" w:type="dxa"/>
                  <w:vMerge w:val="restart"/>
                  <w:vAlign w:val="center"/>
                </w:tcPr>
                <w:p w14:paraId="0CDD4919">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废气排放量（m</w:t>
                  </w:r>
                  <w:r>
                    <w:rPr>
                      <w:b/>
                      <w:bCs/>
                      <w:sz w:val="18"/>
                      <w:szCs w:val="18"/>
                      <w:vertAlign w:val="superscript"/>
                    </w:rPr>
                    <w:t>3</w:t>
                  </w:r>
                  <w:r>
                    <w:rPr>
                      <w:b/>
                      <w:bCs/>
                      <w:sz w:val="18"/>
                      <w:szCs w:val="18"/>
                    </w:rPr>
                    <w:t>/h）</w:t>
                  </w:r>
                </w:p>
              </w:tc>
              <w:tc>
                <w:tcPr>
                  <w:tcW w:w="904" w:type="dxa"/>
                  <w:vMerge w:val="restart"/>
                  <w:vAlign w:val="center"/>
                </w:tcPr>
                <w:p w14:paraId="2AA59D55">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污染物排放量（t/a）</w:t>
                  </w:r>
                </w:p>
              </w:tc>
              <w:tc>
                <w:tcPr>
                  <w:tcW w:w="975" w:type="dxa"/>
                  <w:vMerge w:val="restart"/>
                  <w:vAlign w:val="center"/>
                </w:tcPr>
                <w:p w14:paraId="6C1FBF90">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污染物排放</w:t>
                  </w:r>
                </w:p>
                <w:p w14:paraId="531C3AB9">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浓度（mg/m</w:t>
                  </w:r>
                  <w:r>
                    <w:rPr>
                      <w:b/>
                      <w:bCs/>
                      <w:sz w:val="18"/>
                      <w:szCs w:val="18"/>
                      <w:vertAlign w:val="superscript"/>
                    </w:rPr>
                    <w:t>3</w:t>
                  </w:r>
                  <w:r>
                    <w:rPr>
                      <w:b/>
                      <w:bCs/>
                      <w:sz w:val="18"/>
                      <w:szCs w:val="18"/>
                    </w:rPr>
                    <w:t>）</w:t>
                  </w:r>
                </w:p>
              </w:tc>
              <w:tc>
                <w:tcPr>
                  <w:tcW w:w="882" w:type="dxa"/>
                  <w:vMerge w:val="restart"/>
                  <w:vAlign w:val="center"/>
                </w:tcPr>
                <w:p w14:paraId="0A1081CD">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排放速率（kg/h）</w:t>
                  </w:r>
                </w:p>
              </w:tc>
              <w:tc>
                <w:tcPr>
                  <w:tcW w:w="641" w:type="dxa"/>
                  <w:vMerge w:val="restart"/>
                  <w:vAlign w:val="center"/>
                </w:tcPr>
                <w:p w14:paraId="3D9A2ABF">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排放时间（h</w:t>
                  </w:r>
                  <w:r>
                    <w:rPr>
                      <w:rFonts w:hint="eastAsia"/>
                      <w:b/>
                      <w:bCs/>
                      <w:sz w:val="18"/>
                      <w:szCs w:val="18"/>
                      <w:lang w:val="en-US" w:eastAsia="zh-CN"/>
                    </w:rPr>
                    <w:t>/a</w:t>
                  </w:r>
                  <w:r>
                    <w:rPr>
                      <w:b/>
                      <w:bCs/>
                      <w:sz w:val="18"/>
                      <w:szCs w:val="18"/>
                    </w:rPr>
                    <w:t>）</w:t>
                  </w:r>
                </w:p>
              </w:tc>
              <w:tc>
                <w:tcPr>
                  <w:tcW w:w="849" w:type="dxa"/>
                  <w:vMerge w:val="restart"/>
                  <w:vAlign w:val="center"/>
                </w:tcPr>
                <w:p w14:paraId="59211F90">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b/>
                      <w:bCs/>
                      <w:sz w:val="18"/>
                      <w:szCs w:val="18"/>
                    </w:rPr>
                  </w:pPr>
                  <w:r>
                    <w:rPr>
                      <w:b/>
                      <w:bCs/>
                      <w:sz w:val="18"/>
                      <w:szCs w:val="18"/>
                    </w:rPr>
                    <w:t>排放标准限值</w:t>
                  </w:r>
                </w:p>
              </w:tc>
            </w:tr>
            <w:tr w14:paraId="52FA1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536" w:type="dxa"/>
                  <w:vMerge w:val="continue"/>
                  <w:vAlign w:val="center"/>
                </w:tcPr>
                <w:p w14:paraId="00292C86">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556" w:type="dxa"/>
                  <w:vMerge w:val="continue"/>
                  <w:vAlign w:val="center"/>
                </w:tcPr>
                <w:p w14:paraId="46A92779">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666" w:type="dxa"/>
                  <w:vMerge w:val="continue"/>
                  <w:vAlign w:val="center"/>
                </w:tcPr>
                <w:p w14:paraId="1150C9F2">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923" w:type="dxa"/>
                  <w:vMerge w:val="continue"/>
                  <w:vAlign w:val="center"/>
                </w:tcPr>
                <w:p w14:paraId="51075226">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882" w:type="dxa"/>
                  <w:vMerge w:val="continue"/>
                  <w:vAlign w:val="center"/>
                </w:tcPr>
                <w:p w14:paraId="4E8547F3">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785" w:type="dxa"/>
                  <w:vMerge w:val="continue"/>
                  <w:vAlign w:val="center"/>
                </w:tcPr>
                <w:p w14:paraId="375455CB">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rPr>
                  </w:pPr>
                </w:p>
              </w:tc>
              <w:tc>
                <w:tcPr>
                  <w:tcW w:w="1335" w:type="dxa"/>
                  <w:vAlign w:val="center"/>
                </w:tcPr>
                <w:p w14:paraId="03019A1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rPr>
                  </w:pPr>
                  <w:r>
                    <w:rPr>
                      <w:b/>
                      <w:bCs/>
                      <w:sz w:val="18"/>
                      <w:szCs w:val="18"/>
                    </w:rPr>
                    <w:t>经度、纬度</w:t>
                  </w:r>
                </w:p>
              </w:tc>
              <w:tc>
                <w:tcPr>
                  <w:tcW w:w="562" w:type="dxa"/>
                  <w:vMerge w:val="continue"/>
                  <w:vAlign w:val="center"/>
                </w:tcPr>
                <w:p w14:paraId="16491B3A">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684" w:type="dxa"/>
                  <w:vMerge w:val="continue"/>
                  <w:vAlign w:val="center"/>
                </w:tcPr>
                <w:p w14:paraId="117D04F3">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567" w:type="dxa"/>
                  <w:vMerge w:val="continue"/>
                  <w:vAlign w:val="center"/>
                </w:tcPr>
                <w:p w14:paraId="37415DBF">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834" w:type="dxa"/>
                  <w:vMerge w:val="continue"/>
                  <w:vAlign w:val="center"/>
                </w:tcPr>
                <w:p w14:paraId="6DB15F4D">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904" w:type="dxa"/>
                  <w:vMerge w:val="continue"/>
                  <w:vAlign w:val="center"/>
                </w:tcPr>
                <w:p w14:paraId="3EFC4854">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975" w:type="dxa"/>
                  <w:vMerge w:val="continue"/>
                  <w:vAlign w:val="center"/>
                </w:tcPr>
                <w:p w14:paraId="74CBD8AE">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882" w:type="dxa"/>
                  <w:vMerge w:val="continue"/>
                  <w:vAlign w:val="center"/>
                </w:tcPr>
                <w:p w14:paraId="54E4A077">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641" w:type="dxa"/>
                  <w:vMerge w:val="continue"/>
                  <w:vAlign w:val="center"/>
                </w:tcPr>
                <w:p w14:paraId="7D513566">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c>
                <w:tcPr>
                  <w:tcW w:w="849" w:type="dxa"/>
                  <w:vMerge w:val="continue"/>
                  <w:vAlign w:val="center"/>
                </w:tcPr>
                <w:p w14:paraId="2BF36108">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color w:val="FF0000"/>
                      <w:sz w:val="18"/>
                      <w:szCs w:val="18"/>
                    </w:rPr>
                  </w:pPr>
                </w:p>
              </w:tc>
            </w:tr>
            <w:tr w14:paraId="5D8C9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36" w:type="dxa"/>
                  <w:vMerge w:val="restart"/>
                  <w:vAlign w:val="center"/>
                </w:tcPr>
                <w:p w14:paraId="2C631DA4">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sz w:val="18"/>
                      <w:szCs w:val="18"/>
                      <w:lang w:eastAsia="zh-CN"/>
                    </w:rPr>
                  </w:pPr>
                  <w:r>
                    <w:rPr>
                      <w:rFonts w:hint="eastAsia"/>
                      <w:sz w:val="18"/>
                      <w:szCs w:val="18"/>
                      <w:lang w:val="en-US" w:eastAsia="zh-CN"/>
                    </w:rPr>
                    <w:t>1</w:t>
                  </w:r>
                </w:p>
              </w:tc>
              <w:tc>
                <w:tcPr>
                  <w:tcW w:w="556" w:type="dxa"/>
                  <w:vMerge w:val="restart"/>
                  <w:vAlign w:val="center"/>
                </w:tcPr>
                <w:p w14:paraId="27D2D016">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sz w:val="18"/>
                      <w:szCs w:val="18"/>
                      <w:lang w:eastAsia="zh-CN"/>
                    </w:rPr>
                  </w:pPr>
                  <w:r>
                    <w:rPr>
                      <w:rFonts w:hint="eastAsia"/>
                      <w:sz w:val="18"/>
                      <w:szCs w:val="18"/>
                      <w:lang w:eastAsia="zh-CN"/>
                    </w:rPr>
                    <w:t>间断</w:t>
                  </w:r>
                </w:p>
              </w:tc>
              <w:tc>
                <w:tcPr>
                  <w:tcW w:w="666" w:type="dxa"/>
                  <w:vMerge w:val="restart"/>
                  <w:vAlign w:val="center"/>
                </w:tcPr>
                <w:p w14:paraId="2E5AE30D">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sz w:val="18"/>
                      <w:szCs w:val="18"/>
                      <w:lang w:eastAsia="zh-CN"/>
                    </w:rPr>
                  </w:pPr>
                  <w:r>
                    <w:rPr>
                      <w:rFonts w:hint="eastAsia"/>
                      <w:sz w:val="18"/>
                      <w:szCs w:val="18"/>
                    </w:rPr>
                    <w:t>DA00</w:t>
                  </w:r>
                  <w:r>
                    <w:rPr>
                      <w:rFonts w:hint="eastAsia"/>
                      <w:sz w:val="18"/>
                      <w:szCs w:val="18"/>
                      <w:lang w:val="en-US" w:eastAsia="zh-CN"/>
                    </w:rPr>
                    <w:t>1</w:t>
                  </w:r>
                </w:p>
              </w:tc>
              <w:tc>
                <w:tcPr>
                  <w:tcW w:w="923" w:type="dxa"/>
                  <w:vMerge w:val="restart"/>
                  <w:vAlign w:val="center"/>
                </w:tcPr>
                <w:p w14:paraId="7A1DFD3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rPr>
                  </w:pPr>
                  <w:r>
                    <w:rPr>
                      <w:rFonts w:hint="eastAsia" w:cs="Times New Roman"/>
                      <w:bCs/>
                      <w:color w:val="000000"/>
                      <w:sz w:val="18"/>
                      <w:szCs w:val="18"/>
                      <w:vertAlign w:val="baseline"/>
                      <w:lang w:val="en-US" w:eastAsia="zh-CN"/>
                    </w:rPr>
                    <w:t>两级活性炭</w:t>
                  </w:r>
                  <w:r>
                    <w:rPr>
                      <w:rFonts w:hint="default" w:ascii="Times New Roman" w:hAnsi="Times New Roman" w:cs="Times New Roman"/>
                      <w:bCs/>
                      <w:color w:val="000000"/>
                      <w:sz w:val="18"/>
                      <w:szCs w:val="18"/>
                      <w:vertAlign w:val="baseline"/>
                      <w:lang w:val="en-US" w:eastAsia="zh-CN"/>
                    </w:rPr>
                    <w:t>排气筒</w:t>
                  </w:r>
                </w:p>
              </w:tc>
              <w:tc>
                <w:tcPr>
                  <w:tcW w:w="882" w:type="dxa"/>
                  <w:vMerge w:val="restart"/>
                  <w:vAlign w:val="center"/>
                </w:tcPr>
                <w:p w14:paraId="4A47BF12">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sz w:val="18"/>
                      <w:szCs w:val="18"/>
                      <w:lang w:eastAsia="zh-CN"/>
                    </w:rPr>
                  </w:pPr>
                  <w:r>
                    <w:rPr>
                      <w:rFonts w:hint="eastAsia"/>
                      <w:sz w:val="18"/>
                      <w:szCs w:val="18"/>
                      <w:lang w:eastAsia="zh-CN"/>
                    </w:rPr>
                    <w:t>一般排放口</w:t>
                  </w:r>
                </w:p>
              </w:tc>
              <w:tc>
                <w:tcPr>
                  <w:tcW w:w="785" w:type="dxa"/>
                  <w:vAlign w:val="center"/>
                </w:tcPr>
                <w:p w14:paraId="3D348FE6">
                  <w:pPr>
                    <w:jc w:val="center"/>
                    <w:rPr>
                      <w:rFonts w:ascii="Times New Roman" w:hAnsi="Times New Roman" w:eastAsia="宋体" w:cs="Times New Roman"/>
                      <w:kern w:val="0"/>
                      <w:sz w:val="18"/>
                      <w:szCs w:val="18"/>
                      <w:highlight w:val="none"/>
                      <w:lang w:val="en-US" w:eastAsia="zh-CN" w:bidi="ar-SA"/>
                    </w:rPr>
                  </w:pPr>
                  <w:r>
                    <w:rPr>
                      <w:rFonts w:hint="eastAsia"/>
                      <w:color w:val="auto"/>
                      <w:kern w:val="0"/>
                      <w:sz w:val="18"/>
                      <w:szCs w:val="18"/>
                      <w:highlight w:val="none"/>
                    </w:rPr>
                    <w:t>颗粒物</w:t>
                  </w:r>
                </w:p>
              </w:tc>
              <w:tc>
                <w:tcPr>
                  <w:tcW w:w="1335" w:type="dxa"/>
                  <w:vMerge w:val="restart"/>
                  <w:vAlign w:val="center"/>
                </w:tcPr>
                <w:p w14:paraId="65067FFF">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eastAsia="宋体"/>
                      <w:bCs/>
                      <w:kern w:val="0"/>
                      <w:sz w:val="18"/>
                      <w:szCs w:val="18"/>
                      <w:highlight w:val="none"/>
                      <w:lang w:val="en-US" w:eastAsia="zh-CN"/>
                    </w:rPr>
                  </w:pPr>
                  <w:r>
                    <w:rPr>
                      <w:rFonts w:hint="eastAsia"/>
                      <w:bCs/>
                      <w:kern w:val="0"/>
                      <w:sz w:val="18"/>
                      <w:szCs w:val="18"/>
                      <w:highlight w:val="none"/>
                      <w:lang w:val="en-US" w:eastAsia="zh-CN"/>
                    </w:rPr>
                    <w:t>117.930766°E</w:t>
                  </w:r>
                  <w:r>
                    <w:rPr>
                      <w:rFonts w:hint="eastAsia"/>
                      <w:bCs/>
                      <w:kern w:val="0"/>
                      <w:sz w:val="18"/>
                      <w:szCs w:val="18"/>
                      <w:highlight w:val="none"/>
                      <w:lang w:eastAsia="zh-CN"/>
                    </w:rPr>
                    <w:t>；</w:t>
                  </w:r>
                  <w:r>
                    <w:rPr>
                      <w:rFonts w:hint="eastAsia"/>
                      <w:bCs/>
                      <w:kern w:val="0"/>
                      <w:sz w:val="18"/>
                      <w:szCs w:val="18"/>
                      <w:highlight w:val="none"/>
                      <w:lang w:val="en-US" w:eastAsia="zh-CN"/>
                    </w:rPr>
                    <w:t>36.680929°N</w:t>
                  </w:r>
                </w:p>
              </w:tc>
              <w:tc>
                <w:tcPr>
                  <w:tcW w:w="562" w:type="dxa"/>
                  <w:vMerge w:val="restart"/>
                  <w:vAlign w:val="center"/>
                </w:tcPr>
                <w:p w14:paraId="2E7101E7">
                  <w:pPr>
                    <w:contextualSpacing/>
                    <w:jc w:val="center"/>
                    <w:rPr>
                      <w:rFonts w:hint="default"/>
                      <w:sz w:val="18"/>
                      <w:szCs w:val="18"/>
                      <w:lang w:val="en-US"/>
                    </w:rPr>
                  </w:pPr>
                  <w:r>
                    <w:rPr>
                      <w:rFonts w:hint="eastAsia"/>
                      <w:sz w:val="18"/>
                      <w:szCs w:val="18"/>
                      <w:lang w:val="en-US" w:eastAsia="zh-CN"/>
                    </w:rPr>
                    <w:t>15</w:t>
                  </w:r>
                </w:p>
              </w:tc>
              <w:tc>
                <w:tcPr>
                  <w:tcW w:w="684" w:type="dxa"/>
                  <w:vMerge w:val="restart"/>
                  <w:vAlign w:val="center"/>
                </w:tcPr>
                <w:p w14:paraId="12052608">
                  <w:pPr>
                    <w:spacing w:line="240" w:lineRule="exact"/>
                    <w:jc w:val="center"/>
                    <w:rPr>
                      <w:rFonts w:hint="default" w:eastAsia="宋体"/>
                      <w:sz w:val="18"/>
                      <w:szCs w:val="18"/>
                      <w:lang w:val="en-US" w:eastAsia="zh-CN"/>
                    </w:rPr>
                  </w:pPr>
                  <w:r>
                    <w:rPr>
                      <w:rFonts w:hint="eastAsia"/>
                      <w:color w:val="auto"/>
                      <w:sz w:val="18"/>
                      <w:szCs w:val="18"/>
                      <w:lang w:val="en-US" w:eastAsia="zh-CN"/>
                    </w:rPr>
                    <w:t>0.6</w:t>
                  </w:r>
                </w:p>
              </w:tc>
              <w:tc>
                <w:tcPr>
                  <w:tcW w:w="567" w:type="dxa"/>
                  <w:vMerge w:val="restart"/>
                  <w:vAlign w:val="center"/>
                </w:tcPr>
                <w:p w14:paraId="43EFC72B">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eastAsia="宋体"/>
                      <w:sz w:val="18"/>
                      <w:szCs w:val="18"/>
                      <w:lang w:val="en-US" w:eastAsia="zh-CN"/>
                    </w:rPr>
                  </w:pPr>
                  <w:r>
                    <w:rPr>
                      <w:rFonts w:hint="eastAsia"/>
                      <w:sz w:val="18"/>
                      <w:szCs w:val="18"/>
                      <w:lang w:val="en-US" w:eastAsia="zh-CN"/>
                    </w:rPr>
                    <w:t>25</w:t>
                  </w:r>
                </w:p>
              </w:tc>
              <w:tc>
                <w:tcPr>
                  <w:tcW w:w="834" w:type="dxa"/>
                  <w:vMerge w:val="restart"/>
                  <w:vAlign w:val="center"/>
                </w:tcPr>
                <w:p w14:paraId="2891E7FA">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eastAsia="宋体"/>
                      <w:sz w:val="18"/>
                      <w:szCs w:val="18"/>
                      <w:lang w:val="en-US" w:eastAsia="zh-CN"/>
                    </w:rPr>
                  </w:pPr>
                  <w:r>
                    <w:rPr>
                      <w:rFonts w:hint="eastAsia"/>
                      <w:sz w:val="18"/>
                      <w:szCs w:val="18"/>
                      <w:lang w:val="en-US" w:eastAsia="zh-CN"/>
                    </w:rPr>
                    <w:t>10000</w:t>
                  </w:r>
                </w:p>
              </w:tc>
              <w:tc>
                <w:tcPr>
                  <w:tcW w:w="904" w:type="dxa"/>
                  <w:vAlign w:val="center"/>
                </w:tcPr>
                <w:p w14:paraId="7BE39584">
                  <w:pPr>
                    <w:keepNext w:val="0"/>
                    <w:keepLines w:val="0"/>
                    <w:widowControl/>
                    <w:suppressLineNumbers w:val="0"/>
                    <w:jc w:val="center"/>
                    <w:textAlignment w:val="center"/>
                    <w:rPr>
                      <w:rFonts w:hint="default" w:ascii="Times New Roman" w:hAnsi="Times New Roman" w:eastAsia="宋体" w:cs="Times New Roman"/>
                      <w:kern w:val="0"/>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0.0503</w:t>
                  </w:r>
                </w:p>
              </w:tc>
              <w:tc>
                <w:tcPr>
                  <w:tcW w:w="975" w:type="dxa"/>
                  <w:vAlign w:val="center"/>
                </w:tcPr>
                <w:p w14:paraId="66CE33B0">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eastAsia" w:cs="Times New Roman"/>
                      <w:i w:val="0"/>
                      <w:iCs w:val="0"/>
                      <w:color w:val="000000"/>
                      <w:kern w:val="0"/>
                      <w:sz w:val="18"/>
                      <w:szCs w:val="18"/>
                      <w:u w:val="none"/>
                      <w:lang w:val="en-US" w:eastAsia="zh-CN" w:bidi="ar"/>
                    </w:rPr>
                    <w:t>2.1</w:t>
                  </w:r>
                </w:p>
              </w:tc>
              <w:tc>
                <w:tcPr>
                  <w:tcW w:w="882" w:type="dxa"/>
                  <w:vAlign w:val="center"/>
                </w:tcPr>
                <w:p w14:paraId="7354ED23">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0.0419</w:t>
                  </w:r>
                </w:p>
              </w:tc>
              <w:tc>
                <w:tcPr>
                  <w:tcW w:w="641" w:type="dxa"/>
                  <w:vMerge w:val="restart"/>
                  <w:vAlign w:val="center"/>
                </w:tcPr>
                <w:p w14:paraId="498DC0AC">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eastAsia="宋体"/>
                      <w:color w:val="FF0000"/>
                      <w:sz w:val="18"/>
                      <w:szCs w:val="18"/>
                      <w:lang w:val="en-US" w:eastAsia="zh-CN"/>
                    </w:rPr>
                  </w:pPr>
                  <w:r>
                    <w:rPr>
                      <w:rFonts w:hint="eastAsia"/>
                      <w:color w:val="auto"/>
                      <w:sz w:val="18"/>
                      <w:szCs w:val="18"/>
                      <w:lang w:val="en-US" w:eastAsia="zh-CN"/>
                    </w:rPr>
                    <w:t>1200</w:t>
                  </w:r>
                </w:p>
              </w:tc>
              <w:tc>
                <w:tcPr>
                  <w:tcW w:w="849" w:type="dxa"/>
                  <w:vAlign w:val="center"/>
                </w:tcPr>
                <w:p w14:paraId="67183FE6">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rPr>
                  </w:pPr>
                  <w:r>
                    <w:rPr>
                      <w:rFonts w:hint="eastAsia"/>
                      <w:sz w:val="18"/>
                      <w:szCs w:val="18"/>
                      <w:lang w:val="en-US" w:eastAsia="zh-CN"/>
                    </w:rPr>
                    <w:t>10</w:t>
                  </w:r>
                  <w:r>
                    <w:rPr>
                      <w:sz w:val="18"/>
                      <w:szCs w:val="18"/>
                    </w:rPr>
                    <w:t>mg/m</w:t>
                  </w:r>
                  <w:r>
                    <w:rPr>
                      <w:sz w:val="18"/>
                      <w:szCs w:val="18"/>
                      <w:vertAlign w:val="superscript"/>
                    </w:rPr>
                    <w:t>3</w:t>
                  </w:r>
                </w:p>
              </w:tc>
            </w:tr>
            <w:tr w14:paraId="33BFC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5" w:hRule="atLeast"/>
                <w:jc w:val="center"/>
              </w:trPr>
              <w:tc>
                <w:tcPr>
                  <w:tcW w:w="536" w:type="dxa"/>
                  <w:vMerge w:val="continue"/>
                  <w:vAlign w:val="center"/>
                </w:tcPr>
                <w:p w14:paraId="37FA7657">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val="en-US" w:eastAsia="zh-CN"/>
                    </w:rPr>
                  </w:pPr>
                </w:p>
              </w:tc>
              <w:tc>
                <w:tcPr>
                  <w:tcW w:w="556" w:type="dxa"/>
                  <w:vMerge w:val="continue"/>
                  <w:vAlign w:val="center"/>
                </w:tcPr>
                <w:p w14:paraId="3F7D4E8F">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666" w:type="dxa"/>
                  <w:vMerge w:val="continue"/>
                  <w:vAlign w:val="center"/>
                </w:tcPr>
                <w:p w14:paraId="7A689E6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rPr>
                  </w:pPr>
                </w:p>
              </w:tc>
              <w:tc>
                <w:tcPr>
                  <w:tcW w:w="923" w:type="dxa"/>
                  <w:vMerge w:val="continue"/>
                  <w:vAlign w:val="center"/>
                </w:tcPr>
                <w:p w14:paraId="255417A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882" w:type="dxa"/>
                  <w:vMerge w:val="continue"/>
                  <w:vAlign w:val="center"/>
                </w:tcPr>
                <w:p w14:paraId="7D35165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rPr>
                  </w:pPr>
                </w:p>
              </w:tc>
              <w:tc>
                <w:tcPr>
                  <w:tcW w:w="785" w:type="dxa"/>
                  <w:vAlign w:val="center"/>
                </w:tcPr>
                <w:p w14:paraId="38286210">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sz w:val="18"/>
                      <w:szCs w:val="18"/>
                      <w:highlight w:val="none"/>
                      <w:lang w:val="en-US" w:eastAsia="zh-CN"/>
                    </w:rPr>
                    <w:t>VOCs</w:t>
                  </w:r>
                </w:p>
              </w:tc>
              <w:tc>
                <w:tcPr>
                  <w:tcW w:w="1335" w:type="dxa"/>
                  <w:vMerge w:val="continue"/>
                  <w:vAlign w:val="center"/>
                </w:tcPr>
                <w:p w14:paraId="29A76A1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highlight w:val="none"/>
                    </w:rPr>
                  </w:pPr>
                </w:p>
              </w:tc>
              <w:tc>
                <w:tcPr>
                  <w:tcW w:w="562" w:type="dxa"/>
                  <w:vMerge w:val="continue"/>
                  <w:vAlign w:val="center"/>
                </w:tcPr>
                <w:p w14:paraId="6D70D062">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sz w:val="18"/>
                      <w:szCs w:val="18"/>
                    </w:rPr>
                  </w:pPr>
                </w:p>
              </w:tc>
              <w:tc>
                <w:tcPr>
                  <w:tcW w:w="684" w:type="dxa"/>
                  <w:vMerge w:val="continue"/>
                  <w:vAlign w:val="center"/>
                </w:tcPr>
                <w:p w14:paraId="2745E14F">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sz w:val="18"/>
                      <w:szCs w:val="18"/>
                    </w:rPr>
                  </w:pPr>
                </w:p>
              </w:tc>
              <w:tc>
                <w:tcPr>
                  <w:tcW w:w="567" w:type="dxa"/>
                  <w:vMerge w:val="continue"/>
                  <w:vAlign w:val="center"/>
                </w:tcPr>
                <w:p w14:paraId="41735E1B">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rPr>
                  </w:pPr>
                </w:p>
              </w:tc>
              <w:tc>
                <w:tcPr>
                  <w:tcW w:w="834" w:type="dxa"/>
                  <w:vMerge w:val="continue"/>
                  <w:vAlign w:val="center"/>
                </w:tcPr>
                <w:p w14:paraId="0EA64A46">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lang w:val="en-US" w:eastAsia="zh-CN"/>
                    </w:rPr>
                  </w:pPr>
                </w:p>
              </w:tc>
              <w:tc>
                <w:tcPr>
                  <w:tcW w:w="904" w:type="dxa"/>
                  <w:vAlign w:val="center"/>
                </w:tcPr>
                <w:p w14:paraId="3930BCF2">
                  <w:pPr>
                    <w:keepNext w:val="0"/>
                    <w:keepLines w:val="0"/>
                    <w:widowControl/>
                    <w:suppressLineNumbers w:val="0"/>
                    <w:jc w:val="center"/>
                    <w:textAlignment w:val="center"/>
                    <w:rPr>
                      <w:rFonts w:hint="default" w:ascii="Times New Roman" w:hAnsi="Times New Roman" w:eastAsia="宋体" w:cs="Times New Roman"/>
                      <w:kern w:val="0"/>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0.3</w:t>
                  </w:r>
                  <w:r>
                    <w:rPr>
                      <w:rFonts w:hint="eastAsia" w:cs="Times New Roman"/>
                      <w:i w:val="0"/>
                      <w:iCs w:val="0"/>
                      <w:color w:val="000000"/>
                      <w:kern w:val="0"/>
                      <w:sz w:val="18"/>
                      <w:szCs w:val="18"/>
                      <w:u w:val="none"/>
                      <w:lang w:val="en-US" w:eastAsia="zh-CN" w:bidi="ar"/>
                    </w:rPr>
                    <w:t>922</w:t>
                  </w:r>
                </w:p>
              </w:tc>
              <w:tc>
                <w:tcPr>
                  <w:tcW w:w="975" w:type="dxa"/>
                  <w:vAlign w:val="center"/>
                </w:tcPr>
                <w:p w14:paraId="4470828D">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eastAsia" w:cs="Times New Roman"/>
                      <w:i w:val="0"/>
                      <w:iCs w:val="0"/>
                      <w:color w:val="000000"/>
                      <w:kern w:val="0"/>
                      <w:sz w:val="18"/>
                      <w:szCs w:val="18"/>
                      <w:u w:val="none"/>
                      <w:lang w:val="en-US" w:eastAsia="zh-CN" w:bidi="ar"/>
                    </w:rPr>
                    <w:t>16.3</w:t>
                  </w:r>
                </w:p>
              </w:tc>
              <w:tc>
                <w:tcPr>
                  <w:tcW w:w="882" w:type="dxa"/>
                  <w:vAlign w:val="center"/>
                </w:tcPr>
                <w:p w14:paraId="4BF51C49">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0.3</w:t>
                  </w:r>
                  <w:r>
                    <w:rPr>
                      <w:rFonts w:hint="eastAsia" w:cs="Times New Roman"/>
                      <w:i w:val="0"/>
                      <w:iCs w:val="0"/>
                      <w:color w:val="000000"/>
                      <w:kern w:val="0"/>
                      <w:sz w:val="18"/>
                      <w:szCs w:val="18"/>
                      <w:u w:val="none"/>
                      <w:lang w:val="en-US" w:eastAsia="zh-CN" w:bidi="ar"/>
                    </w:rPr>
                    <w:t>269</w:t>
                  </w:r>
                </w:p>
              </w:tc>
              <w:tc>
                <w:tcPr>
                  <w:tcW w:w="641" w:type="dxa"/>
                  <w:vMerge w:val="continue"/>
                  <w:vAlign w:val="center"/>
                </w:tcPr>
                <w:p w14:paraId="652064BC">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lang w:val="en-US" w:eastAsia="zh-CN"/>
                    </w:rPr>
                  </w:pPr>
                </w:p>
              </w:tc>
              <w:tc>
                <w:tcPr>
                  <w:tcW w:w="849" w:type="dxa"/>
                  <w:vAlign w:val="center"/>
                </w:tcPr>
                <w:p w14:paraId="2F842911">
                  <w:pPr>
                    <w:spacing w:line="240" w:lineRule="exact"/>
                    <w:jc w:val="center"/>
                    <w:rPr>
                      <w:rFonts w:hint="default" w:eastAsia="宋体"/>
                      <w:sz w:val="18"/>
                      <w:szCs w:val="18"/>
                      <w:vertAlign w:val="baseline"/>
                      <w:lang w:val="en-US" w:eastAsia="zh-CN"/>
                    </w:rPr>
                  </w:pPr>
                  <w:r>
                    <w:rPr>
                      <w:rFonts w:hint="eastAsia"/>
                      <w:sz w:val="18"/>
                      <w:szCs w:val="18"/>
                      <w:lang w:val="en-US" w:eastAsia="zh-CN"/>
                    </w:rPr>
                    <w:t>60</w:t>
                  </w:r>
                  <w:r>
                    <w:rPr>
                      <w:sz w:val="18"/>
                      <w:szCs w:val="18"/>
                    </w:rPr>
                    <w:t>mg/m</w:t>
                  </w:r>
                  <w:r>
                    <w:rPr>
                      <w:sz w:val="18"/>
                      <w:szCs w:val="18"/>
                      <w:vertAlign w:val="superscript"/>
                    </w:rPr>
                    <w:t>3</w:t>
                  </w:r>
                  <w:r>
                    <w:rPr>
                      <w:rFonts w:hint="eastAsia"/>
                      <w:sz w:val="18"/>
                      <w:szCs w:val="18"/>
                      <w:vertAlign w:val="baseline"/>
                      <w:lang w:eastAsia="zh-CN"/>
                    </w:rPr>
                    <w:t>；</w:t>
                  </w:r>
                  <w:r>
                    <w:rPr>
                      <w:rFonts w:hint="eastAsia"/>
                      <w:sz w:val="18"/>
                      <w:szCs w:val="18"/>
                      <w:vertAlign w:val="baseline"/>
                      <w:lang w:val="en-US" w:eastAsia="zh-CN"/>
                    </w:rPr>
                    <w:t>3.0kg/h</w:t>
                  </w:r>
                </w:p>
              </w:tc>
            </w:tr>
            <w:tr w14:paraId="46C38F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5" w:hRule="atLeast"/>
                <w:jc w:val="center"/>
              </w:trPr>
              <w:tc>
                <w:tcPr>
                  <w:tcW w:w="536" w:type="dxa"/>
                  <w:vMerge w:val="continue"/>
                  <w:vAlign w:val="center"/>
                </w:tcPr>
                <w:p w14:paraId="5826E995">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val="en-US" w:eastAsia="zh-CN"/>
                    </w:rPr>
                  </w:pPr>
                </w:p>
              </w:tc>
              <w:tc>
                <w:tcPr>
                  <w:tcW w:w="556" w:type="dxa"/>
                  <w:vMerge w:val="continue"/>
                  <w:vAlign w:val="center"/>
                </w:tcPr>
                <w:p w14:paraId="4F940652">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666" w:type="dxa"/>
                  <w:vMerge w:val="continue"/>
                  <w:vAlign w:val="center"/>
                </w:tcPr>
                <w:p w14:paraId="6F3CD190">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rPr>
                  </w:pPr>
                </w:p>
              </w:tc>
              <w:tc>
                <w:tcPr>
                  <w:tcW w:w="923" w:type="dxa"/>
                  <w:vMerge w:val="continue"/>
                  <w:vAlign w:val="center"/>
                </w:tcPr>
                <w:p w14:paraId="5689B69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882" w:type="dxa"/>
                  <w:vMerge w:val="continue"/>
                  <w:vAlign w:val="center"/>
                </w:tcPr>
                <w:p w14:paraId="4802E39B">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rPr>
                  </w:pPr>
                </w:p>
              </w:tc>
              <w:tc>
                <w:tcPr>
                  <w:tcW w:w="785" w:type="dxa"/>
                  <w:shd w:val="clear" w:color="auto" w:fill="auto"/>
                  <w:vAlign w:val="center"/>
                </w:tcPr>
                <w:p w14:paraId="2A6E1F4D">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ascii="Times New Roman" w:hAnsi="Times New Roman" w:eastAsia="宋体" w:cs="Times New Roman"/>
                      <w:color w:val="auto"/>
                      <w:kern w:val="0"/>
                      <w:sz w:val="18"/>
                      <w:szCs w:val="18"/>
                      <w:lang w:val="en-US" w:eastAsia="zh-CN" w:bidi="ar-SA"/>
                    </w:rPr>
                  </w:pPr>
                  <w:r>
                    <w:rPr>
                      <w:rFonts w:hint="eastAsia"/>
                      <w:sz w:val="18"/>
                      <w:szCs w:val="18"/>
                      <w:lang w:eastAsia="zh-CN"/>
                    </w:rPr>
                    <w:t>苯乙烯</w:t>
                  </w:r>
                </w:p>
              </w:tc>
              <w:tc>
                <w:tcPr>
                  <w:tcW w:w="1335" w:type="dxa"/>
                  <w:vMerge w:val="continue"/>
                  <w:shd w:val="clear" w:color="auto" w:fill="auto"/>
                  <w:vAlign w:val="center"/>
                </w:tcPr>
                <w:p w14:paraId="3AE71E3A">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ascii="Times New Roman" w:hAnsi="Times New Roman" w:eastAsia="宋体" w:cs="Times New Roman"/>
                      <w:kern w:val="0"/>
                      <w:sz w:val="18"/>
                      <w:szCs w:val="18"/>
                      <w:highlight w:val="yellow"/>
                      <w:lang w:val="en-US" w:eastAsia="zh-CN" w:bidi="ar-SA"/>
                    </w:rPr>
                  </w:pPr>
                </w:p>
              </w:tc>
              <w:tc>
                <w:tcPr>
                  <w:tcW w:w="562" w:type="dxa"/>
                  <w:vMerge w:val="continue"/>
                  <w:shd w:val="clear" w:color="auto" w:fill="auto"/>
                  <w:vAlign w:val="center"/>
                </w:tcPr>
                <w:p w14:paraId="28A536AC">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ascii="Times New Roman" w:hAnsi="Times New Roman" w:eastAsia="宋体" w:cs="Times New Roman"/>
                      <w:kern w:val="2"/>
                      <w:sz w:val="18"/>
                      <w:szCs w:val="18"/>
                      <w:lang w:val="en-US" w:eastAsia="zh-CN" w:bidi="ar-SA"/>
                    </w:rPr>
                  </w:pPr>
                </w:p>
              </w:tc>
              <w:tc>
                <w:tcPr>
                  <w:tcW w:w="684" w:type="dxa"/>
                  <w:vMerge w:val="continue"/>
                  <w:shd w:val="clear" w:color="auto" w:fill="auto"/>
                  <w:vAlign w:val="center"/>
                </w:tcPr>
                <w:p w14:paraId="03B2E117">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ascii="Times New Roman" w:hAnsi="Times New Roman" w:eastAsia="宋体" w:cs="Times New Roman"/>
                      <w:kern w:val="2"/>
                      <w:sz w:val="18"/>
                      <w:szCs w:val="18"/>
                      <w:lang w:val="en-US" w:eastAsia="zh-CN" w:bidi="ar-SA"/>
                    </w:rPr>
                  </w:pPr>
                </w:p>
              </w:tc>
              <w:tc>
                <w:tcPr>
                  <w:tcW w:w="567" w:type="dxa"/>
                  <w:vMerge w:val="continue"/>
                  <w:shd w:val="clear" w:color="auto" w:fill="auto"/>
                  <w:vAlign w:val="center"/>
                </w:tcPr>
                <w:p w14:paraId="2F63BE50">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lang w:val="en-US" w:eastAsia="zh-CN" w:bidi="ar-SA"/>
                    </w:rPr>
                  </w:pPr>
                </w:p>
              </w:tc>
              <w:tc>
                <w:tcPr>
                  <w:tcW w:w="834" w:type="dxa"/>
                  <w:vMerge w:val="continue"/>
                  <w:shd w:val="clear" w:color="auto" w:fill="auto"/>
                  <w:vAlign w:val="center"/>
                </w:tcPr>
                <w:p w14:paraId="59F4A3DF">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lang w:val="en-US" w:eastAsia="zh-CN" w:bidi="ar-SA"/>
                    </w:rPr>
                  </w:pPr>
                </w:p>
              </w:tc>
              <w:tc>
                <w:tcPr>
                  <w:tcW w:w="904" w:type="dxa"/>
                  <w:shd w:val="clear" w:color="auto" w:fill="auto"/>
                  <w:vAlign w:val="center"/>
                </w:tcPr>
                <w:p w14:paraId="46F90109">
                  <w:pPr>
                    <w:keepNext w:val="0"/>
                    <w:keepLines w:val="0"/>
                    <w:widowControl/>
                    <w:suppressLineNumbers w:val="0"/>
                    <w:jc w:val="center"/>
                    <w:textAlignment w:val="center"/>
                    <w:rPr>
                      <w:rFonts w:hint="default" w:ascii="Times New Roman" w:hAnsi="Times New Roman" w:eastAsia="宋体" w:cs="Times New Roman"/>
                      <w:kern w:val="0"/>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0.11</w:t>
                  </w:r>
                  <w:r>
                    <w:rPr>
                      <w:rFonts w:hint="eastAsia" w:cs="Times New Roman"/>
                      <w:i w:val="0"/>
                      <w:iCs w:val="0"/>
                      <w:color w:val="000000"/>
                      <w:kern w:val="0"/>
                      <w:sz w:val="18"/>
                      <w:szCs w:val="18"/>
                      <w:u w:val="none"/>
                      <w:lang w:val="en-US" w:eastAsia="zh-CN" w:bidi="ar"/>
                    </w:rPr>
                    <w:t>7</w:t>
                  </w:r>
                  <w:r>
                    <w:rPr>
                      <w:rFonts w:hint="default" w:ascii="Times New Roman" w:hAnsi="Times New Roman" w:eastAsia="宋体" w:cs="Times New Roman"/>
                      <w:i w:val="0"/>
                      <w:iCs w:val="0"/>
                      <w:color w:val="000000"/>
                      <w:kern w:val="0"/>
                      <w:sz w:val="18"/>
                      <w:szCs w:val="18"/>
                      <w:u w:val="none"/>
                      <w:lang w:val="en-US" w:eastAsia="zh-CN" w:bidi="ar"/>
                    </w:rPr>
                    <w:t>6</w:t>
                  </w:r>
                </w:p>
              </w:tc>
              <w:tc>
                <w:tcPr>
                  <w:tcW w:w="975" w:type="dxa"/>
                  <w:shd w:val="clear" w:color="auto" w:fill="auto"/>
                  <w:vAlign w:val="center"/>
                </w:tcPr>
                <w:p w14:paraId="1C705F6A">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eastAsia" w:cs="Times New Roman"/>
                      <w:i w:val="0"/>
                      <w:iCs w:val="0"/>
                      <w:color w:val="000000"/>
                      <w:kern w:val="0"/>
                      <w:sz w:val="18"/>
                      <w:szCs w:val="18"/>
                      <w:u w:val="none"/>
                      <w:lang w:val="en-US" w:eastAsia="zh-CN" w:bidi="ar"/>
                    </w:rPr>
                    <w:t>4.9</w:t>
                  </w:r>
                </w:p>
              </w:tc>
              <w:tc>
                <w:tcPr>
                  <w:tcW w:w="882" w:type="dxa"/>
                  <w:shd w:val="clear" w:color="auto" w:fill="auto"/>
                  <w:vAlign w:val="center"/>
                </w:tcPr>
                <w:p w14:paraId="059196D5">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0.09</w:t>
                  </w:r>
                  <w:r>
                    <w:rPr>
                      <w:rFonts w:hint="eastAsia" w:cs="Times New Roman"/>
                      <w:i w:val="0"/>
                      <w:iCs w:val="0"/>
                      <w:color w:val="000000"/>
                      <w:kern w:val="0"/>
                      <w:sz w:val="18"/>
                      <w:szCs w:val="18"/>
                      <w:u w:val="none"/>
                      <w:lang w:val="en-US" w:eastAsia="zh-CN" w:bidi="ar"/>
                    </w:rPr>
                    <w:t>8</w:t>
                  </w:r>
                </w:p>
              </w:tc>
              <w:tc>
                <w:tcPr>
                  <w:tcW w:w="641" w:type="dxa"/>
                  <w:vMerge w:val="continue"/>
                  <w:vAlign w:val="center"/>
                </w:tcPr>
                <w:p w14:paraId="7B77DE6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lang w:val="en-US" w:eastAsia="zh-CN"/>
                    </w:rPr>
                  </w:pPr>
                </w:p>
              </w:tc>
              <w:tc>
                <w:tcPr>
                  <w:tcW w:w="849" w:type="dxa"/>
                  <w:vAlign w:val="center"/>
                </w:tcPr>
                <w:p w14:paraId="6088CDCA">
                  <w:pPr>
                    <w:spacing w:line="240" w:lineRule="exact"/>
                    <w:jc w:val="center"/>
                    <w:rPr>
                      <w:rFonts w:hint="eastAsia"/>
                      <w:sz w:val="18"/>
                      <w:szCs w:val="18"/>
                      <w:lang w:val="en-US" w:eastAsia="zh-CN"/>
                    </w:rPr>
                  </w:pPr>
                  <w:r>
                    <w:rPr>
                      <w:rFonts w:hint="eastAsia"/>
                      <w:sz w:val="18"/>
                      <w:szCs w:val="18"/>
                      <w:lang w:val="en-US" w:eastAsia="zh-CN"/>
                    </w:rPr>
                    <w:t>20</w:t>
                  </w:r>
                  <w:r>
                    <w:rPr>
                      <w:sz w:val="18"/>
                      <w:szCs w:val="18"/>
                    </w:rPr>
                    <w:t>mg/m</w:t>
                  </w:r>
                  <w:r>
                    <w:rPr>
                      <w:sz w:val="18"/>
                      <w:szCs w:val="18"/>
                      <w:vertAlign w:val="superscript"/>
                    </w:rPr>
                    <w:t>3</w:t>
                  </w:r>
                </w:p>
              </w:tc>
            </w:tr>
            <w:tr w14:paraId="6F55EE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36" w:type="dxa"/>
                  <w:vMerge w:val="continue"/>
                  <w:vAlign w:val="center"/>
                </w:tcPr>
                <w:p w14:paraId="7EEB3268">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val="en-US" w:eastAsia="zh-CN"/>
                    </w:rPr>
                  </w:pPr>
                </w:p>
              </w:tc>
              <w:tc>
                <w:tcPr>
                  <w:tcW w:w="556" w:type="dxa"/>
                  <w:vMerge w:val="continue"/>
                  <w:vAlign w:val="center"/>
                </w:tcPr>
                <w:p w14:paraId="3BFC6C04">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666" w:type="dxa"/>
                  <w:vMerge w:val="continue"/>
                  <w:vAlign w:val="center"/>
                </w:tcPr>
                <w:p w14:paraId="51873357">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rPr>
                  </w:pPr>
                </w:p>
              </w:tc>
              <w:tc>
                <w:tcPr>
                  <w:tcW w:w="923" w:type="dxa"/>
                  <w:vMerge w:val="continue"/>
                  <w:vAlign w:val="center"/>
                </w:tcPr>
                <w:p w14:paraId="1CA31DA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882" w:type="dxa"/>
                  <w:vMerge w:val="continue"/>
                  <w:vAlign w:val="center"/>
                </w:tcPr>
                <w:p w14:paraId="6463B6FA">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rPr>
                  </w:pPr>
                </w:p>
              </w:tc>
              <w:tc>
                <w:tcPr>
                  <w:tcW w:w="785" w:type="dxa"/>
                  <w:vAlign w:val="center"/>
                </w:tcPr>
                <w:p w14:paraId="01D52CF7">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ascii="Times New Roman" w:hAnsi="Times New Roman" w:eastAsia="宋体" w:cs="Times New Roman"/>
                      <w:color w:val="auto"/>
                      <w:kern w:val="0"/>
                      <w:sz w:val="18"/>
                      <w:szCs w:val="18"/>
                      <w:lang w:val="en-US" w:eastAsia="zh-CN" w:bidi="ar-SA"/>
                    </w:rPr>
                  </w:pPr>
                  <w:r>
                    <w:rPr>
                      <w:rFonts w:hint="eastAsia" w:cs="Times New Roman"/>
                      <w:color w:val="auto"/>
                      <w:kern w:val="0"/>
                      <w:sz w:val="18"/>
                      <w:szCs w:val="18"/>
                      <w:lang w:val="en-US" w:eastAsia="zh-CN" w:bidi="ar-SA"/>
                    </w:rPr>
                    <w:t>臭气浓度</w:t>
                  </w:r>
                </w:p>
              </w:tc>
              <w:tc>
                <w:tcPr>
                  <w:tcW w:w="1335" w:type="dxa"/>
                  <w:vMerge w:val="continue"/>
                  <w:vAlign w:val="center"/>
                </w:tcPr>
                <w:p w14:paraId="2911C7BE">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highlight w:val="yellow"/>
                    </w:rPr>
                  </w:pPr>
                </w:p>
              </w:tc>
              <w:tc>
                <w:tcPr>
                  <w:tcW w:w="562" w:type="dxa"/>
                  <w:vMerge w:val="continue"/>
                  <w:vAlign w:val="center"/>
                </w:tcPr>
                <w:p w14:paraId="0EA7DC85">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sz w:val="18"/>
                      <w:szCs w:val="18"/>
                    </w:rPr>
                  </w:pPr>
                </w:p>
              </w:tc>
              <w:tc>
                <w:tcPr>
                  <w:tcW w:w="684" w:type="dxa"/>
                  <w:vMerge w:val="continue"/>
                  <w:vAlign w:val="center"/>
                </w:tcPr>
                <w:p w14:paraId="59965A9F">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sz w:val="18"/>
                      <w:szCs w:val="18"/>
                    </w:rPr>
                  </w:pPr>
                </w:p>
              </w:tc>
              <w:tc>
                <w:tcPr>
                  <w:tcW w:w="567" w:type="dxa"/>
                  <w:vMerge w:val="continue"/>
                  <w:vAlign w:val="center"/>
                </w:tcPr>
                <w:p w14:paraId="5F11F279">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rPr>
                  </w:pPr>
                </w:p>
              </w:tc>
              <w:tc>
                <w:tcPr>
                  <w:tcW w:w="834" w:type="dxa"/>
                  <w:vMerge w:val="continue"/>
                  <w:vAlign w:val="center"/>
                </w:tcPr>
                <w:p w14:paraId="0888FF23">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lang w:val="en-US" w:eastAsia="zh-CN"/>
                    </w:rPr>
                  </w:pPr>
                </w:p>
              </w:tc>
              <w:tc>
                <w:tcPr>
                  <w:tcW w:w="904" w:type="dxa"/>
                  <w:vAlign w:val="center"/>
                </w:tcPr>
                <w:p w14:paraId="1830A631">
                  <w:pPr>
                    <w:keepNext w:val="0"/>
                    <w:keepLines w:val="0"/>
                    <w:widowControl/>
                    <w:suppressLineNumbers w:val="0"/>
                    <w:jc w:val="center"/>
                    <w:textAlignment w:val="center"/>
                    <w:rPr>
                      <w:rFonts w:hint="default" w:ascii="Times New Roman" w:hAnsi="Times New Roman" w:eastAsia="宋体" w:cs="Times New Roman"/>
                      <w:kern w:val="0"/>
                      <w:sz w:val="18"/>
                      <w:szCs w:val="18"/>
                      <w:lang w:val="en-US" w:eastAsia="zh-CN" w:bidi="ar-SA"/>
                    </w:rPr>
                  </w:pPr>
                  <w:r>
                    <w:rPr>
                      <w:rFonts w:hint="eastAsia" w:cs="Times New Roman"/>
                      <w:kern w:val="0"/>
                      <w:sz w:val="18"/>
                      <w:szCs w:val="18"/>
                      <w:lang w:val="en-US" w:eastAsia="zh-CN" w:bidi="ar-SA"/>
                    </w:rPr>
                    <w:t>微量</w:t>
                  </w:r>
                </w:p>
              </w:tc>
              <w:tc>
                <w:tcPr>
                  <w:tcW w:w="975" w:type="dxa"/>
                  <w:vAlign w:val="center"/>
                </w:tcPr>
                <w:p w14:paraId="247885BA">
                  <w:pPr>
                    <w:keepNext w:val="0"/>
                    <w:keepLines w:val="0"/>
                    <w:widowControl/>
                    <w:suppressLineNumbers w:val="0"/>
                    <w:jc w:val="center"/>
                    <w:textAlignment w:val="center"/>
                    <w:rPr>
                      <w:rFonts w:hint="eastAsia" w:ascii="Times New Roman" w:hAnsi="Times New Roman" w:eastAsia="宋体" w:cs="Times New Roman"/>
                      <w:kern w:val="2"/>
                      <w:sz w:val="18"/>
                      <w:szCs w:val="18"/>
                      <w:lang w:val="en-US" w:eastAsia="zh-CN" w:bidi="ar-SA"/>
                    </w:rPr>
                  </w:pPr>
                  <w:r>
                    <w:rPr>
                      <w:rFonts w:hint="eastAsia" w:cs="Times New Roman"/>
                      <w:kern w:val="0"/>
                      <w:sz w:val="18"/>
                      <w:szCs w:val="18"/>
                      <w:lang w:val="en-US" w:eastAsia="zh-CN" w:bidi="ar-SA"/>
                    </w:rPr>
                    <w:t>/</w:t>
                  </w:r>
                </w:p>
              </w:tc>
              <w:tc>
                <w:tcPr>
                  <w:tcW w:w="882" w:type="dxa"/>
                  <w:vAlign w:val="center"/>
                </w:tcPr>
                <w:p w14:paraId="3B310DC7">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w:t>
                  </w:r>
                </w:p>
              </w:tc>
              <w:tc>
                <w:tcPr>
                  <w:tcW w:w="641" w:type="dxa"/>
                  <w:vMerge w:val="continue"/>
                  <w:vAlign w:val="center"/>
                </w:tcPr>
                <w:p w14:paraId="5BE966C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lang w:val="en-US" w:eastAsia="zh-CN"/>
                    </w:rPr>
                  </w:pPr>
                </w:p>
              </w:tc>
              <w:tc>
                <w:tcPr>
                  <w:tcW w:w="849" w:type="dxa"/>
                  <w:vAlign w:val="center"/>
                </w:tcPr>
                <w:p w14:paraId="6DABEAF1">
                  <w:pPr>
                    <w:spacing w:line="240" w:lineRule="exact"/>
                    <w:jc w:val="center"/>
                    <w:rPr>
                      <w:rFonts w:hint="default" w:eastAsia="宋体"/>
                      <w:sz w:val="18"/>
                      <w:szCs w:val="18"/>
                      <w:lang w:val="en-US" w:eastAsia="zh-CN"/>
                    </w:rPr>
                  </w:pPr>
                  <w:r>
                    <w:rPr>
                      <w:rFonts w:hint="eastAsia"/>
                      <w:sz w:val="18"/>
                      <w:szCs w:val="18"/>
                      <w:lang w:val="en-US" w:eastAsia="zh-CN"/>
                    </w:rPr>
                    <w:t>2000无量纲</w:t>
                  </w:r>
                </w:p>
              </w:tc>
            </w:tr>
            <w:tr w14:paraId="250A1B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36" w:type="dxa"/>
                  <w:vAlign w:val="center"/>
                </w:tcPr>
                <w:p w14:paraId="036B4C0A">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2</w:t>
                  </w:r>
                </w:p>
              </w:tc>
              <w:tc>
                <w:tcPr>
                  <w:tcW w:w="556" w:type="dxa"/>
                  <w:vAlign w:val="center"/>
                </w:tcPr>
                <w:p w14:paraId="505B3E2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r>
                    <w:rPr>
                      <w:rFonts w:hint="eastAsia"/>
                      <w:sz w:val="18"/>
                      <w:szCs w:val="18"/>
                      <w:lang w:eastAsia="zh-CN"/>
                    </w:rPr>
                    <w:t>间断</w:t>
                  </w:r>
                </w:p>
              </w:tc>
              <w:tc>
                <w:tcPr>
                  <w:tcW w:w="666" w:type="dxa"/>
                  <w:vAlign w:val="center"/>
                </w:tcPr>
                <w:p w14:paraId="04078C26">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eastAsia="宋体"/>
                      <w:sz w:val="18"/>
                      <w:szCs w:val="18"/>
                      <w:lang w:val="en-US" w:eastAsia="zh-CN"/>
                    </w:rPr>
                  </w:pPr>
                  <w:r>
                    <w:rPr>
                      <w:rFonts w:hint="eastAsia"/>
                      <w:sz w:val="18"/>
                      <w:szCs w:val="18"/>
                      <w:lang w:val="en-US" w:eastAsia="zh-CN"/>
                    </w:rPr>
                    <w:t>DA002</w:t>
                  </w:r>
                </w:p>
              </w:tc>
              <w:tc>
                <w:tcPr>
                  <w:tcW w:w="923" w:type="dxa"/>
                  <w:vAlign w:val="center"/>
                </w:tcPr>
                <w:p w14:paraId="3EC43DC9">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除尘器排气筒</w:t>
                  </w:r>
                </w:p>
              </w:tc>
              <w:tc>
                <w:tcPr>
                  <w:tcW w:w="882" w:type="dxa"/>
                  <w:vAlign w:val="center"/>
                </w:tcPr>
                <w:p w14:paraId="05062CDB">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eastAsia="宋体"/>
                      <w:sz w:val="18"/>
                      <w:szCs w:val="18"/>
                      <w:lang w:val="en-US" w:eastAsia="zh-CN"/>
                    </w:rPr>
                  </w:pPr>
                  <w:r>
                    <w:rPr>
                      <w:rFonts w:hint="eastAsia"/>
                      <w:sz w:val="18"/>
                      <w:szCs w:val="18"/>
                      <w:lang w:val="en-US" w:eastAsia="zh-CN"/>
                    </w:rPr>
                    <w:t>一般排放口</w:t>
                  </w:r>
                </w:p>
              </w:tc>
              <w:tc>
                <w:tcPr>
                  <w:tcW w:w="785" w:type="dxa"/>
                  <w:vAlign w:val="center"/>
                </w:tcPr>
                <w:p w14:paraId="0E0FF6A0">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cs="Times New Roman"/>
                      <w:color w:val="auto"/>
                      <w:kern w:val="0"/>
                      <w:sz w:val="18"/>
                      <w:szCs w:val="18"/>
                      <w:lang w:val="en-US" w:eastAsia="zh-CN" w:bidi="ar-SA"/>
                    </w:rPr>
                  </w:pPr>
                  <w:r>
                    <w:rPr>
                      <w:rFonts w:hint="eastAsia" w:cs="Times New Roman"/>
                      <w:color w:val="auto"/>
                      <w:kern w:val="0"/>
                      <w:sz w:val="18"/>
                      <w:szCs w:val="18"/>
                      <w:lang w:val="en-US" w:eastAsia="zh-CN" w:bidi="ar-SA"/>
                    </w:rPr>
                    <w:t>颗粒物</w:t>
                  </w:r>
                </w:p>
              </w:tc>
              <w:tc>
                <w:tcPr>
                  <w:tcW w:w="1335" w:type="dxa"/>
                  <w:vAlign w:val="center"/>
                </w:tcPr>
                <w:p w14:paraId="314FA8AD">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sz w:val="18"/>
                      <w:szCs w:val="18"/>
                      <w:highlight w:val="yellow"/>
                    </w:rPr>
                  </w:pPr>
                  <w:r>
                    <w:rPr>
                      <w:rFonts w:hint="eastAsia"/>
                      <w:bCs/>
                      <w:kern w:val="0"/>
                      <w:sz w:val="18"/>
                      <w:szCs w:val="18"/>
                      <w:highlight w:val="none"/>
                      <w:lang w:val="en-US" w:eastAsia="zh-CN"/>
                    </w:rPr>
                    <w:t>117.931034°E</w:t>
                  </w:r>
                  <w:r>
                    <w:rPr>
                      <w:rFonts w:hint="eastAsia"/>
                      <w:bCs/>
                      <w:kern w:val="0"/>
                      <w:sz w:val="18"/>
                      <w:szCs w:val="18"/>
                      <w:highlight w:val="none"/>
                      <w:lang w:eastAsia="zh-CN"/>
                    </w:rPr>
                    <w:t>；</w:t>
                  </w:r>
                  <w:r>
                    <w:rPr>
                      <w:rFonts w:hint="eastAsia"/>
                      <w:bCs/>
                      <w:kern w:val="0"/>
                      <w:sz w:val="18"/>
                      <w:szCs w:val="18"/>
                      <w:highlight w:val="none"/>
                      <w:lang w:val="en-US" w:eastAsia="zh-CN"/>
                    </w:rPr>
                    <w:t>36.680939°N</w:t>
                  </w:r>
                </w:p>
              </w:tc>
              <w:tc>
                <w:tcPr>
                  <w:tcW w:w="562" w:type="dxa"/>
                  <w:vAlign w:val="center"/>
                </w:tcPr>
                <w:p w14:paraId="7EAEC787">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eastAsia="宋体"/>
                      <w:sz w:val="18"/>
                      <w:szCs w:val="18"/>
                      <w:lang w:val="en-US" w:eastAsia="zh-CN"/>
                    </w:rPr>
                  </w:pPr>
                  <w:r>
                    <w:rPr>
                      <w:rFonts w:hint="eastAsia"/>
                      <w:sz w:val="18"/>
                      <w:szCs w:val="18"/>
                      <w:lang w:val="en-US" w:eastAsia="zh-CN"/>
                    </w:rPr>
                    <w:t>15</w:t>
                  </w:r>
                </w:p>
              </w:tc>
              <w:tc>
                <w:tcPr>
                  <w:tcW w:w="684" w:type="dxa"/>
                  <w:vAlign w:val="center"/>
                </w:tcPr>
                <w:p w14:paraId="7D1C4FBC">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eastAsia="宋体"/>
                      <w:sz w:val="18"/>
                      <w:szCs w:val="18"/>
                      <w:lang w:val="en-US" w:eastAsia="zh-CN"/>
                    </w:rPr>
                  </w:pPr>
                  <w:r>
                    <w:rPr>
                      <w:rFonts w:hint="eastAsia"/>
                      <w:sz w:val="18"/>
                      <w:szCs w:val="18"/>
                      <w:lang w:val="en-US" w:eastAsia="zh-CN"/>
                    </w:rPr>
                    <w:t>0.38</w:t>
                  </w:r>
                </w:p>
              </w:tc>
              <w:tc>
                <w:tcPr>
                  <w:tcW w:w="567" w:type="dxa"/>
                  <w:vAlign w:val="center"/>
                </w:tcPr>
                <w:p w14:paraId="13252FD7">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eastAsia="宋体"/>
                      <w:sz w:val="18"/>
                      <w:szCs w:val="18"/>
                      <w:lang w:val="en-US" w:eastAsia="zh-CN"/>
                    </w:rPr>
                  </w:pPr>
                  <w:r>
                    <w:rPr>
                      <w:rFonts w:hint="eastAsia"/>
                      <w:sz w:val="18"/>
                      <w:szCs w:val="18"/>
                      <w:lang w:val="en-US" w:eastAsia="zh-CN"/>
                    </w:rPr>
                    <w:t>25</w:t>
                  </w:r>
                </w:p>
              </w:tc>
              <w:tc>
                <w:tcPr>
                  <w:tcW w:w="834" w:type="dxa"/>
                  <w:vAlign w:val="center"/>
                </w:tcPr>
                <w:p w14:paraId="2D850F58">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lang w:val="en-US" w:eastAsia="zh-CN"/>
                    </w:rPr>
                  </w:pPr>
                  <w:r>
                    <w:rPr>
                      <w:rFonts w:hint="eastAsia"/>
                      <w:sz w:val="18"/>
                      <w:szCs w:val="18"/>
                      <w:lang w:val="en-US" w:eastAsia="zh-CN"/>
                    </w:rPr>
                    <w:t>6000</w:t>
                  </w:r>
                </w:p>
              </w:tc>
              <w:tc>
                <w:tcPr>
                  <w:tcW w:w="904" w:type="dxa"/>
                  <w:vAlign w:val="center"/>
                </w:tcPr>
                <w:p w14:paraId="77357323">
                  <w:pPr>
                    <w:keepNext w:val="0"/>
                    <w:keepLines w:val="0"/>
                    <w:widowControl/>
                    <w:suppressLineNumbers w:val="0"/>
                    <w:jc w:val="center"/>
                    <w:textAlignment w:val="center"/>
                    <w:rPr>
                      <w:rFonts w:hint="eastAsia" w:cs="Times New Roman"/>
                      <w:kern w:val="0"/>
                      <w:sz w:val="18"/>
                      <w:szCs w:val="18"/>
                      <w:lang w:val="en-US" w:eastAsia="zh-CN" w:bidi="ar-SA"/>
                    </w:rPr>
                  </w:pPr>
                  <w:r>
                    <w:rPr>
                      <w:rFonts w:hint="eastAsia" w:ascii="Times New Roman" w:hAnsi="Times New Roman" w:eastAsia="宋体" w:cs="Times New Roman"/>
                      <w:kern w:val="0"/>
                      <w:sz w:val="18"/>
                      <w:szCs w:val="18"/>
                      <w:lang w:val="en-US" w:eastAsia="zh-CN"/>
                    </w:rPr>
                    <w:t>0.067</w:t>
                  </w:r>
                </w:p>
              </w:tc>
              <w:tc>
                <w:tcPr>
                  <w:tcW w:w="975" w:type="dxa"/>
                  <w:vAlign w:val="center"/>
                </w:tcPr>
                <w:p w14:paraId="13CCE866">
                  <w:pPr>
                    <w:keepNext w:val="0"/>
                    <w:keepLines w:val="0"/>
                    <w:widowControl/>
                    <w:suppressLineNumbers w:val="0"/>
                    <w:jc w:val="center"/>
                    <w:textAlignment w:val="center"/>
                    <w:rPr>
                      <w:rFonts w:hint="eastAsia" w:cs="Times New Roman"/>
                      <w:kern w:val="0"/>
                      <w:sz w:val="18"/>
                      <w:szCs w:val="18"/>
                      <w:lang w:val="en-US" w:eastAsia="zh-CN" w:bidi="ar-SA"/>
                    </w:rPr>
                  </w:pPr>
                  <w:r>
                    <w:rPr>
                      <w:rFonts w:hint="eastAsia" w:ascii="Times New Roman" w:hAnsi="Times New Roman" w:eastAsia="宋体" w:cs="Times New Roman"/>
                      <w:sz w:val="18"/>
                      <w:szCs w:val="18"/>
                      <w:lang w:val="en-US" w:eastAsia="zh-CN"/>
                    </w:rPr>
                    <w:t>9.3</w:t>
                  </w:r>
                </w:p>
              </w:tc>
              <w:tc>
                <w:tcPr>
                  <w:tcW w:w="882" w:type="dxa"/>
                  <w:vAlign w:val="center"/>
                </w:tcPr>
                <w:p w14:paraId="194A1953">
                  <w:pPr>
                    <w:keepNext w:val="0"/>
                    <w:keepLines w:val="0"/>
                    <w:widowControl/>
                    <w:suppressLineNumbers w:val="0"/>
                    <w:jc w:val="center"/>
                    <w:textAlignment w:val="center"/>
                    <w:rPr>
                      <w:rFonts w:hint="eastAsia" w:cs="Times New Roman"/>
                      <w:kern w:val="2"/>
                      <w:sz w:val="18"/>
                      <w:szCs w:val="18"/>
                      <w:lang w:val="en-US" w:eastAsia="zh-CN" w:bidi="ar-SA"/>
                    </w:rPr>
                  </w:pPr>
                  <w:r>
                    <w:rPr>
                      <w:rFonts w:hint="eastAsia" w:ascii="Times New Roman" w:hAnsi="Times New Roman" w:eastAsia="宋体" w:cs="Times New Roman"/>
                      <w:sz w:val="18"/>
                      <w:szCs w:val="18"/>
                      <w:lang w:val="en-US" w:eastAsia="zh-CN"/>
                    </w:rPr>
                    <w:t>0.0558</w:t>
                  </w:r>
                </w:p>
              </w:tc>
              <w:tc>
                <w:tcPr>
                  <w:tcW w:w="641" w:type="dxa"/>
                  <w:vAlign w:val="center"/>
                </w:tcPr>
                <w:p w14:paraId="5D721272">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lang w:val="en-US" w:eastAsia="zh-CN"/>
                    </w:rPr>
                  </w:pPr>
                  <w:r>
                    <w:rPr>
                      <w:rFonts w:hint="eastAsia"/>
                      <w:sz w:val="18"/>
                      <w:szCs w:val="18"/>
                      <w:lang w:val="en-US" w:eastAsia="zh-CN"/>
                    </w:rPr>
                    <w:t>1200</w:t>
                  </w:r>
                </w:p>
              </w:tc>
              <w:tc>
                <w:tcPr>
                  <w:tcW w:w="849" w:type="dxa"/>
                  <w:vAlign w:val="center"/>
                </w:tcPr>
                <w:p w14:paraId="421E01B5">
                  <w:pPr>
                    <w:spacing w:line="240" w:lineRule="exact"/>
                    <w:jc w:val="center"/>
                    <w:rPr>
                      <w:rFonts w:hint="eastAsia"/>
                      <w:sz w:val="18"/>
                      <w:szCs w:val="18"/>
                      <w:lang w:val="en-US" w:eastAsia="zh-CN"/>
                    </w:rPr>
                  </w:pPr>
                  <w:r>
                    <w:rPr>
                      <w:rFonts w:hint="eastAsia"/>
                      <w:sz w:val="18"/>
                      <w:szCs w:val="18"/>
                      <w:lang w:val="en-US" w:eastAsia="zh-CN"/>
                    </w:rPr>
                    <w:t>10</w:t>
                  </w:r>
                  <w:r>
                    <w:rPr>
                      <w:sz w:val="18"/>
                      <w:szCs w:val="18"/>
                    </w:rPr>
                    <w:t>mg/m</w:t>
                  </w:r>
                  <w:r>
                    <w:rPr>
                      <w:sz w:val="18"/>
                      <w:szCs w:val="18"/>
                      <w:vertAlign w:val="superscript"/>
                    </w:rPr>
                    <w:t>3</w:t>
                  </w:r>
                </w:p>
              </w:tc>
            </w:tr>
            <w:tr w14:paraId="0095A9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60" w:hRule="atLeast"/>
                <w:jc w:val="center"/>
              </w:trPr>
              <w:tc>
                <w:tcPr>
                  <w:tcW w:w="536" w:type="dxa"/>
                  <w:vMerge w:val="restart"/>
                  <w:vAlign w:val="center"/>
                </w:tcPr>
                <w:p w14:paraId="52E24B04">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3</w:t>
                  </w:r>
                </w:p>
              </w:tc>
              <w:tc>
                <w:tcPr>
                  <w:tcW w:w="556" w:type="dxa"/>
                  <w:vMerge w:val="restart"/>
                  <w:vAlign w:val="center"/>
                </w:tcPr>
                <w:p w14:paraId="4242D27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r>
                    <w:rPr>
                      <w:rFonts w:hint="eastAsia"/>
                      <w:sz w:val="18"/>
                      <w:szCs w:val="18"/>
                      <w:lang w:eastAsia="zh-CN"/>
                    </w:rPr>
                    <w:t>间断</w:t>
                  </w:r>
                </w:p>
              </w:tc>
              <w:tc>
                <w:tcPr>
                  <w:tcW w:w="666" w:type="dxa"/>
                  <w:vMerge w:val="restart"/>
                  <w:vAlign w:val="center"/>
                </w:tcPr>
                <w:p w14:paraId="6CD3F857">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sz w:val="18"/>
                      <w:szCs w:val="18"/>
                      <w:lang w:eastAsia="zh-CN"/>
                    </w:rPr>
                  </w:pPr>
                  <w:r>
                    <w:rPr>
                      <w:rFonts w:hint="eastAsia"/>
                      <w:sz w:val="18"/>
                      <w:szCs w:val="18"/>
                      <w:lang w:eastAsia="zh-CN"/>
                    </w:rPr>
                    <w:t>厂界</w:t>
                  </w:r>
                </w:p>
              </w:tc>
              <w:tc>
                <w:tcPr>
                  <w:tcW w:w="923" w:type="dxa"/>
                  <w:vAlign w:val="center"/>
                </w:tcPr>
                <w:p w14:paraId="6E725403">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w:t>
                  </w:r>
                </w:p>
              </w:tc>
              <w:tc>
                <w:tcPr>
                  <w:tcW w:w="882" w:type="dxa"/>
                  <w:vAlign w:val="center"/>
                </w:tcPr>
                <w:p w14:paraId="4FFAD6E2">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sz w:val="18"/>
                      <w:szCs w:val="18"/>
                      <w:lang w:val="en-US" w:eastAsia="zh-CN"/>
                    </w:rPr>
                  </w:pPr>
                  <w:r>
                    <w:rPr>
                      <w:rFonts w:hint="eastAsia"/>
                      <w:sz w:val="18"/>
                      <w:szCs w:val="18"/>
                      <w:lang w:val="en-US" w:eastAsia="zh-CN"/>
                    </w:rPr>
                    <w:t>-</w:t>
                  </w:r>
                </w:p>
              </w:tc>
              <w:tc>
                <w:tcPr>
                  <w:tcW w:w="785" w:type="dxa"/>
                  <w:vAlign w:val="center"/>
                </w:tcPr>
                <w:p w14:paraId="2511D72E">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sz w:val="18"/>
                      <w:szCs w:val="18"/>
                      <w:lang w:eastAsia="zh-CN"/>
                    </w:rPr>
                  </w:pPr>
                  <w:r>
                    <w:rPr>
                      <w:rFonts w:hint="eastAsia"/>
                      <w:sz w:val="18"/>
                      <w:szCs w:val="18"/>
                      <w:lang w:eastAsia="zh-CN"/>
                    </w:rPr>
                    <w:t>颗粒物</w:t>
                  </w:r>
                </w:p>
              </w:tc>
              <w:tc>
                <w:tcPr>
                  <w:tcW w:w="1335" w:type="dxa"/>
                  <w:vAlign w:val="center"/>
                </w:tcPr>
                <w:p w14:paraId="79FDF83E">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eastAsia="宋体"/>
                      <w:sz w:val="18"/>
                      <w:szCs w:val="18"/>
                      <w:highlight w:val="none"/>
                      <w:lang w:val="en-US" w:eastAsia="zh-CN"/>
                    </w:rPr>
                  </w:pPr>
                  <w:r>
                    <w:rPr>
                      <w:rFonts w:hint="eastAsia"/>
                      <w:sz w:val="18"/>
                      <w:szCs w:val="18"/>
                      <w:highlight w:val="none"/>
                      <w:lang w:val="en-US" w:eastAsia="zh-CN"/>
                    </w:rPr>
                    <w:t>-</w:t>
                  </w:r>
                </w:p>
              </w:tc>
              <w:tc>
                <w:tcPr>
                  <w:tcW w:w="562" w:type="dxa"/>
                  <w:vAlign w:val="center"/>
                </w:tcPr>
                <w:p w14:paraId="322B0012">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sz w:val="18"/>
                      <w:szCs w:val="18"/>
                    </w:rPr>
                  </w:pPr>
                  <w:r>
                    <w:rPr>
                      <w:rFonts w:hint="eastAsia"/>
                      <w:sz w:val="18"/>
                      <w:szCs w:val="18"/>
                      <w:highlight w:val="none"/>
                      <w:lang w:val="en-US" w:eastAsia="zh-CN"/>
                    </w:rPr>
                    <w:t>-</w:t>
                  </w:r>
                </w:p>
              </w:tc>
              <w:tc>
                <w:tcPr>
                  <w:tcW w:w="684" w:type="dxa"/>
                  <w:vAlign w:val="center"/>
                </w:tcPr>
                <w:p w14:paraId="5807350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sz w:val="18"/>
                      <w:szCs w:val="18"/>
                    </w:rPr>
                  </w:pPr>
                  <w:r>
                    <w:rPr>
                      <w:rFonts w:hint="eastAsia"/>
                      <w:sz w:val="18"/>
                      <w:szCs w:val="18"/>
                      <w:highlight w:val="none"/>
                      <w:lang w:val="en-US" w:eastAsia="zh-CN"/>
                    </w:rPr>
                    <w:t>-</w:t>
                  </w:r>
                </w:p>
              </w:tc>
              <w:tc>
                <w:tcPr>
                  <w:tcW w:w="567" w:type="dxa"/>
                  <w:vAlign w:val="center"/>
                </w:tcPr>
                <w:p w14:paraId="52DD1ED8">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rPr>
                  </w:pPr>
                  <w:r>
                    <w:rPr>
                      <w:rFonts w:hint="eastAsia"/>
                      <w:sz w:val="18"/>
                      <w:szCs w:val="18"/>
                      <w:highlight w:val="none"/>
                      <w:lang w:val="en-US" w:eastAsia="zh-CN"/>
                    </w:rPr>
                    <w:t>-</w:t>
                  </w:r>
                </w:p>
              </w:tc>
              <w:tc>
                <w:tcPr>
                  <w:tcW w:w="834" w:type="dxa"/>
                  <w:vAlign w:val="center"/>
                </w:tcPr>
                <w:p w14:paraId="7B163557">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lang w:val="en-US" w:eastAsia="zh-CN"/>
                    </w:rPr>
                  </w:pPr>
                  <w:r>
                    <w:rPr>
                      <w:rFonts w:hint="eastAsia"/>
                      <w:sz w:val="18"/>
                      <w:szCs w:val="18"/>
                      <w:highlight w:val="none"/>
                      <w:lang w:val="en-US" w:eastAsia="zh-CN"/>
                    </w:rPr>
                    <w:t>-</w:t>
                  </w:r>
                </w:p>
              </w:tc>
              <w:tc>
                <w:tcPr>
                  <w:tcW w:w="904" w:type="dxa"/>
                  <w:vAlign w:val="center"/>
                </w:tcPr>
                <w:p w14:paraId="09D0FDE8">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sz w:val="18"/>
                      <w:szCs w:val="18"/>
                    </w:rPr>
                  </w:pPr>
                  <w:r>
                    <w:rPr>
                      <w:rFonts w:hint="eastAsia"/>
                      <w:sz w:val="18"/>
                      <w:szCs w:val="18"/>
                      <w:highlight w:val="none"/>
                      <w:lang w:val="en-US" w:eastAsia="zh-CN"/>
                    </w:rPr>
                    <w:t>-</w:t>
                  </w:r>
                </w:p>
              </w:tc>
              <w:tc>
                <w:tcPr>
                  <w:tcW w:w="975" w:type="dxa"/>
                  <w:vAlign w:val="center"/>
                </w:tcPr>
                <w:p w14:paraId="4010066B">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lang w:val="en-US" w:eastAsia="zh-CN"/>
                    </w:rPr>
                  </w:pPr>
                  <w:r>
                    <w:rPr>
                      <w:rFonts w:hint="eastAsia"/>
                      <w:sz w:val="18"/>
                      <w:szCs w:val="18"/>
                      <w:highlight w:val="none"/>
                      <w:lang w:val="en-US" w:eastAsia="zh-CN"/>
                    </w:rPr>
                    <w:t>-</w:t>
                  </w:r>
                </w:p>
              </w:tc>
              <w:tc>
                <w:tcPr>
                  <w:tcW w:w="882" w:type="dxa"/>
                  <w:vAlign w:val="center"/>
                </w:tcPr>
                <w:p w14:paraId="4D6E9D5B">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sz w:val="18"/>
                      <w:szCs w:val="18"/>
                    </w:rPr>
                  </w:pPr>
                  <w:r>
                    <w:rPr>
                      <w:rFonts w:hint="eastAsia"/>
                      <w:sz w:val="18"/>
                      <w:szCs w:val="18"/>
                      <w:highlight w:val="none"/>
                      <w:lang w:val="en-US" w:eastAsia="zh-CN"/>
                    </w:rPr>
                    <w:t>-</w:t>
                  </w:r>
                </w:p>
              </w:tc>
              <w:tc>
                <w:tcPr>
                  <w:tcW w:w="641" w:type="dxa"/>
                  <w:vAlign w:val="center"/>
                </w:tcPr>
                <w:p w14:paraId="422380E6">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lang w:val="en-US" w:eastAsia="zh-CN"/>
                    </w:rPr>
                  </w:pPr>
                  <w:r>
                    <w:rPr>
                      <w:rFonts w:hint="eastAsia"/>
                      <w:color w:val="auto"/>
                      <w:sz w:val="18"/>
                      <w:szCs w:val="18"/>
                      <w:lang w:val="en-US" w:eastAsia="zh-CN"/>
                    </w:rPr>
                    <w:t>1200</w:t>
                  </w:r>
                </w:p>
              </w:tc>
              <w:tc>
                <w:tcPr>
                  <w:tcW w:w="849" w:type="dxa"/>
                  <w:vAlign w:val="center"/>
                </w:tcPr>
                <w:p w14:paraId="599D68D3">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rPr>
                  </w:pPr>
                  <w:r>
                    <w:rPr>
                      <w:rFonts w:hint="eastAsia"/>
                      <w:sz w:val="18"/>
                      <w:szCs w:val="18"/>
                      <w:lang w:val="en-US" w:eastAsia="zh-CN"/>
                    </w:rPr>
                    <w:t>1.0</w:t>
                  </w:r>
                  <w:r>
                    <w:rPr>
                      <w:sz w:val="18"/>
                      <w:szCs w:val="18"/>
                    </w:rPr>
                    <w:t>mg/m</w:t>
                  </w:r>
                  <w:r>
                    <w:rPr>
                      <w:sz w:val="18"/>
                      <w:szCs w:val="18"/>
                      <w:vertAlign w:val="superscript"/>
                    </w:rPr>
                    <w:t>3</w:t>
                  </w:r>
                </w:p>
              </w:tc>
            </w:tr>
            <w:tr w14:paraId="23AF0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36" w:type="dxa"/>
                  <w:vMerge w:val="continue"/>
                  <w:vAlign w:val="center"/>
                </w:tcPr>
                <w:p w14:paraId="1C29D07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val="en-US" w:eastAsia="zh-CN"/>
                    </w:rPr>
                  </w:pPr>
                </w:p>
              </w:tc>
              <w:tc>
                <w:tcPr>
                  <w:tcW w:w="556" w:type="dxa"/>
                  <w:vMerge w:val="continue"/>
                  <w:vAlign w:val="center"/>
                </w:tcPr>
                <w:p w14:paraId="64A3363A">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666" w:type="dxa"/>
                  <w:vMerge w:val="continue"/>
                  <w:vAlign w:val="center"/>
                </w:tcPr>
                <w:p w14:paraId="0E2D71FE">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923" w:type="dxa"/>
                  <w:vAlign w:val="center"/>
                </w:tcPr>
                <w:p w14:paraId="23498BB4">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w:t>
                  </w:r>
                </w:p>
              </w:tc>
              <w:tc>
                <w:tcPr>
                  <w:tcW w:w="882" w:type="dxa"/>
                  <w:vAlign w:val="center"/>
                </w:tcPr>
                <w:p w14:paraId="7F17CE88">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w:t>
                  </w:r>
                </w:p>
              </w:tc>
              <w:tc>
                <w:tcPr>
                  <w:tcW w:w="785" w:type="dxa"/>
                  <w:vAlign w:val="center"/>
                </w:tcPr>
                <w:p w14:paraId="3364F345">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VOCs</w:t>
                  </w:r>
                </w:p>
              </w:tc>
              <w:tc>
                <w:tcPr>
                  <w:tcW w:w="1335" w:type="dxa"/>
                  <w:vAlign w:val="center"/>
                </w:tcPr>
                <w:p w14:paraId="1C170497">
                  <w:pPr>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highlight w:val="none"/>
                      <w:lang w:val="en-US" w:eastAsia="zh-CN"/>
                    </w:rPr>
                  </w:pPr>
                  <w:r>
                    <w:rPr>
                      <w:rFonts w:hint="eastAsia"/>
                      <w:sz w:val="18"/>
                      <w:szCs w:val="18"/>
                      <w:highlight w:val="none"/>
                      <w:lang w:val="en-US" w:eastAsia="zh-CN"/>
                    </w:rPr>
                    <w:t>-</w:t>
                  </w:r>
                </w:p>
              </w:tc>
              <w:tc>
                <w:tcPr>
                  <w:tcW w:w="562" w:type="dxa"/>
                  <w:vAlign w:val="center"/>
                </w:tcPr>
                <w:p w14:paraId="64D087A9">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highlight w:val="none"/>
                      <w:lang w:val="en-US" w:eastAsia="zh-CN"/>
                    </w:rPr>
                  </w:pPr>
                  <w:r>
                    <w:rPr>
                      <w:rFonts w:hint="eastAsia"/>
                      <w:sz w:val="18"/>
                      <w:szCs w:val="18"/>
                      <w:highlight w:val="none"/>
                      <w:lang w:val="en-US" w:eastAsia="zh-CN"/>
                    </w:rPr>
                    <w:t>-</w:t>
                  </w:r>
                </w:p>
              </w:tc>
              <w:tc>
                <w:tcPr>
                  <w:tcW w:w="684" w:type="dxa"/>
                  <w:vAlign w:val="center"/>
                </w:tcPr>
                <w:p w14:paraId="655BF09F">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highlight w:val="none"/>
                      <w:lang w:val="en-US" w:eastAsia="zh-CN"/>
                    </w:rPr>
                  </w:pPr>
                  <w:r>
                    <w:rPr>
                      <w:rFonts w:hint="eastAsia"/>
                      <w:sz w:val="18"/>
                      <w:szCs w:val="18"/>
                      <w:highlight w:val="none"/>
                      <w:lang w:val="en-US" w:eastAsia="zh-CN"/>
                    </w:rPr>
                    <w:t>-</w:t>
                  </w:r>
                </w:p>
              </w:tc>
              <w:tc>
                <w:tcPr>
                  <w:tcW w:w="567" w:type="dxa"/>
                  <w:vAlign w:val="center"/>
                </w:tcPr>
                <w:p w14:paraId="027DDAF5">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highlight w:val="none"/>
                      <w:lang w:val="en-US" w:eastAsia="zh-CN"/>
                    </w:rPr>
                  </w:pPr>
                  <w:r>
                    <w:rPr>
                      <w:rFonts w:hint="eastAsia"/>
                      <w:sz w:val="18"/>
                      <w:szCs w:val="18"/>
                      <w:highlight w:val="none"/>
                      <w:lang w:val="en-US" w:eastAsia="zh-CN"/>
                    </w:rPr>
                    <w:t>-</w:t>
                  </w:r>
                </w:p>
              </w:tc>
              <w:tc>
                <w:tcPr>
                  <w:tcW w:w="834" w:type="dxa"/>
                  <w:vAlign w:val="center"/>
                </w:tcPr>
                <w:p w14:paraId="44D182D2">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highlight w:val="none"/>
                      <w:lang w:val="en-US" w:eastAsia="zh-CN"/>
                    </w:rPr>
                  </w:pPr>
                  <w:r>
                    <w:rPr>
                      <w:rFonts w:hint="eastAsia"/>
                      <w:sz w:val="18"/>
                      <w:szCs w:val="18"/>
                      <w:highlight w:val="none"/>
                      <w:lang w:val="en-US" w:eastAsia="zh-CN"/>
                    </w:rPr>
                    <w:t>-</w:t>
                  </w:r>
                </w:p>
              </w:tc>
              <w:tc>
                <w:tcPr>
                  <w:tcW w:w="904" w:type="dxa"/>
                  <w:vAlign w:val="center"/>
                </w:tcPr>
                <w:p w14:paraId="156D30BA">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highlight w:val="none"/>
                      <w:lang w:val="en-US" w:eastAsia="zh-CN"/>
                    </w:rPr>
                  </w:pPr>
                  <w:r>
                    <w:rPr>
                      <w:rFonts w:hint="eastAsia"/>
                      <w:sz w:val="18"/>
                      <w:szCs w:val="18"/>
                      <w:highlight w:val="none"/>
                      <w:lang w:val="en-US" w:eastAsia="zh-CN"/>
                    </w:rPr>
                    <w:t>-</w:t>
                  </w:r>
                </w:p>
              </w:tc>
              <w:tc>
                <w:tcPr>
                  <w:tcW w:w="975" w:type="dxa"/>
                  <w:vAlign w:val="center"/>
                </w:tcPr>
                <w:p w14:paraId="5F089E54">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highlight w:val="none"/>
                      <w:lang w:val="en-US" w:eastAsia="zh-CN"/>
                    </w:rPr>
                  </w:pPr>
                  <w:r>
                    <w:rPr>
                      <w:rFonts w:hint="eastAsia"/>
                      <w:sz w:val="18"/>
                      <w:szCs w:val="18"/>
                      <w:highlight w:val="none"/>
                      <w:lang w:val="en-US" w:eastAsia="zh-CN"/>
                    </w:rPr>
                    <w:t>-</w:t>
                  </w:r>
                </w:p>
              </w:tc>
              <w:tc>
                <w:tcPr>
                  <w:tcW w:w="882" w:type="dxa"/>
                  <w:vAlign w:val="center"/>
                </w:tcPr>
                <w:p w14:paraId="6FC67E0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highlight w:val="none"/>
                      <w:lang w:val="en-US" w:eastAsia="zh-CN"/>
                    </w:rPr>
                  </w:pPr>
                  <w:r>
                    <w:rPr>
                      <w:rFonts w:hint="eastAsia"/>
                      <w:sz w:val="18"/>
                      <w:szCs w:val="18"/>
                      <w:highlight w:val="none"/>
                      <w:lang w:val="en-US" w:eastAsia="zh-CN"/>
                    </w:rPr>
                    <w:t>-</w:t>
                  </w:r>
                </w:p>
              </w:tc>
              <w:tc>
                <w:tcPr>
                  <w:tcW w:w="641" w:type="dxa"/>
                  <w:vAlign w:val="center"/>
                </w:tcPr>
                <w:p w14:paraId="013BA762">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sz w:val="18"/>
                      <w:szCs w:val="18"/>
                      <w:lang w:val="en-US" w:eastAsia="zh-CN"/>
                    </w:rPr>
                  </w:pPr>
                  <w:r>
                    <w:rPr>
                      <w:rFonts w:hint="eastAsia"/>
                      <w:color w:val="auto"/>
                      <w:sz w:val="18"/>
                      <w:szCs w:val="18"/>
                      <w:lang w:val="en-US" w:eastAsia="zh-CN"/>
                    </w:rPr>
                    <w:t>1200</w:t>
                  </w:r>
                </w:p>
              </w:tc>
              <w:tc>
                <w:tcPr>
                  <w:tcW w:w="849" w:type="dxa"/>
                  <w:vAlign w:val="center"/>
                </w:tcPr>
                <w:p w14:paraId="4A5963A6">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val="en-US" w:eastAsia="zh-CN"/>
                    </w:rPr>
                  </w:pPr>
                  <w:r>
                    <w:rPr>
                      <w:rFonts w:hint="eastAsia"/>
                      <w:sz w:val="18"/>
                      <w:szCs w:val="18"/>
                      <w:lang w:val="en-US" w:eastAsia="zh-CN"/>
                    </w:rPr>
                    <w:t>2.0</w:t>
                  </w:r>
                  <w:r>
                    <w:rPr>
                      <w:sz w:val="18"/>
                      <w:szCs w:val="18"/>
                    </w:rPr>
                    <w:t>mg/m</w:t>
                  </w:r>
                  <w:r>
                    <w:rPr>
                      <w:sz w:val="18"/>
                      <w:szCs w:val="18"/>
                      <w:vertAlign w:val="superscript"/>
                    </w:rPr>
                    <w:t>3</w:t>
                  </w:r>
                </w:p>
              </w:tc>
            </w:tr>
            <w:tr w14:paraId="6E2D7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36" w:type="dxa"/>
                  <w:vMerge w:val="continue"/>
                  <w:vAlign w:val="center"/>
                </w:tcPr>
                <w:p w14:paraId="082A50AA">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val="en-US" w:eastAsia="zh-CN"/>
                    </w:rPr>
                  </w:pPr>
                </w:p>
              </w:tc>
              <w:tc>
                <w:tcPr>
                  <w:tcW w:w="556" w:type="dxa"/>
                  <w:vMerge w:val="continue"/>
                  <w:vAlign w:val="center"/>
                </w:tcPr>
                <w:p w14:paraId="500DFC3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666" w:type="dxa"/>
                  <w:vMerge w:val="continue"/>
                  <w:vAlign w:val="center"/>
                </w:tcPr>
                <w:p w14:paraId="33CF6C06">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923" w:type="dxa"/>
                  <w:vAlign w:val="center"/>
                </w:tcPr>
                <w:p w14:paraId="2BBDA8C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w:t>
                  </w:r>
                </w:p>
              </w:tc>
              <w:tc>
                <w:tcPr>
                  <w:tcW w:w="882" w:type="dxa"/>
                  <w:vAlign w:val="center"/>
                </w:tcPr>
                <w:p w14:paraId="5D001B4F">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w:t>
                  </w:r>
                </w:p>
              </w:tc>
              <w:tc>
                <w:tcPr>
                  <w:tcW w:w="785" w:type="dxa"/>
                  <w:shd w:val="clear" w:color="auto" w:fill="auto"/>
                  <w:vAlign w:val="center"/>
                </w:tcPr>
                <w:p w14:paraId="4C05C221">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ascii="Times New Roman" w:hAnsi="Times New Roman" w:eastAsia="宋体" w:cs="Times New Roman"/>
                      <w:kern w:val="0"/>
                      <w:sz w:val="18"/>
                      <w:szCs w:val="18"/>
                      <w:lang w:val="en-US" w:eastAsia="zh-CN" w:bidi="ar-SA"/>
                    </w:rPr>
                  </w:pPr>
                  <w:r>
                    <w:rPr>
                      <w:rFonts w:hint="eastAsia"/>
                      <w:sz w:val="18"/>
                      <w:szCs w:val="18"/>
                      <w:lang w:eastAsia="zh-CN"/>
                    </w:rPr>
                    <w:t>苯乙烯</w:t>
                  </w:r>
                </w:p>
              </w:tc>
              <w:tc>
                <w:tcPr>
                  <w:tcW w:w="1335" w:type="dxa"/>
                  <w:shd w:val="clear" w:color="auto" w:fill="auto"/>
                  <w:vAlign w:val="center"/>
                </w:tcPr>
                <w:p w14:paraId="18E77660">
                  <w:pPr>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562" w:type="dxa"/>
                  <w:shd w:val="clear" w:color="auto" w:fill="auto"/>
                  <w:vAlign w:val="center"/>
                </w:tcPr>
                <w:p w14:paraId="6EC9B3D4">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684" w:type="dxa"/>
                  <w:shd w:val="clear" w:color="auto" w:fill="auto"/>
                  <w:vAlign w:val="center"/>
                </w:tcPr>
                <w:p w14:paraId="665A283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567" w:type="dxa"/>
                  <w:shd w:val="clear" w:color="auto" w:fill="auto"/>
                  <w:vAlign w:val="center"/>
                </w:tcPr>
                <w:p w14:paraId="5EDAE4C4">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834" w:type="dxa"/>
                  <w:shd w:val="clear" w:color="auto" w:fill="auto"/>
                  <w:vAlign w:val="center"/>
                </w:tcPr>
                <w:p w14:paraId="0146FFA1">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904" w:type="dxa"/>
                  <w:shd w:val="clear" w:color="auto" w:fill="auto"/>
                  <w:vAlign w:val="center"/>
                </w:tcPr>
                <w:p w14:paraId="31525B41">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975" w:type="dxa"/>
                  <w:shd w:val="clear" w:color="auto" w:fill="auto"/>
                  <w:vAlign w:val="center"/>
                </w:tcPr>
                <w:p w14:paraId="6D28D0F6">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882" w:type="dxa"/>
                  <w:shd w:val="clear" w:color="auto" w:fill="auto"/>
                  <w:vAlign w:val="center"/>
                </w:tcPr>
                <w:p w14:paraId="257F9D4E">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highlight w:val="none"/>
                      <w:lang w:val="en-US" w:eastAsia="zh-CN" w:bidi="ar-SA"/>
                    </w:rPr>
                  </w:pPr>
                  <w:r>
                    <w:rPr>
                      <w:rFonts w:hint="eastAsia"/>
                      <w:sz w:val="18"/>
                      <w:szCs w:val="18"/>
                      <w:highlight w:val="none"/>
                      <w:lang w:val="en-US" w:eastAsia="zh-CN"/>
                    </w:rPr>
                    <w:t>-</w:t>
                  </w:r>
                </w:p>
              </w:tc>
              <w:tc>
                <w:tcPr>
                  <w:tcW w:w="641" w:type="dxa"/>
                  <w:shd w:val="clear" w:color="auto" w:fill="auto"/>
                  <w:vAlign w:val="center"/>
                </w:tcPr>
                <w:p w14:paraId="2D8C65E6">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eastAsia" w:ascii="Times New Roman" w:hAnsi="Times New Roman" w:eastAsia="宋体" w:cs="Times New Roman"/>
                      <w:kern w:val="2"/>
                      <w:sz w:val="18"/>
                      <w:szCs w:val="18"/>
                      <w:lang w:val="en-US" w:eastAsia="zh-CN" w:bidi="ar-SA"/>
                    </w:rPr>
                  </w:pPr>
                  <w:r>
                    <w:rPr>
                      <w:rFonts w:hint="eastAsia"/>
                      <w:color w:val="auto"/>
                      <w:sz w:val="18"/>
                      <w:szCs w:val="18"/>
                      <w:lang w:val="en-US" w:eastAsia="zh-CN"/>
                    </w:rPr>
                    <w:t>1200</w:t>
                  </w:r>
                </w:p>
              </w:tc>
              <w:tc>
                <w:tcPr>
                  <w:tcW w:w="849" w:type="dxa"/>
                  <w:shd w:val="clear" w:color="auto" w:fill="auto"/>
                  <w:vAlign w:val="center"/>
                </w:tcPr>
                <w:p w14:paraId="7CD18443">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ascii="Times New Roman" w:hAnsi="Times New Roman" w:eastAsia="宋体" w:cs="Times New Roman"/>
                      <w:kern w:val="0"/>
                      <w:sz w:val="18"/>
                      <w:szCs w:val="18"/>
                      <w:lang w:val="en-US" w:eastAsia="zh-CN" w:bidi="ar-SA"/>
                    </w:rPr>
                  </w:pPr>
                  <w:r>
                    <w:rPr>
                      <w:rFonts w:hint="eastAsia"/>
                      <w:sz w:val="18"/>
                      <w:szCs w:val="18"/>
                      <w:lang w:val="en-US" w:eastAsia="zh-CN"/>
                    </w:rPr>
                    <w:t>5.0</w:t>
                  </w:r>
                  <w:r>
                    <w:rPr>
                      <w:sz w:val="18"/>
                      <w:szCs w:val="18"/>
                    </w:rPr>
                    <w:t>mg/m</w:t>
                  </w:r>
                  <w:r>
                    <w:rPr>
                      <w:sz w:val="18"/>
                      <w:szCs w:val="18"/>
                      <w:vertAlign w:val="superscript"/>
                    </w:rPr>
                    <w:t>3</w:t>
                  </w:r>
                </w:p>
              </w:tc>
            </w:tr>
            <w:tr w14:paraId="50097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40" w:hRule="atLeast"/>
                <w:jc w:val="center"/>
              </w:trPr>
              <w:tc>
                <w:tcPr>
                  <w:tcW w:w="536" w:type="dxa"/>
                  <w:vMerge w:val="continue"/>
                  <w:vAlign w:val="center"/>
                </w:tcPr>
                <w:p w14:paraId="11C0BC9C">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val="en-US" w:eastAsia="zh-CN"/>
                    </w:rPr>
                  </w:pPr>
                </w:p>
              </w:tc>
              <w:tc>
                <w:tcPr>
                  <w:tcW w:w="556" w:type="dxa"/>
                  <w:vMerge w:val="continue"/>
                  <w:vAlign w:val="center"/>
                </w:tcPr>
                <w:p w14:paraId="3D19F750">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666" w:type="dxa"/>
                  <w:vMerge w:val="continue"/>
                  <w:vAlign w:val="center"/>
                </w:tcPr>
                <w:p w14:paraId="2F3157B9">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eastAsia"/>
                      <w:sz w:val="18"/>
                      <w:szCs w:val="18"/>
                      <w:lang w:eastAsia="zh-CN"/>
                    </w:rPr>
                  </w:pPr>
                </w:p>
              </w:tc>
              <w:tc>
                <w:tcPr>
                  <w:tcW w:w="923" w:type="dxa"/>
                  <w:vAlign w:val="center"/>
                </w:tcPr>
                <w:p w14:paraId="262B319F">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w:t>
                  </w:r>
                </w:p>
              </w:tc>
              <w:tc>
                <w:tcPr>
                  <w:tcW w:w="882" w:type="dxa"/>
                  <w:vAlign w:val="center"/>
                </w:tcPr>
                <w:p w14:paraId="576954A9">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w:t>
                  </w:r>
                </w:p>
              </w:tc>
              <w:tc>
                <w:tcPr>
                  <w:tcW w:w="785" w:type="dxa"/>
                  <w:vAlign w:val="center"/>
                </w:tcPr>
                <w:p w14:paraId="6165CB75">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臭气浓度</w:t>
                  </w:r>
                </w:p>
              </w:tc>
              <w:tc>
                <w:tcPr>
                  <w:tcW w:w="1335" w:type="dxa"/>
                  <w:vAlign w:val="center"/>
                </w:tcPr>
                <w:p w14:paraId="044297BA">
                  <w:pPr>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highlight w:val="none"/>
                      <w:lang w:val="en-US" w:eastAsia="zh-CN"/>
                    </w:rPr>
                  </w:pPr>
                  <w:r>
                    <w:rPr>
                      <w:rFonts w:hint="eastAsia"/>
                      <w:sz w:val="18"/>
                      <w:szCs w:val="18"/>
                      <w:highlight w:val="none"/>
                      <w:lang w:val="en-US" w:eastAsia="zh-CN"/>
                    </w:rPr>
                    <w:t>-</w:t>
                  </w:r>
                </w:p>
              </w:tc>
              <w:tc>
                <w:tcPr>
                  <w:tcW w:w="562" w:type="dxa"/>
                  <w:vAlign w:val="center"/>
                </w:tcPr>
                <w:p w14:paraId="2784C6D8">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highlight w:val="none"/>
                      <w:lang w:val="en-US" w:eastAsia="zh-CN"/>
                    </w:rPr>
                  </w:pPr>
                  <w:r>
                    <w:rPr>
                      <w:rFonts w:hint="eastAsia"/>
                      <w:sz w:val="18"/>
                      <w:szCs w:val="18"/>
                      <w:highlight w:val="none"/>
                      <w:lang w:val="en-US" w:eastAsia="zh-CN"/>
                    </w:rPr>
                    <w:t>-</w:t>
                  </w:r>
                </w:p>
              </w:tc>
              <w:tc>
                <w:tcPr>
                  <w:tcW w:w="684" w:type="dxa"/>
                  <w:vAlign w:val="center"/>
                </w:tcPr>
                <w:p w14:paraId="26330FE1">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highlight w:val="none"/>
                      <w:lang w:val="en-US" w:eastAsia="zh-CN"/>
                    </w:rPr>
                  </w:pPr>
                  <w:r>
                    <w:rPr>
                      <w:rFonts w:hint="eastAsia"/>
                      <w:sz w:val="18"/>
                      <w:szCs w:val="18"/>
                      <w:highlight w:val="none"/>
                      <w:lang w:val="en-US" w:eastAsia="zh-CN"/>
                    </w:rPr>
                    <w:t>-</w:t>
                  </w:r>
                </w:p>
              </w:tc>
              <w:tc>
                <w:tcPr>
                  <w:tcW w:w="567" w:type="dxa"/>
                  <w:vAlign w:val="center"/>
                </w:tcPr>
                <w:p w14:paraId="3639FA2B">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highlight w:val="none"/>
                      <w:lang w:val="en-US" w:eastAsia="zh-CN"/>
                    </w:rPr>
                  </w:pPr>
                  <w:r>
                    <w:rPr>
                      <w:rFonts w:hint="eastAsia"/>
                      <w:sz w:val="18"/>
                      <w:szCs w:val="18"/>
                      <w:highlight w:val="none"/>
                      <w:lang w:val="en-US" w:eastAsia="zh-CN"/>
                    </w:rPr>
                    <w:t>-</w:t>
                  </w:r>
                </w:p>
              </w:tc>
              <w:tc>
                <w:tcPr>
                  <w:tcW w:w="834" w:type="dxa"/>
                  <w:vAlign w:val="center"/>
                </w:tcPr>
                <w:p w14:paraId="2BB7EB19">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highlight w:val="none"/>
                      <w:lang w:val="en-US" w:eastAsia="zh-CN"/>
                    </w:rPr>
                  </w:pPr>
                  <w:r>
                    <w:rPr>
                      <w:rFonts w:hint="eastAsia"/>
                      <w:sz w:val="18"/>
                      <w:szCs w:val="18"/>
                      <w:highlight w:val="none"/>
                      <w:lang w:val="en-US" w:eastAsia="zh-CN"/>
                    </w:rPr>
                    <w:t>-</w:t>
                  </w:r>
                </w:p>
              </w:tc>
              <w:tc>
                <w:tcPr>
                  <w:tcW w:w="904" w:type="dxa"/>
                  <w:vAlign w:val="center"/>
                </w:tcPr>
                <w:p w14:paraId="30DB28A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highlight w:val="none"/>
                      <w:lang w:val="en-US" w:eastAsia="zh-CN"/>
                    </w:rPr>
                  </w:pPr>
                  <w:r>
                    <w:rPr>
                      <w:rFonts w:hint="eastAsia"/>
                      <w:sz w:val="18"/>
                      <w:szCs w:val="18"/>
                      <w:highlight w:val="none"/>
                      <w:lang w:val="en-US" w:eastAsia="zh-CN"/>
                    </w:rPr>
                    <w:t>-</w:t>
                  </w:r>
                </w:p>
              </w:tc>
              <w:tc>
                <w:tcPr>
                  <w:tcW w:w="975" w:type="dxa"/>
                  <w:vAlign w:val="center"/>
                </w:tcPr>
                <w:p w14:paraId="42DE4A1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highlight w:val="none"/>
                      <w:lang w:val="en-US" w:eastAsia="zh-CN"/>
                    </w:rPr>
                  </w:pPr>
                  <w:r>
                    <w:rPr>
                      <w:rFonts w:hint="eastAsia"/>
                      <w:sz w:val="18"/>
                      <w:szCs w:val="18"/>
                      <w:highlight w:val="none"/>
                      <w:lang w:val="en-US" w:eastAsia="zh-CN"/>
                    </w:rPr>
                    <w:t>-</w:t>
                  </w:r>
                </w:p>
              </w:tc>
              <w:tc>
                <w:tcPr>
                  <w:tcW w:w="882" w:type="dxa"/>
                  <w:vAlign w:val="center"/>
                </w:tcPr>
                <w:p w14:paraId="694E9BFD">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highlight w:val="none"/>
                      <w:lang w:val="en-US" w:eastAsia="zh-CN"/>
                    </w:rPr>
                  </w:pPr>
                  <w:r>
                    <w:rPr>
                      <w:rFonts w:hint="eastAsia"/>
                      <w:sz w:val="18"/>
                      <w:szCs w:val="18"/>
                      <w:highlight w:val="none"/>
                      <w:lang w:val="en-US" w:eastAsia="zh-CN"/>
                    </w:rPr>
                    <w:t>-</w:t>
                  </w:r>
                </w:p>
              </w:tc>
              <w:tc>
                <w:tcPr>
                  <w:tcW w:w="641" w:type="dxa"/>
                  <w:vAlign w:val="center"/>
                </w:tcPr>
                <w:p w14:paraId="411050B3">
                  <w:pPr>
                    <w:keepNext w:val="0"/>
                    <w:keepLines w:val="0"/>
                    <w:pageBreakBefore w:val="0"/>
                    <w:widowControl w:val="0"/>
                    <w:kinsoku/>
                    <w:wordWrap/>
                    <w:overflowPunct/>
                    <w:topLinePunct w:val="0"/>
                    <w:autoSpaceDE/>
                    <w:autoSpaceDN/>
                    <w:bidi w:val="0"/>
                    <w:adjustRightInd/>
                    <w:snapToGrid/>
                    <w:spacing w:line="240" w:lineRule="exact"/>
                    <w:ind w:left="0" w:leftChars="0"/>
                    <w:jc w:val="center"/>
                    <w:textAlignment w:val="auto"/>
                    <w:rPr>
                      <w:rFonts w:hint="default"/>
                      <w:sz w:val="18"/>
                      <w:szCs w:val="18"/>
                      <w:lang w:val="en-US" w:eastAsia="zh-CN"/>
                    </w:rPr>
                  </w:pPr>
                  <w:r>
                    <w:rPr>
                      <w:rFonts w:hint="eastAsia"/>
                      <w:sz w:val="18"/>
                      <w:szCs w:val="18"/>
                      <w:lang w:val="en-US" w:eastAsia="zh-CN"/>
                    </w:rPr>
                    <w:t>1200</w:t>
                  </w:r>
                </w:p>
              </w:tc>
              <w:tc>
                <w:tcPr>
                  <w:tcW w:w="849" w:type="dxa"/>
                  <w:vAlign w:val="center"/>
                </w:tcPr>
                <w:p w14:paraId="09B2858A">
                  <w:pPr>
                    <w:pStyle w:val="2"/>
                    <w:keepNext w:val="0"/>
                    <w:keepLines w:val="0"/>
                    <w:pageBreakBefore w:val="0"/>
                    <w:widowControl w:val="0"/>
                    <w:kinsoku/>
                    <w:wordWrap/>
                    <w:overflowPunct/>
                    <w:topLinePunct w:val="0"/>
                    <w:autoSpaceDE/>
                    <w:autoSpaceDN/>
                    <w:bidi w:val="0"/>
                    <w:adjustRightInd/>
                    <w:snapToGrid/>
                    <w:spacing w:after="0" w:line="240" w:lineRule="exact"/>
                    <w:ind w:left="0" w:leftChars="0" w:firstLine="0" w:firstLineChars="0"/>
                    <w:jc w:val="center"/>
                    <w:textAlignment w:val="auto"/>
                    <w:rPr>
                      <w:rFonts w:hint="default"/>
                      <w:sz w:val="18"/>
                      <w:szCs w:val="18"/>
                      <w:lang w:val="en-US" w:eastAsia="zh-CN"/>
                    </w:rPr>
                  </w:pPr>
                  <w:r>
                    <w:rPr>
                      <w:rFonts w:hint="eastAsia"/>
                      <w:sz w:val="18"/>
                      <w:szCs w:val="18"/>
                      <w:lang w:val="en-US" w:eastAsia="zh-CN"/>
                    </w:rPr>
                    <w:t>20无量纲</w:t>
                  </w:r>
                </w:p>
              </w:tc>
            </w:tr>
          </w:tbl>
          <w:p w14:paraId="74E8A02E">
            <w:pPr>
              <w:rPr>
                <w:rFonts w:hint="eastAsia" w:eastAsia="宋体"/>
                <w:color w:val="FF0000"/>
                <w:lang w:eastAsia="zh-CN"/>
              </w:rPr>
            </w:pPr>
          </w:p>
        </w:tc>
      </w:tr>
    </w:tbl>
    <w:p w14:paraId="51885371">
      <w:pPr>
        <w:pStyle w:val="2"/>
        <w:jc w:val="right"/>
        <w:rPr>
          <w:color w:val="FF0000"/>
        </w:rPr>
        <w:sectPr>
          <w:pgSz w:w="16838" w:h="11906" w:orient="landscape"/>
          <w:pgMar w:top="1531" w:right="1701" w:bottom="1531" w:left="1701" w:header="851" w:footer="851" w:gutter="0"/>
          <w:pgNumType w:fmt="decimal"/>
          <w:cols w:space="720" w:num="1"/>
          <w:docGrid w:linePitch="312" w:charSpace="0"/>
        </w:sectPr>
      </w:pP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66"/>
        <w:gridCol w:w="8594"/>
      </w:tblGrid>
      <w:tr w14:paraId="554FC0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44" w:hRule="atLeast"/>
          <w:jc w:val="center"/>
        </w:trPr>
        <w:tc>
          <w:tcPr>
            <w:tcW w:w="466" w:type="dxa"/>
            <w:tcBorders>
              <w:top w:val="single" w:color="auto" w:sz="4" w:space="0"/>
              <w:left w:val="single" w:color="auto" w:sz="4" w:space="0"/>
              <w:right w:val="single" w:color="auto" w:sz="4" w:space="0"/>
            </w:tcBorders>
            <w:vAlign w:val="center"/>
          </w:tcPr>
          <w:p w14:paraId="645F0BFD">
            <w:pPr>
              <w:adjustRightInd w:val="0"/>
              <w:snapToGrid w:val="0"/>
              <w:spacing w:line="420" w:lineRule="exact"/>
              <w:jc w:val="center"/>
              <w:rPr>
                <w:bCs/>
              </w:rPr>
            </w:pPr>
            <w:r>
              <w:rPr>
                <w:bCs/>
              </w:rPr>
              <w:t>运营</w:t>
            </w:r>
          </w:p>
          <w:p w14:paraId="73199670">
            <w:pPr>
              <w:adjustRightInd w:val="0"/>
              <w:snapToGrid w:val="0"/>
              <w:spacing w:line="420" w:lineRule="exact"/>
              <w:jc w:val="center"/>
              <w:rPr>
                <w:bCs/>
              </w:rPr>
            </w:pPr>
            <w:r>
              <w:rPr>
                <w:bCs/>
              </w:rPr>
              <w:t>期环</w:t>
            </w:r>
          </w:p>
          <w:p w14:paraId="45CCD4CC">
            <w:pPr>
              <w:adjustRightInd w:val="0"/>
              <w:snapToGrid w:val="0"/>
              <w:spacing w:line="420" w:lineRule="exact"/>
              <w:jc w:val="center"/>
              <w:rPr>
                <w:bCs/>
              </w:rPr>
            </w:pPr>
            <w:r>
              <w:rPr>
                <w:bCs/>
              </w:rPr>
              <w:t>境影</w:t>
            </w:r>
          </w:p>
          <w:p w14:paraId="28E4068B">
            <w:pPr>
              <w:adjustRightInd w:val="0"/>
              <w:snapToGrid w:val="0"/>
              <w:spacing w:line="420" w:lineRule="exact"/>
              <w:jc w:val="center"/>
              <w:rPr>
                <w:bCs/>
              </w:rPr>
            </w:pPr>
            <w:r>
              <w:rPr>
                <w:bCs/>
              </w:rPr>
              <w:t>响和</w:t>
            </w:r>
          </w:p>
          <w:p w14:paraId="36191D5D">
            <w:pPr>
              <w:adjustRightInd w:val="0"/>
              <w:snapToGrid w:val="0"/>
              <w:spacing w:line="420" w:lineRule="exact"/>
              <w:jc w:val="center"/>
              <w:rPr>
                <w:bCs/>
              </w:rPr>
            </w:pPr>
            <w:r>
              <w:rPr>
                <w:bCs/>
              </w:rPr>
              <w:t>保护</w:t>
            </w:r>
          </w:p>
          <w:p w14:paraId="7BA029C8">
            <w:pPr>
              <w:adjustRightInd w:val="0"/>
              <w:snapToGrid w:val="0"/>
              <w:spacing w:line="420" w:lineRule="exact"/>
              <w:jc w:val="center"/>
              <w:rPr>
                <w:bCs/>
                <w:color w:val="FF0000"/>
              </w:rPr>
            </w:pPr>
            <w:r>
              <w:rPr>
                <w:bCs/>
              </w:rPr>
              <w:t>措施</w:t>
            </w:r>
          </w:p>
        </w:tc>
        <w:tc>
          <w:tcPr>
            <w:tcW w:w="8594" w:type="dxa"/>
            <w:tcBorders>
              <w:top w:val="single" w:color="auto" w:sz="4" w:space="0"/>
              <w:left w:val="single" w:color="auto" w:sz="4" w:space="0"/>
              <w:right w:val="single" w:color="auto" w:sz="4" w:space="0"/>
            </w:tcBorders>
          </w:tcPr>
          <w:p w14:paraId="11A27AC5">
            <w:pPr>
              <w:pStyle w:val="1041"/>
              <w:adjustRightInd w:val="0"/>
              <w:snapToGrid w:val="0"/>
              <w:spacing w:line="360" w:lineRule="auto"/>
              <w:ind w:firstLine="422"/>
              <w:rPr>
                <w:b/>
                <w:szCs w:val="21"/>
              </w:rPr>
            </w:pPr>
            <w:r>
              <w:rPr>
                <w:b/>
                <w:szCs w:val="21"/>
              </w:rPr>
              <w:t>（</w:t>
            </w:r>
            <w:r>
              <w:rPr>
                <w:rFonts w:hint="eastAsia"/>
                <w:b/>
                <w:szCs w:val="21"/>
                <w:lang w:eastAsia="zh-CN"/>
              </w:rPr>
              <w:t>二</w:t>
            </w:r>
            <w:r>
              <w:rPr>
                <w:b/>
                <w:szCs w:val="21"/>
              </w:rPr>
              <w:t>）源强核算过程：</w:t>
            </w:r>
          </w:p>
          <w:p w14:paraId="490F2B7A">
            <w:pPr>
              <w:pStyle w:val="381"/>
              <w:numPr>
                <w:ilvl w:val="0"/>
                <w:numId w:val="0"/>
              </w:numPr>
              <w:ind w:firstLine="420" w:firstLineChars="200"/>
              <w:rPr>
                <w:rFonts w:hint="default" w:ascii="Times New Roman" w:hAnsi="Times New Roman" w:eastAsia="宋体" w:cs="Times New Roman"/>
                <w:lang w:val="en-US" w:eastAsia="zh-CN"/>
              </w:rPr>
            </w:pPr>
            <w:r>
              <w:rPr>
                <w:rFonts w:hint="default" w:ascii="Times New Roman" w:hAnsi="Times New Roman" w:eastAsia="宋体" w:cs="Times New Roman"/>
                <w:sz w:val="21"/>
                <w:szCs w:val="21"/>
                <w:lang w:eastAsia="zh-CN"/>
              </w:rPr>
              <w:t>本项目产生的废气主要为</w:t>
            </w:r>
            <w:r>
              <w:rPr>
                <w:rFonts w:hint="eastAsia"/>
                <w:bCs/>
                <w:color w:val="auto"/>
                <w:sz w:val="21"/>
                <w:szCs w:val="21"/>
                <w:lang w:eastAsia="zh-CN"/>
              </w:rPr>
              <w:t>机械加工工序产生的颗粒物（</w:t>
            </w:r>
            <w:r>
              <w:rPr>
                <w:rFonts w:hint="eastAsia"/>
                <w:bCs/>
                <w:color w:val="auto"/>
                <w:sz w:val="21"/>
                <w:szCs w:val="21"/>
                <w:lang w:val="en-US" w:eastAsia="zh-CN"/>
              </w:rPr>
              <w:t>G1.1-G1.4</w:t>
            </w:r>
            <w:r>
              <w:rPr>
                <w:rFonts w:hint="eastAsia"/>
                <w:bCs/>
                <w:color w:val="auto"/>
                <w:sz w:val="21"/>
                <w:szCs w:val="21"/>
                <w:lang w:eastAsia="zh-CN"/>
              </w:rPr>
              <w:t>）；喷漆房涂装工序调漆、喷漆、晾干过程产生的漆雾颗粒、</w:t>
            </w:r>
            <w:r>
              <w:rPr>
                <w:rFonts w:hint="eastAsia"/>
                <w:bCs/>
                <w:color w:val="auto"/>
                <w:sz w:val="21"/>
                <w:szCs w:val="21"/>
                <w:lang w:val="en-US" w:eastAsia="zh-CN"/>
              </w:rPr>
              <w:t>VOCs（</w:t>
            </w:r>
            <w:r>
              <w:rPr>
                <w:rFonts w:hint="eastAsia" w:ascii="Times New Roman" w:hAnsi="Times New Roman" w:cs="Times New Roman"/>
                <w:b w:val="0"/>
                <w:bCs w:val="0"/>
                <w:kern w:val="2"/>
                <w:sz w:val="21"/>
                <w:szCs w:val="21"/>
                <w:lang w:val="en-US" w:eastAsia="zh-CN" w:bidi="ar-SA"/>
              </w:rPr>
              <w:t>G2.1-G2.5</w:t>
            </w:r>
            <w:r>
              <w:rPr>
                <w:rFonts w:hint="eastAsia"/>
                <w:bCs/>
                <w:color w:val="auto"/>
                <w:sz w:val="21"/>
                <w:szCs w:val="21"/>
                <w:lang w:val="en-US" w:eastAsia="zh-CN"/>
              </w:rPr>
              <w:t>）；浸漆、烘干工序产生的VOCs、苯乙烯（G16）；</w:t>
            </w:r>
            <w:r>
              <w:rPr>
                <w:rFonts w:hint="eastAsia" w:cs="Times New Roman"/>
                <w:b w:val="0"/>
                <w:bCs w:val="0"/>
                <w:kern w:val="2"/>
                <w:sz w:val="21"/>
                <w:szCs w:val="21"/>
                <w:lang w:val="en-US" w:eastAsia="zh-CN" w:bidi="ar-SA"/>
              </w:rPr>
              <w:t>碳钢板/不锈钢板下料、开孔</w:t>
            </w:r>
            <w:r>
              <w:rPr>
                <w:rFonts w:hint="eastAsia"/>
                <w:bCs/>
                <w:color w:val="auto"/>
                <w:sz w:val="21"/>
                <w:szCs w:val="21"/>
                <w:lang w:eastAsia="zh-CN"/>
              </w:rPr>
              <w:t>产生的颗粒物</w:t>
            </w:r>
            <w:r>
              <w:rPr>
                <w:rFonts w:hint="default" w:ascii="Times New Roman" w:hAnsi="Times New Roman" w:cs="Times New Roman"/>
                <w:bCs/>
                <w:color w:val="auto"/>
                <w:sz w:val="21"/>
                <w:szCs w:val="21"/>
                <w:lang w:eastAsia="zh-CN"/>
              </w:rPr>
              <w:t>（</w:t>
            </w:r>
            <w:r>
              <w:rPr>
                <w:rFonts w:hint="default" w:ascii="Times New Roman" w:hAnsi="Times New Roman" w:cs="Times New Roman"/>
                <w:bCs/>
                <w:color w:val="auto"/>
                <w:sz w:val="21"/>
                <w:szCs w:val="21"/>
                <w:lang w:val="en-US" w:eastAsia="zh-CN"/>
              </w:rPr>
              <w:t>G3</w:t>
            </w:r>
            <w:r>
              <w:rPr>
                <w:rFonts w:hint="eastAsia" w:cs="Times New Roman"/>
                <w:bCs/>
                <w:color w:val="auto"/>
                <w:sz w:val="21"/>
                <w:szCs w:val="21"/>
                <w:lang w:val="en-US" w:eastAsia="zh-CN"/>
              </w:rPr>
              <w:t>.1-G3.10</w:t>
            </w:r>
            <w:r>
              <w:rPr>
                <w:rFonts w:hint="default" w:ascii="Times New Roman" w:hAnsi="Times New Roman" w:cs="Times New Roman"/>
                <w:bCs/>
                <w:color w:val="auto"/>
                <w:sz w:val="21"/>
                <w:szCs w:val="21"/>
                <w:lang w:eastAsia="zh-CN"/>
              </w:rPr>
              <w:t>）；</w:t>
            </w:r>
            <w:r>
              <w:rPr>
                <w:rFonts w:hint="eastAsia" w:cs="Times New Roman"/>
                <w:bCs/>
                <w:color w:val="auto"/>
                <w:sz w:val="21"/>
                <w:szCs w:val="21"/>
                <w:lang w:eastAsia="zh-CN"/>
              </w:rPr>
              <w:t>焊接工序产生的颗粒物（</w:t>
            </w:r>
            <w:r>
              <w:rPr>
                <w:rFonts w:hint="eastAsia" w:cs="Times New Roman"/>
                <w:bCs/>
                <w:color w:val="auto"/>
                <w:sz w:val="21"/>
                <w:szCs w:val="21"/>
                <w:lang w:val="en-US" w:eastAsia="zh-CN"/>
              </w:rPr>
              <w:t>G4.1-G4.12</w:t>
            </w: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w:t>
            </w:r>
            <w:r>
              <w:rPr>
                <w:rFonts w:hint="eastAsia" w:cs="Times New Roman"/>
                <w:bCs/>
                <w:color w:val="auto"/>
                <w:sz w:val="21"/>
                <w:szCs w:val="21"/>
                <w:lang w:eastAsia="zh-CN"/>
              </w:rPr>
              <w:t>开孔工序产生的颗粒物（</w:t>
            </w:r>
            <w:r>
              <w:rPr>
                <w:rFonts w:hint="eastAsia" w:cs="Times New Roman"/>
                <w:bCs/>
                <w:color w:val="auto"/>
                <w:sz w:val="21"/>
                <w:szCs w:val="21"/>
                <w:lang w:val="en-US" w:eastAsia="zh-CN"/>
              </w:rPr>
              <w:t>G10.1、G10.2</w:t>
            </w:r>
            <w:r>
              <w:rPr>
                <w:rFonts w:hint="eastAsia" w:cs="Times New Roman"/>
                <w:bCs/>
                <w:color w:val="auto"/>
                <w:sz w:val="21"/>
                <w:szCs w:val="21"/>
                <w:lang w:eastAsia="zh-CN"/>
              </w:rPr>
              <w:t>）；玻璃钢缠绕罐原料投料、缠绕成型产生的</w:t>
            </w:r>
            <w:r>
              <w:rPr>
                <w:rFonts w:hint="eastAsia" w:ascii="Times New Roman" w:hAnsi="Times New Roman" w:cs="Times New Roman"/>
                <w:b w:val="0"/>
                <w:bCs w:val="0"/>
                <w:kern w:val="2"/>
                <w:sz w:val="21"/>
                <w:szCs w:val="21"/>
                <w:lang w:val="en-US" w:eastAsia="zh-CN" w:bidi="ar-SA"/>
              </w:rPr>
              <w:t>VOCs、苯乙烯（</w:t>
            </w:r>
            <w:r>
              <w:rPr>
                <w:rFonts w:hint="eastAsia" w:cs="Times New Roman"/>
                <w:b w:val="0"/>
                <w:bCs w:val="0"/>
                <w:kern w:val="2"/>
                <w:sz w:val="21"/>
                <w:szCs w:val="21"/>
                <w:lang w:val="en-US" w:eastAsia="zh-CN" w:bidi="ar-SA"/>
              </w:rPr>
              <w:t>G5、</w:t>
            </w:r>
            <w:r>
              <w:rPr>
                <w:rFonts w:hint="eastAsia" w:ascii="Times New Roman" w:hAnsi="Times New Roman" w:cs="Times New Roman"/>
                <w:b w:val="0"/>
                <w:bCs w:val="0"/>
                <w:kern w:val="2"/>
                <w:sz w:val="21"/>
                <w:szCs w:val="21"/>
                <w:lang w:val="en-US" w:eastAsia="zh-CN" w:bidi="ar-SA"/>
              </w:rPr>
              <w:t>G6）</w:t>
            </w:r>
            <w:r>
              <w:rPr>
                <w:rFonts w:hint="eastAsia" w:cs="Times New Roman"/>
                <w:b w:val="0"/>
                <w:bCs w:val="0"/>
                <w:kern w:val="2"/>
                <w:sz w:val="21"/>
                <w:szCs w:val="21"/>
                <w:lang w:val="en-US" w:eastAsia="zh-CN" w:bidi="ar-SA"/>
              </w:rPr>
              <w:t>；常温固化、原料装模、组装、粘接工序产生的</w:t>
            </w:r>
            <w:r>
              <w:rPr>
                <w:rFonts w:hint="eastAsia" w:ascii="Times New Roman" w:hAnsi="Times New Roman" w:cs="Times New Roman"/>
                <w:b w:val="0"/>
                <w:bCs w:val="0"/>
                <w:kern w:val="2"/>
                <w:sz w:val="21"/>
                <w:szCs w:val="21"/>
                <w:lang w:val="en-US" w:eastAsia="zh-CN" w:bidi="ar-SA"/>
              </w:rPr>
              <w:t>VOCs、苯乙烯（G</w:t>
            </w:r>
            <w:r>
              <w:rPr>
                <w:rFonts w:hint="eastAsia" w:cs="Times New Roman"/>
                <w:b w:val="0"/>
                <w:bCs w:val="0"/>
                <w:kern w:val="2"/>
                <w:sz w:val="21"/>
                <w:szCs w:val="21"/>
                <w:lang w:val="en-US" w:eastAsia="zh-CN" w:bidi="ar-SA"/>
              </w:rPr>
              <w:t>7、</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8.1-G8.3、</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9.1、G9.2</w:t>
            </w:r>
            <w:r>
              <w:rPr>
                <w:rFonts w:hint="eastAsia" w:ascii="Times New Roman" w:hAnsi="Times New Roman" w:cs="Times New Roman"/>
                <w:b w:val="0"/>
                <w:bCs w:val="0"/>
                <w:kern w:val="2"/>
                <w:sz w:val="21"/>
                <w:szCs w:val="21"/>
                <w:lang w:val="en-US" w:eastAsia="zh-CN" w:bidi="ar-SA"/>
              </w:rPr>
              <w:t>）</w:t>
            </w:r>
            <w:r>
              <w:rPr>
                <w:rFonts w:hint="eastAsia" w:cs="Times New Roman"/>
                <w:b w:val="0"/>
                <w:bCs w:val="0"/>
                <w:kern w:val="2"/>
                <w:sz w:val="21"/>
                <w:szCs w:val="21"/>
                <w:lang w:val="en-US" w:eastAsia="zh-CN" w:bidi="ar-SA"/>
              </w:rPr>
              <w:t>；PPH缠绕罐加热熔融、缠绕成型、常温固化、人工装模、组装、粘接工序产生的VOCs（</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11、G12、G13.1-G13.3、G14.1、G14.2、G15）</w:t>
            </w:r>
            <w:r>
              <w:rPr>
                <w:rFonts w:hint="default" w:ascii="Times New Roman" w:hAnsi="Times New Roman" w:eastAsia="宋体" w:cs="Times New Roman"/>
                <w:color w:val="000000"/>
                <w:sz w:val="21"/>
                <w:szCs w:val="21"/>
                <w:lang w:val="zh-CN"/>
              </w:rPr>
              <w:t>。</w:t>
            </w:r>
            <w:r>
              <w:rPr>
                <w:rFonts w:hint="eastAsia" w:cs="Times New Roman"/>
                <w:color w:val="000000"/>
                <w:sz w:val="21"/>
                <w:szCs w:val="21"/>
                <w:lang w:val="zh-CN"/>
              </w:rPr>
              <w:t>机械加工过程产生的颗粒物主要为金属粉尘，粒径较大，大部分在设备周边进行自然沉降，车间采取密闭措施，机械加工过程产生的金属粉尘基本不会逸散到车间外，对周围大气环境基本无影响，本次环评不再对机械加工过程产生的颗粒物进行定量分析。</w:t>
            </w:r>
          </w:p>
          <w:p w14:paraId="5F91B699">
            <w:pPr>
              <w:pStyle w:val="381"/>
              <w:ind w:firstLine="422"/>
              <w:rPr>
                <w:rFonts w:hint="eastAsia" w:eastAsia="宋体"/>
                <w:b/>
                <w:bCs/>
                <w:sz w:val="21"/>
                <w:lang w:val="en-US" w:eastAsia="zh-CN"/>
              </w:rPr>
            </w:pPr>
            <w:r>
              <w:rPr>
                <w:rFonts w:hint="eastAsia"/>
                <w:b/>
                <w:bCs/>
                <w:sz w:val="21"/>
                <w:lang w:val="en-US" w:eastAsia="zh-CN"/>
              </w:rPr>
              <w:t>1、源强分析</w:t>
            </w:r>
          </w:p>
          <w:p w14:paraId="6E01549E">
            <w:pPr>
              <w:pStyle w:val="381"/>
              <w:numPr>
                <w:ilvl w:val="0"/>
                <w:numId w:val="0"/>
              </w:numPr>
              <w:ind w:firstLine="420" w:firstLineChars="200"/>
              <w:rPr>
                <w:rFonts w:hint="default" w:ascii="Times New Roman" w:hAnsi="Times New Roman" w:cs="Times New Roman"/>
                <w:sz w:val="21"/>
                <w:szCs w:val="21"/>
              </w:rPr>
            </w:pPr>
            <w:r>
              <w:rPr>
                <w:rFonts w:hint="default" w:ascii="Times New Roman" w:hAnsi="Times New Roman" w:eastAsia="宋体" w:cs="Times New Roman"/>
                <w:kern w:val="2"/>
                <w:sz w:val="21"/>
                <w:szCs w:val="21"/>
                <w:lang w:val="zh-CN" w:eastAsia="zh-CN" w:bidi="ar-SA"/>
              </w:rPr>
              <w:t>（1）</w:t>
            </w:r>
            <w:r>
              <w:rPr>
                <w:rFonts w:hint="eastAsia"/>
                <w:bCs/>
                <w:color w:val="auto"/>
                <w:sz w:val="21"/>
                <w:szCs w:val="21"/>
                <w:lang w:eastAsia="zh-CN"/>
              </w:rPr>
              <w:t>喷漆房涂装工序调漆、喷漆、晾干过程产生的漆雾颗粒、</w:t>
            </w:r>
            <w:r>
              <w:rPr>
                <w:rFonts w:hint="eastAsia"/>
                <w:bCs/>
                <w:color w:val="auto"/>
                <w:sz w:val="21"/>
                <w:szCs w:val="21"/>
                <w:lang w:val="en-US" w:eastAsia="zh-CN"/>
              </w:rPr>
              <w:t>VOCs（</w:t>
            </w:r>
            <w:r>
              <w:rPr>
                <w:rFonts w:hint="eastAsia" w:ascii="Times New Roman" w:hAnsi="Times New Roman" w:cs="Times New Roman"/>
                <w:b w:val="0"/>
                <w:bCs w:val="0"/>
                <w:kern w:val="2"/>
                <w:sz w:val="21"/>
                <w:szCs w:val="21"/>
                <w:lang w:val="en-US" w:eastAsia="zh-CN" w:bidi="ar-SA"/>
              </w:rPr>
              <w:t>G2.1-G2.5</w:t>
            </w:r>
            <w:r>
              <w:rPr>
                <w:rFonts w:hint="eastAsia"/>
                <w:bCs/>
                <w:color w:val="auto"/>
                <w:sz w:val="21"/>
                <w:szCs w:val="21"/>
                <w:lang w:val="en-US" w:eastAsia="zh-CN"/>
              </w:rPr>
              <w:t>）</w:t>
            </w:r>
          </w:p>
          <w:p w14:paraId="61E61487">
            <w:pPr>
              <w:pStyle w:val="381"/>
              <w:numPr>
                <w:ilvl w:val="0"/>
                <w:numId w:val="0"/>
              </w:numPr>
              <w:ind w:firstLine="420" w:firstLineChars="200"/>
              <w:rPr>
                <w:rFonts w:hint="eastAsia" w:ascii="Times New Roman" w:hAnsi="Times New Roman" w:eastAsia="宋体" w:cs="Times New Roman"/>
                <w:sz w:val="21"/>
                <w:szCs w:val="21"/>
                <w:lang w:eastAsia="zh-CN"/>
              </w:rPr>
            </w:pPr>
            <w:r>
              <w:rPr>
                <w:rFonts w:hint="default" w:ascii="Times New Roman" w:hAnsi="Times New Roman" w:cs="Times New Roman"/>
                <w:sz w:val="21"/>
                <w:szCs w:val="21"/>
              </w:rPr>
              <w:t>本项目使用</w:t>
            </w:r>
            <w:r>
              <w:rPr>
                <w:rFonts w:hint="default" w:ascii="Times New Roman" w:hAnsi="Times New Roman" w:cs="Times New Roman"/>
                <w:sz w:val="21"/>
                <w:szCs w:val="21"/>
                <w:lang w:eastAsia="zh-CN"/>
              </w:rPr>
              <w:t>溶剂型</w:t>
            </w:r>
            <w:r>
              <w:rPr>
                <w:rFonts w:hint="default" w:ascii="Times New Roman" w:hAnsi="Times New Roman" w:cs="Times New Roman"/>
                <w:sz w:val="21"/>
                <w:szCs w:val="21"/>
              </w:rPr>
              <w:t>涂料，根据企业提供的</w:t>
            </w:r>
            <w:r>
              <w:rPr>
                <w:rFonts w:hint="default" w:ascii="Times New Roman" w:hAnsi="Times New Roman" w:cs="Times New Roman"/>
                <w:sz w:val="21"/>
                <w:szCs w:val="21"/>
                <w:lang w:eastAsia="zh-CN"/>
              </w:rPr>
              <w:t>溶剂型</w:t>
            </w:r>
            <w:r>
              <w:rPr>
                <w:rFonts w:hint="default" w:ascii="Times New Roman" w:hAnsi="Times New Roman" w:cs="Times New Roman"/>
                <w:sz w:val="21"/>
                <w:szCs w:val="21"/>
              </w:rPr>
              <w:t>涂料的</w:t>
            </w:r>
            <w:r>
              <w:rPr>
                <w:rFonts w:hint="default" w:ascii="Times New Roman" w:hAnsi="Times New Roman" w:cs="Times New Roman"/>
                <w:sz w:val="21"/>
                <w:szCs w:val="21"/>
                <w:highlight w:val="none"/>
                <w:lang w:eastAsia="zh-CN"/>
              </w:rPr>
              <w:t>成分分析表</w:t>
            </w:r>
            <w:r>
              <w:rPr>
                <w:rFonts w:hint="default" w:ascii="Times New Roman" w:hAnsi="Times New Roman" w:cs="Times New Roman"/>
                <w:sz w:val="21"/>
                <w:szCs w:val="21"/>
                <w:highlight w:val="none"/>
              </w:rPr>
              <w:t>，</w:t>
            </w:r>
            <w:r>
              <w:rPr>
                <w:rFonts w:hint="default" w:ascii="Times New Roman" w:hAnsi="Times New Roman" w:cs="Times New Roman"/>
                <w:sz w:val="21"/>
                <w:szCs w:val="21"/>
              </w:rPr>
              <w:t>本项目使用的涂料中不含苯、甲苯</w:t>
            </w:r>
            <w:r>
              <w:rPr>
                <w:rFonts w:hint="eastAsia" w:cs="Times New Roman"/>
                <w:sz w:val="21"/>
                <w:szCs w:val="21"/>
                <w:lang w:eastAsia="zh-CN"/>
              </w:rPr>
              <w:t>、二甲苯，</w:t>
            </w:r>
            <w:r>
              <w:rPr>
                <w:rFonts w:hint="default" w:ascii="Times New Roman" w:hAnsi="Times New Roman" w:cs="Times New Roman"/>
                <w:sz w:val="21"/>
                <w:szCs w:val="21"/>
              </w:rPr>
              <w:t>故而本项目喷涂设施核算因子为颗粒物（漆雾）</w:t>
            </w:r>
            <w:r>
              <w:rPr>
                <w:rFonts w:hint="default" w:ascii="Times New Roman" w:hAnsi="Times New Roman" w:cs="Times New Roman"/>
                <w:sz w:val="21"/>
                <w:szCs w:val="21"/>
                <w:lang w:eastAsia="zh-CN"/>
              </w:rPr>
              <w:t>、</w:t>
            </w:r>
            <w:r>
              <w:rPr>
                <w:rFonts w:hint="default" w:ascii="Times New Roman" w:hAnsi="Times New Roman" w:cs="Times New Roman"/>
                <w:sz w:val="21"/>
                <w:szCs w:val="21"/>
              </w:rPr>
              <w:t>VOCs，烘干设施核算因子为VOCs</w:t>
            </w:r>
            <w:r>
              <w:rPr>
                <w:rFonts w:hint="eastAsia" w:cs="Times New Roman"/>
                <w:sz w:val="21"/>
                <w:szCs w:val="21"/>
                <w:lang w:eastAsia="zh-CN"/>
              </w:rPr>
              <w:t>。</w:t>
            </w:r>
          </w:p>
          <w:p w14:paraId="07DEB575">
            <w:pPr>
              <w:pStyle w:val="381"/>
              <w:ind w:firstLine="31680"/>
              <w:rPr>
                <w:rFonts w:hint="default" w:ascii="Times New Roman" w:hAnsi="Times New Roman" w:cs="Times New Roman"/>
                <w:sz w:val="21"/>
                <w:szCs w:val="21"/>
              </w:rPr>
            </w:pPr>
            <w:r>
              <w:rPr>
                <w:rFonts w:hint="eastAsia" w:cs="Times New Roman"/>
                <w:sz w:val="21"/>
                <w:szCs w:val="21"/>
                <w:lang w:eastAsia="zh-CN"/>
              </w:rPr>
              <w:t>喷漆房</w:t>
            </w:r>
            <w:r>
              <w:rPr>
                <w:rFonts w:hint="default" w:ascii="Times New Roman" w:hAnsi="Times New Roman" w:cs="Times New Roman"/>
                <w:sz w:val="21"/>
                <w:szCs w:val="21"/>
              </w:rPr>
              <w:t>涂装过程</w:t>
            </w:r>
            <w:r>
              <w:rPr>
                <w:rFonts w:hint="eastAsia" w:cs="Times New Roman"/>
                <w:sz w:val="21"/>
                <w:szCs w:val="21"/>
                <w:lang w:eastAsia="zh-CN"/>
              </w:rPr>
              <w:t>调漆</w:t>
            </w:r>
            <w:r>
              <w:rPr>
                <w:rFonts w:hint="default" w:ascii="Times New Roman" w:hAnsi="Times New Roman" w:cs="Times New Roman"/>
                <w:sz w:val="21"/>
                <w:szCs w:val="21"/>
              </w:rPr>
              <w:t>、喷</w:t>
            </w:r>
            <w:r>
              <w:rPr>
                <w:rFonts w:hint="eastAsia" w:cs="Times New Roman"/>
                <w:sz w:val="21"/>
                <w:szCs w:val="21"/>
                <w:lang w:eastAsia="zh-CN"/>
              </w:rPr>
              <w:t>漆</w:t>
            </w:r>
            <w:r>
              <w:rPr>
                <w:rFonts w:hint="default" w:ascii="Times New Roman" w:hAnsi="Times New Roman" w:cs="Times New Roman"/>
                <w:sz w:val="21"/>
                <w:szCs w:val="21"/>
              </w:rPr>
              <w:t>、</w:t>
            </w:r>
            <w:r>
              <w:rPr>
                <w:rFonts w:hint="eastAsia" w:cs="Times New Roman"/>
                <w:sz w:val="21"/>
                <w:szCs w:val="21"/>
                <w:lang w:eastAsia="zh-CN"/>
              </w:rPr>
              <w:t>晾</w:t>
            </w:r>
            <w:r>
              <w:rPr>
                <w:rFonts w:hint="default" w:ascii="Times New Roman" w:hAnsi="Times New Roman" w:cs="Times New Roman"/>
                <w:sz w:val="21"/>
                <w:szCs w:val="21"/>
              </w:rPr>
              <w:t>干过程有废气产生，主要污染物为VOCs和漆雾颗粒。</w:t>
            </w:r>
            <w:r>
              <w:rPr>
                <w:rFonts w:hint="eastAsia" w:cs="Times New Roman"/>
                <w:sz w:val="21"/>
                <w:szCs w:val="21"/>
                <w:lang w:eastAsia="zh-CN"/>
              </w:rPr>
              <w:t>喷漆房内</w:t>
            </w:r>
            <w:r>
              <w:rPr>
                <w:rFonts w:hint="default" w:ascii="Times New Roman" w:hAnsi="Times New Roman" w:cs="Times New Roman"/>
                <w:sz w:val="21"/>
                <w:szCs w:val="21"/>
                <w:lang w:eastAsia="zh-CN"/>
              </w:rPr>
              <w:t>喷枪清洗使用稀释剂，使用完的稀释剂</w:t>
            </w:r>
            <w:r>
              <w:rPr>
                <w:rFonts w:hint="eastAsia" w:cs="Times New Roman"/>
                <w:sz w:val="21"/>
                <w:szCs w:val="21"/>
                <w:lang w:eastAsia="zh-CN"/>
              </w:rPr>
              <w:t>桶装保存后，下次</w:t>
            </w:r>
            <w:r>
              <w:rPr>
                <w:rFonts w:hint="default" w:ascii="Times New Roman" w:hAnsi="Times New Roman" w:cs="Times New Roman"/>
                <w:sz w:val="21"/>
                <w:szCs w:val="21"/>
                <w:lang w:eastAsia="zh-CN"/>
              </w:rPr>
              <w:t>全部进行涂料调配使用，不会产生废稀释剂</w:t>
            </w:r>
            <w:r>
              <w:rPr>
                <w:rFonts w:hint="eastAsia" w:cs="Times New Roman"/>
                <w:sz w:val="21"/>
                <w:szCs w:val="21"/>
                <w:lang w:val="en-US" w:eastAsia="zh-CN"/>
              </w:rPr>
              <w:t>。</w:t>
            </w:r>
            <w:r>
              <w:rPr>
                <w:rFonts w:hint="default" w:ascii="Times New Roman" w:hAnsi="Times New Roman" w:cs="Times New Roman"/>
                <w:sz w:val="21"/>
                <w:szCs w:val="21"/>
              </w:rPr>
              <w:t>本项目</w:t>
            </w:r>
            <w:r>
              <w:rPr>
                <w:rFonts w:hint="eastAsia" w:cs="Times New Roman"/>
                <w:sz w:val="21"/>
                <w:szCs w:val="21"/>
                <w:lang w:eastAsia="zh-CN"/>
              </w:rPr>
              <w:t>喷漆房</w:t>
            </w:r>
            <w:r>
              <w:rPr>
                <w:rFonts w:hint="default" w:ascii="Times New Roman" w:hAnsi="Times New Roman" w:cs="Times New Roman"/>
                <w:sz w:val="21"/>
                <w:szCs w:val="21"/>
              </w:rPr>
              <w:t>涂装工序年工作时间为</w:t>
            </w:r>
            <w:r>
              <w:rPr>
                <w:rFonts w:hint="eastAsia" w:cs="Times New Roman"/>
                <w:sz w:val="21"/>
                <w:szCs w:val="21"/>
                <w:lang w:val="en-US" w:eastAsia="zh-CN"/>
              </w:rPr>
              <w:t>12</w:t>
            </w:r>
            <w:r>
              <w:rPr>
                <w:rFonts w:hint="default" w:ascii="Times New Roman" w:hAnsi="Times New Roman" w:cs="Times New Roman"/>
                <w:sz w:val="21"/>
                <w:szCs w:val="21"/>
                <w:lang w:val="en-US" w:eastAsia="zh-CN"/>
              </w:rPr>
              <w:t>0</w:t>
            </w:r>
            <w:r>
              <w:rPr>
                <w:rFonts w:hint="default" w:ascii="Times New Roman" w:hAnsi="Times New Roman" w:cs="Times New Roman"/>
                <w:sz w:val="21"/>
                <w:szCs w:val="21"/>
              </w:rPr>
              <w:t>0h</w:t>
            </w:r>
            <w:r>
              <w:rPr>
                <w:rFonts w:hint="default" w:ascii="Times New Roman" w:hAnsi="Times New Roman" w:cs="Times New Roman"/>
                <w:sz w:val="21"/>
                <w:szCs w:val="21"/>
                <w:lang w:eastAsia="zh-CN"/>
              </w:rPr>
              <w:t>，</w:t>
            </w:r>
            <w:r>
              <w:rPr>
                <w:rFonts w:hint="default" w:ascii="Times New Roman" w:hAnsi="Times New Roman" w:cs="Times New Roman"/>
                <w:sz w:val="21"/>
                <w:szCs w:val="21"/>
              </w:rPr>
              <w:t>涂装过程废气处理流程见图2-</w:t>
            </w:r>
            <w:r>
              <w:rPr>
                <w:rFonts w:hint="eastAsia" w:cs="Times New Roman"/>
                <w:sz w:val="21"/>
                <w:szCs w:val="21"/>
                <w:lang w:val="en-US" w:eastAsia="zh-CN"/>
              </w:rPr>
              <w:t>3</w:t>
            </w:r>
            <w:r>
              <w:rPr>
                <w:rFonts w:hint="default" w:ascii="Times New Roman" w:hAnsi="Times New Roman" w:cs="Times New Roman"/>
                <w:sz w:val="21"/>
                <w:szCs w:val="21"/>
              </w:rPr>
              <w:t>。</w:t>
            </w:r>
            <w:r>
              <w:rPr>
                <w:rFonts w:hint="eastAsia" w:cs="Times New Roman"/>
                <w:sz w:val="21"/>
                <w:szCs w:val="21"/>
                <w:lang w:eastAsia="zh-CN"/>
              </w:rPr>
              <w:t>油性漆中</w:t>
            </w:r>
            <w:r>
              <w:rPr>
                <w:rFonts w:hint="eastAsia" w:cs="Times New Roman"/>
                <w:sz w:val="21"/>
                <w:szCs w:val="21"/>
                <w:lang w:val="en-US" w:eastAsia="zh-CN"/>
              </w:rPr>
              <w:t>VOCs含量</w:t>
            </w:r>
            <w:r>
              <w:rPr>
                <w:rFonts w:hint="eastAsia" w:cs="Times New Roman"/>
                <w:sz w:val="21"/>
                <w:szCs w:val="21"/>
                <w:lang w:eastAsia="zh-CN"/>
              </w:rPr>
              <w:t>按溶剂全部挥发计，稀释剂中</w:t>
            </w:r>
            <w:r>
              <w:rPr>
                <w:rFonts w:hint="eastAsia" w:cs="Times New Roman"/>
                <w:sz w:val="21"/>
                <w:szCs w:val="21"/>
                <w:lang w:val="en-US" w:eastAsia="zh-CN"/>
              </w:rPr>
              <w:t>VOCs含量</w:t>
            </w:r>
            <w:r>
              <w:rPr>
                <w:rFonts w:hint="eastAsia" w:cs="Times New Roman"/>
                <w:sz w:val="21"/>
                <w:szCs w:val="21"/>
                <w:lang w:eastAsia="zh-CN"/>
              </w:rPr>
              <w:t>按溶剂全部挥发计</w:t>
            </w:r>
            <w:r>
              <w:rPr>
                <w:rFonts w:hint="default" w:ascii="Times New Roman" w:hAnsi="Times New Roman" w:cs="Times New Roman"/>
                <w:sz w:val="21"/>
                <w:szCs w:val="21"/>
              </w:rPr>
              <w:t>。</w:t>
            </w:r>
            <w:r>
              <w:rPr>
                <w:rFonts w:hint="eastAsia" w:cs="Times New Roman"/>
                <w:sz w:val="21"/>
                <w:szCs w:val="21"/>
                <w:lang w:eastAsia="zh-CN"/>
              </w:rPr>
              <w:t>喷漆房</w:t>
            </w:r>
            <w:r>
              <w:rPr>
                <w:rFonts w:hint="default" w:ascii="Times New Roman" w:hAnsi="Times New Roman" w:cs="Times New Roman"/>
                <w:sz w:val="21"/>
                <w:szCs w:val="21"/>
              </w:rPr>
              <w:t>涂装过程</w:t>
            </w:r>
            <w:r>
              <w:rPr>
                <w:rFonts w:hint="eastAsia" w:cs="Times New Roman"/>
                <w:sz w:val="21"/>
                <w:szCs w:val="21"/>
                <w:lang w:eastAsia="zh-CN"/>
              </w:rPr>
              <w:t>产生的漆雾颗粒、</w:t>
            </w:r>
            <w:r>
              <w:rPr>
                <w:rFonts w:hint="eastAsia" w:cs="Times New Roman"/>
                <w:sz w:val="21"/>
                <w:szCs w:val="21"/>
                <w:lang w:val="en-US" w:eastAsia="zh-CN"/>
              </w:rPr>
              <w:t>VOCs</w:t>
            </w:r>
            <w:r>
              <w:rPr>
                <w:rFonts w:hint="eastAsia" w:cs="Times New Roman"/>
                <w:sz w:val="21"/>
                <w:szCs w:val="21"/>
                <w:lang w:eastAsia="zh-CN"/>
              </w:rPr>
              <w:t>经迷宫式过滤箱处理漆雾颗粒后进入两级活性炭吸附装置处理，最后经</w:t>
            </w:r>
            <w:r>
              <w:rPr>
                <w:rFonts w:hint="eastAsia" w:cs="Times New Roman"/>
                <w:sz w:val="21"/>
                <w:szCs w:val="21"/>
                <w:lang w:val="en-US" w:eastAsia="zh-CN"/>
              </w:rPr>
              <w:t>15mDA001排气筒有组织排放。</w:t>
            </w:r>
            <w:r>
              <w:rPr>
                <w:rFonts w:hint="default" w:ascii="Times New Roman" w:hAnsi="Times New Roman" w:cs="Times New Roman"/>
                <w:sz w:val="21"/>
                <w:szCs w:val="21"/>
              </w:rPr>
              <w:t>根据本项目</w:t>
            </w:r>
            <w:r>
              <w:rPr>
                <w:rFonts w:hint="eastAsia" w:cs="Times New Roman"/>
                <w:sz w:val="21"/>
                <w:szCs w:val="21"/>
                <w:lang w:eastAsia="zh-CN"/>
              </w:rPr>
              <w:t>喷漆房</w:t>
            </w:r>
            <w:r>
              <w:rPr>
                <w:rFonts w:hint="default" w:ascii="Times New Roman" w:hAnsi="Times New Roman" w:cs="Times New Roman"/>
                <w:sz w:val="21"/>
                <w:szCs w:val="21"/>
              </w:rPr>
              <w:t>涂料物料平衡</w:t>
            </w:r>
            <w:r>
              <w:rPr>
                <w:rFonts w:hint="eastAsia" w:ascii="Times New Roman" w:hAnsi="Times New Roman" w:cs="Times New Roman"/>
                <w:sz w:val="21"/>
                <w:szCs w:val="21"/>
                <w:lang w:eastAsia="zh-CN"/>
              </w:rPr>
              <w:t>，</w:t>
            </w:r>
            <w:r>
              <w:rPr>
                <w:rFonts w:hint="default" w:ascii="Times New Roman" w:hAnsi="Times New Roman" w:cs="Times New Roman"/>
                <w:sz w:val="21"/>
                <w:szCs w:val="21"/>
              </w:rPr>
              <w:t>具体产排污系数见表4-</w:t>
            </w:r>
            <w:r>
              <w:rPr>
                <w:rFonts w:hint="eastAsia" w:cs="Times New Roman"/>
                <w:sz w:val="21"/>
                <w:szCs w:val="21"/>
                <w:lang w:val="en-US" w:eastAsia="zh-CN"/>
              </w:rPr>
              <w:t>3</w:t>
            </w:r>
            <w:r>
              <w:rPr>
                <w:rFonts w:hint="eastAsia" w:cs="Times New Roman"/>
                <w:sz w:val="21"/>
                <w:szCs w:val="21"/>
                <w:lang w:eastAsia="zh-CN"/>
              </w:rPr>
              <w:t>，</w:t>
            </w:r>
            <w:r>
              <w:rPr>
                <w:rFonts w:hint="default" w:ascii="Times New Roman" w:hAnsi="Times New Roman" w:cs="Times New Roman"/>
                <w:sz w:val="21"/>
                <w:szCs w:val="21"/>
              </w:rPr>
              <w:t>废气</w:t>
            </w:r>
            <w:r>
              <w:rPr>
                <w:rFonts w:hint="eastAsia" w:cs="Times New Roman"/>
                <w:sz w:val="21"/>
                <w:szCs w:val="21"/>
                <w:lang w:eastAsia="zh-CN"/>
              </w:rPr>
              <w:t>产生及</w:t>
            </w:r>
            <w:r>
              <w:rPr>
                <w:rFonts w:hint="default" w:ascii="Times New Roman" w:hAnsi="Times New Roman" w:cs="Times New Roman"/>
                <w:sz w:val="21"/>
                <w:szCs w:val="21"/>
              </w:rPr>
              <w:t>排放情况见表4-</w:t>
            </w:r>
            <w:r>
              <w:rPr>
                <w:rFonts w:hint="eastAsia" w:cs="Times New Roman"/>
                <w:sz w:val="21"/>
                <w:szCs w:val="21"/>
                <w:lang w:val="en-US" w:eastAsia="zh-CN"/>
              </w:rPr>
              <w:t>4</w:t>
            </w:r>
            <w:r>
              <w:rPr>
                <w:rFonts w:hint="default" w:ascii="Times New Roman" w:hAnsi="Times New Roman" w:cs="Times New Roman"/>
                <w:sz w:val="21"/>
                <w:szCs w:val="21"/>
              </w:rPr>
              <w:t>。</w:t>
            </w:r>
          </w:p>
          <w:p w14:paraId="6EE96E4B">
            <w:pPr>
              <w:pStyle w:val="1312"/>
              <w:adjustRightInd w:val="0"/>
              <w:snapToGrid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表4-</w:t>
            </w:r>
            <w:r>
              <w:rPr>
                <w:rFonts w:hint="default" w:ascii="Times New Roman" w:hAnsi="Times New Roman" w:eastAsia="宋体" w:cs="Times New Roman"/>
                <w:b/>
                <w:bCs/>
                <w:sz w:val="21"/>
                <w:szCs w:val="21"/>
                <w:lang w:val="en-US" w:eastAsia="zh-CN"/>
              </w:rPr>
              <w:t>3喷漆房</w:t>
            </w:r>
            <w:r>
              <w:rPr>
                <w:rFonts w:hint="default" w:ascii="Times New Roman" w:hAnsi="Times New Roman" w:eastAsia="宋体" w:cs="Times New Roman"/>
                <w:b/>
                <w:bCs/>
                <w:sz w:val="21"/>
                <w:szCs w:val="21"/>
              </w:rPr>
              <w:t>涂装过程</w:t>
            </w:r>
            <w:r>
              <w:rPr>
                <w:rFonts w:hint="default" w:ascii="Times New Roman" w:hAnsi="Times New Roman" w:eastAsia="宋体" w:cs="Times New Roman"/>
                <w:b/>
                <w:bCs/>
                <w:sz w:val="21"/>
                <w:szCs w:val="21"/>
                <w:lang w:eastAsia="zh-CN"/>
              </w:rPr>
              <w:t>调漆</w:t>
            </w:r>
            <w:r>
              <w:rPr>
                <w:rFonts w:hint="default" w:ascii="Times New Roman" w:hAnsi="Times New Roman" w:eastAsia="宋体" w:cs="Times New Roman"/>
                <w:b/>
                <w:bCs/>
                <w:sz w:val="21"/>
                <w:szCs w:val="21"/>
              </w:rPr>
              <w:t>、喷</w:t>
            </w:r>
            <w:r>
              <w:rPr>
                <w:rFonts w:hint="default" w:ascii="Times New Roman" w:hAnsi="Times New Roman" w:eastAsia="宋体" w:cs="Times New Roman"/>
                <w:b/>
                <w:bCs/>
                <w:sz w:val="21"/>
                <w:szCs w:val="21"/>
                <w:lang w:eastAsia="zh-CN"/>
              </w:rPr>
              <w:t>漆</w:t>
            </w:r>
            <w:r>
              <w:rPr>
                <w:rFonts w:hint="default" w:ascii="Times New Roman" w:hAnsi="Times New Roman" w:eastAsia="宋体" w:cs="Times New Roman"/>
                <w:b/>
                <w:bCs/>
                <w:sz w:val="21"/>
                <w:szCs w:val="21"/>
              </w:rPr>
              <w:t>、</w:t>
            </w:r>
            <w:r>
              <w:rPr>
                <w:rFonts w:hint="default" w:ascii="Times New Roman" w:hAnsi="Times New Roman" w:eastAsia="宋体" w:cs="Times New Roman"/>
                <w:b/>
                <w:bCs/>
                <w:sz w:val="21"/>
                <w:szCs w:val="21"/>
                <w:lang w:eastAsia="zh-CN"/>
              </w:rPr>
              <w:t>晾</w:t>
            </w:r>
            <w:r>
              <w:rPr>
                <w:rFonts w:hint="default" w:ascii="Times New Roman" w:hAnsi="Times New Roman" w:eastAsia="宋体" w:cs="Times New Roman"/>
                <w:b/>
                <w:bCs/>
                <w:sz w:val="21"/>
                <w:szCs w:val="21"/>
              </w:rPr>
              <w:t>干过程</w:t>
            </w:r>
            <w:r>
              <w:rPr>
                <w:rFonts w:hint="default" w:ascii="Times New Roman" w:hAnsi="Times New Roman" w:eastAsia="宋体" w:cs="Times New Roman"/>
                <w:b/>
                <w:bCs/>
                <w:sz w:val="21"/>
                <w:szCs w:val="21"/>
                <w:lang w:eastAsia="zh-CN"/>
              </w:rPr>
              <w:t>污染物</w:t>
            </w:r>
            <w:r>
              <w:rPr>
                <w:rFonts w:hint="default" w:ascii="Times New Roman" w:hAnsi="Times New Roman" w:eastAsia="宋体" w:cs="Times New Roman"/>
                <w:b/>
                <w:bCs/>
                <w:sz w:val="21"/>
                <w:szCs w:val="21"/>
              </w:rPr>
              <w:t>产污系数</w:t>
            </w:r>
          </w:p>
          <w:tbl>
            <w:tblPr>
              <w:tblStyle w:val="81"/>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4"/>
              <w:gridCol w:w="1205"/>
              <w:gridCol w:w="1323"/>
              <w:gridCol w:w="1207"/>
              <w:gridCol w:w="2101"/>
              <w:gridCol w:w="1549"/>
            </w:tblGrid>
            <w:tr w14:paraId="1444B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 w:type="dxa"/>
                  <w:tcBorders>
                    <w:top w:val="single" w:color="auto" w:sz="4" w:space="0"/>
                    <w:left w:val="single" w:color="auto" w:sz="4" w:space="0"/>
                    <w:bottom w:val="single" w:color="auto" w:sz="4" w:space="0"/>
                    <w:right w:val="single" w:color="auto" w:sz="4" w:space="0"/>
                  </w:tcBorders>
                  <w:vAlign w:val="center"/>
                </w:tcPr>
                <w:p w14:paraId="30331C81">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产品名称</w:t>
                  </w:r>
                </w:p>
              </w:tc>
              <w:tc>
                <w:tcPr>
                  <w:tcW w:w="1205" w:type="dxa"/>
                  <w:tcBorders>
                    <w:top w:val="single" w:color="auto" w:sz="4" w:space="0"/>
                    <w:left w:val="single" w:color="auto" w:sz="4" w:space="0"/>
                    <w:bottom w:val="single" w:color="auto" w:sz="4" w:space="0"/>
                    <w:right w:val="single" w:color="auto" w:sz="4" w:space="0"/>
                  </w:tcBorders>
                  <w:vAlign w:val="center"/>
                </w:tcPr>
                <w:p w14:paraId="6865C110">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原料名称</w:t>
                  </w:r>
                </w:p>
              </w:tc>
              <w:tc>
                <w:tcPr>
                  <w:tcW w:w="1323" w:type="dxa"/>
                  <w:tcBorders>
                    <w:top w:val="single" w:color="auto" w:sz="4" w:space="0"/>
                    <w:left w:val="single" w:color="auto" w:sz="4" w:space="0"/>
                    <w:bottom w:val="single" w:color="auto" w:sz="4" w:space="0"/>
                    <w:right w:val="single" w:color="auto" w:sz="4" w:space="0"/>
                  </w:tcBorders>
                  <w:vAlign w:val="center"/>
                </w:tcPr>
                <w:p w14:paraId="11FABC9B">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工艺名称</w:t>
                  </w:r>
                </w:p>
              </w:tc>
              <w:tc>
                <w:tcPr>
                  <w:tcW w:w="1207" w:type="dxa"/>
                  <w:tcBorders>
                    <w:top w:val="single" w:color="auto" w:sz="4" w:space="0"/>
                    <w:left w:val="single" w:color="auto" w:sz="4" w:space="0"/>
                    <w:bottom w:val="single" w:color="auto" w:sz="4" w:space="0"/>
                    <w:right w:val="single" w:color="auto" w:sz="4" w:space="0"/>
                  </w:tcBorders>
                </w:tcPr>
                <w:p w14:paraId="274E975E">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污染物</w:t>
                  </w:r>
                </w:p>
              </w:tc>
              <w:tc>
                <w:tcPr>
                  <w:tcW w:w="2101" w:type="dxa"/>
                  <w:tcBorders>
                    <w:top w:val="single" w:color="auto" w:sz="4" w:space="0"/>
                    <w:left w:val="single" w:color="auto" w:sz="4" w:space="0"/>
                    <w:bottom w:val="single" w:color="auto" w:sz="4" w:space="0"/>
                    <w:right w:val="single" w:color="auto" w:sz="4" w:space="0"/>
                  </w:tcBorders>
                  <w:vAlign w:val="center"/>
                </w:tcPr>
                <w:p w14:paraId="6049D598">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产污系数</w:t>
                  </w:r>
                </w:p>
              </w:tc>
              <w:tc>
                <w:tcPr>
                  <w:tcW w:w="1549" w:type="dxa"/>
                  <w:tcBorders>
                    <w:top w:val="single" w:color="auto" w:sz="4" w:space="0"/>
                    <w:left w:val="single" w:color="auto" w:sz="4" w:space="0"/>
                    <w:bottom w:val="single" w:color="auto" w:sz="4" w:space="0"/>
                    <w:right w:val="single" w:color="auto" w:sz="4" w:space="0"/>
                  </w:tcBorders>
                  <w:vAlign w:val="center"/>
                </w:tcPr>
                <w:p w14:paraId="24A64A3D">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对应设备</w:t>
                  </w:r>
                </w:p>
              </w:tc>
            </w:tr>
            <w:tr w14:paraId="5107E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 w:type="dxa"/>
                  <w:vMerge w:val="restart"/>
                  <w:tcBorders>
                    <w:top w:val="single" w:color="auto" w:sz="4" w:space="0"/>
                    <w:left w:val="single" w:color="auto" w:sz="4" w:space="0"/>
                    <w:bottom w:val="single" w:color="auto" w:sz="4" w:space="0"/>
                    <w:right w:val="single" w:color="auto" w:sz="4" w:space="0"/>
                  </w:tcBorders>
                  <w:vAlign w:val="center"/>
                </w:tcPr>
                <w:p w14:paraId="70193AF5">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涂装件</w:t>
                  </w:r>
                </w:p>
              </w:tc>
              <w:tc>
                <w:tcPr>
                  <w:tcW w:w="1205" w:type="dxa"/>
                  <w:vMerge w:val="restart"/>
                  <w:tcBorders>
                    <w:top w:val="single" w:color="auto" w:sz="4" w:space="0"/>
                    <w:left w:val="single" w:color="auto" w:sz="4" w:space="0"/>
                    <w:bottom w:val="single" w:color="auto" w:sz="4" w:space="0"/>
                    <w:right w:val="single" w:color="auto" w:sz="4" w:space="0"/>
                  </w:tcBorders>
                  <w:vAlign w:val="center"/>
                </w:tcPr>
                <w:p w14:paraId="48940281">
                  <w:pPr>
                    <w:spacing w:line="240" w:lineRule="exact"/>
                    <w:jc w:val="center"/>
                    <w:rPr>
                      <w:rFonts w:hint="default" w:ascii="Times New Roman" w:hAnsi="Times New Roman" w:eastAsia="宋体" w:cs="Times New Roman"/>
                      <w:sz w:val="18"/>
                      <w:szCs w:val="18"/>
                      <w:lang w:eastAsia="zh-CN"/>
                    </w:rPr>
                  </w:pPr>
                  <w:r>
                    <w:rPr>
                      <w:rFonts w:hint="eastAsia" w:cs="Times New Roman"/>
                      <w:sz w:val="18"/>
                      <w:szCs w:val="18"/>
                      <w:lang w:eastAsia="zh-CN"/>
                    </w:rPr>
                    <w:t>底漆、面漆</w:t>
                  </w:r>
                  <w:r>
                    <w:rPr>
                      <w:rFonts w:hint="default" w:ascii="Times New Roman" w:hAnsi="Times New Roman" w:cs="Times New Roman"/>
                      <w:sz w:val="18"/>
                      <w:szCs w:val="18"/>
                      <w:lang w:eastAsia="zh-CN"/>
                    </w:rPr>
                    <w:t>、稀释剂</w:t>
                  </w:r>
                </w:p>
              </w:tc>
              <w:tc>
                <w:tcPr>
                  <w:tcW w:w="1323" w:type="dxa"/>
                  <w:vMerge w:val="restart"/>
                  <w:tcBorders>
                    <w:top w:val="single" w:color="auto" w:sz="4" w:space="0"/>
                    <w:left w:val="single" w:color="auto" w:sz="4" w:space="0"/>
                    <w:right w:val="single" w:color="auto" w:sz="4" w:space="0"/>
                  </w:tcBorders>
                  <w:vAlign w:val="center"/>
                </w:tcPr>
                <w:p w14:paraId="4E10AED6">
                  <w:pPr>
                    <w:spacing w:line="240" w:lineRule="exact"/>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有组织调</w:t>
                  </w:r>
                  <w:r>
                    <w:rPr>
                      <w:rFonts w:hint="default" w:ascii="Times New Roman" w:hAnsi="Times New Roman" w:cs="Times New Roman"/>
                      <w:sz w:val="18"/>
                      <w:szCs w:val="18"/>
                      <w:lang w:eastAsia="zh-CN"/>
                    </w:rPr>
                    <w:t>漆、喷涂</w:t>
                  </w:r>
                </w:p>
              </w:tc>
              <w:tc>
                <w:tcPr>
                  <w:tcW w:w="1207" w:type="dxa"/>
                  <w:tcBorders>
                    <w:top w:val="single" w:color="auto" w:sz="4" w:space="0"/>
                    <w:left w:val="single" w:color="auto" w:sz="4" w:space="0"/>
                    <w:bottom w:val="single" w:color="auto" w:sz="4" w:space="0"/>
                    <w:right w:val="single" w:color="auto" w:sz="4" w:space="0"/>
                  </w:tcBorders>
                </w:tcPr>
                <w:p w14:paraId="7F291178">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VOCs</w:t>
                  </w:r>
                </w:p>
              </w:tc>
              <w:tc>
                <w:tcPr>
                  <w:tcW w:w="2101" w:type="dxa"/>
                  <w:tcBorders>
                    <w:top w:val="single" w:color="auto" w:sz="4" w:space="0"/>
                    <w:left w:val="single" w:color="auto" w:sz="4" w:space="0"/>
                    <w:bottom w:val="single" w:color="auto" w:sz="4" w:space="0"/>
                    <w:right w:val="single" w:color="auto" w:sz="4" w:space="0"/>
                  </w:tcBorders>
                  <w:vAlign w:val="center"/>
                </w:tcPr>
                <w:p w14:paraId="60FBAA8A">
                  <w:pPr>
                    <w:spacing w:line="24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6</w:t>
                  </w:r>
                  <w:r>
                    <w:rPr>
                      <w:rFonts w:hint="default" w:ascii="Times New Roman" w:hAnsi="Times New Roman" w:cs="Times New Roman"/>
                      <w:sz w:val="18"/>
                      <w:szCs w:val="18"/>
                      <w:lang w:val="en-US" w:eastAsia="zh-CN"/>
                    </w:rPr>
                    <w:t>0</w:t>
                  </w:r>
                  <w:r>
                    <w:rPr>
                      <w:rFonts w:hint="default" w:ascii="Times New Roman" w:hAnsi="Times New Roman" w:cs="Times New Roman"/>
                      <w:sz w:val="18"/>
                      <w:szCs w:val="18"/>
                    </w:rPr>
                    <w:t>%t-t原料</w:t>
                  </w:r>
                  <w:r>
                    <w:rPr>
                      <w:rFonts w:hint="eastAsia" w:cs="Times New Roman"/>
                      <w:sz w:val="18"/>
                      <w:szCs w:val="18"/>
                      <w:lang w:eastAsia="zh-CN"/>
                    </w:rPr>
                    <w:t>中</w:t>
                  </w:r>
                  <w:r>
                    <w:rPr>
                      <w:rFonts w:hint="eastAsia" w:cs="Times New Roman"/>
                      <w:sz w:val="18"/>
                      <w:szCs w:val="18"/>
                      <w:lang w:val="en-US" w:eastAsia="zh-CN"/>
                    </w:rPr>
                    <w:t>VOCs</w:t>
                  </w:r>
                </w:p>
              </w:tc>
              <w:tc>
                <w:tcPr>
                  <w:tcW w:w="1549" w:type="dxa"/>
                  <w:vMerge w:val="restart"/>
                  <w:tcBorders>
                    <w:top w:val="single" w:color="auto" w:sz="4" w:space="0"/>
                    <w:left w:val="single" w:color="auto" w:sz="4" w:space="0"/>
                    <w:right w:val="single" w:color="auto" w:sz="4" w:space="0"/>
                  </w:tcBorders>
                  <w:vAlign w:val="center"/>
                </w:tcPr>
                <w:p w14:paraId="6C6015B2">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喷漆房</w:t>
                  </w:r>
                </w:p>
              </w:tc>
            </w:tr>
            <w:tr w14:paraId="639461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 w:type="dxa"/>
                  <w:vMerge w:val="continue"/>
                  <w:tcBorders>
                    <w:left w:val="single" w:color="auto" w:sz="4" w:space="0"/>
                    <w:right w:val="single" w:color="auto" w:sz="4" w:space="0"/>
                  </w:tcBorders>
                  <w:vAlign w:val="center"/>
                </w:tcPr>
                <w:p w14:paraId="1D88228A">
                  <w:pPr>
                    <w:spacing w:line="240" w:lineRule="exact"/>
                    <w:jc w:val="center"/>
                    <w:rPr>
                      <w:rFonts w:hint="default" w:ascii="Times New Roman" w:hAnsi="Times New Roman" w:cs="Times New Roman"/>
                      <w:sz w:val="18"/>
                      <w:szCs w:val="18"/>
                    </w:rPr>
                  </w:pPr>
                </w:p>
              </w:tc>
              <w:tc>
                <w:tcPr>
                  <w:tcW w:w="1205" w:type="dxa"/>
                  <w:vMerge w:val="continue"/>
                  <w:tcBorders>
                    <w:left w:val="single" w:color="auto" w:sz="4" w:space="0"/>
                    <w:right w:val="single" w:color="auto" w:sz="4" w:space="0"/>
                  </w:tcBorders>
                  <w:vAlign w:val="center"/>
                </w:tcPr>
                <w:p w14:paraId="553EFA46">
                  <w:pPr>
                    <w:spacing w:line="240" w:lineRule="exact"/>
                    <w:jc w:val="center"/>
                    <w:rPr>
                      <w:rFonts w:hint="default" w:ascii="Times New Roman" w:hAnsi="Times New Roman" w:cs="Times New Roman"/>
                      <w:sz w:val="18"/>
                      <w:szCs w:val="18"/>
                      <w:lang w:eastAsia="zh-CN"/>
                    </w:rPr>
                  </w:pPr>
                </w:p>
              </w:tc>
              <w:tc>
                <w:tcPr>
                  <w:tcW w:w="1323" w:type="dxa"/>
                  <w:vMerge w:val="continue"/>
                  <w:tcBorders>
                    <w:left w:val="single" w:color="auto" w:sz="4" w:space="0"/>
                    <w:bottom w:val="single" w:color="auto" w:sz="4" w:space="0"/>
                    <w:right w:val="single" w:color="auto" w:sz="4" w:space="0"/>
                  </w:tcBorders>
                  <w:vAlign w:val="center"/>
                </w:tcPr>
                <w:p w14:paraId="0FB0FD4D">
                  <w:pPr>
                    <w:spacing w:line="240" w:lineRule="exact"/>
                    <w:jc w:val="center"/>
                    <w:rPr>
                      <w:rFonts w:hint="default" w:ascii="Times New Roman" w:hAnsi="Times New Roman" w:cs="Times New Roman"/>
                      <w:sz w:val="18"/>
                      <w:szCs w:val="18"/>
                    </w:rPr>
                  </w:pPr>
                </w:p>
              </w:tc>
              <w:tc>
                <w:tcPr>
                  <w:tcW w:w="1207" w:type="dxa"/>
                  <w:tcBorders>
                    <w:top w:val="single" w:color="auto" w:sz="4" w:space="0"/>
                    <w:left w:val="single" w:color="auto" w:sz="4" w:space="0"/>
                    <w:bottom w:val="single" w:color="auto" w:sz="4" w:space="0"/>
                    <w:right w:val="single" w:color="auto" w:sz="4" w:space="0"/>
                  </w:tcBorders>
                </w:tcPr>
                <w:p w14:paraId="390E51F1">
                  <w:pPr>
                    <w:spacing w:line="240" w:lineRule="exact"/>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颗粒物（仅喷</w:t>
                  </w:r>
                  <w:r>
                    <w:rPr>
                      <w:rFonts w:hint="eastAsia" w:cs="Times New Roman"/>
                      <w:sz w:val="18"/>
                      <w:szCs w:val="18"/>
                      <w:lang w:eastAsia="zh-CN"/>
                    </w:rPr>
                    <w:t>漆</w:t>
                  </w:r>
                  <w:r>
                    <w:rPr>
                      <w:rFonts w:hint="default" w:ascii="Times New Roman" w:hAnsi="Times New Roman" w:cs="Times New Roman"/>
                      <w:sz w:val="18"/>
                      <w:szCs w:val="18"/>
                      <w:lang w:eastAsia="zh-CN"/>
                    </w:rPr>
                    <w:t>）</w:t>
                  </w:r>
                </w:p>
              </w:tc>
              <w:tc>
                <w:tcPr>
                  <w:tcW w:w="2101" w:type="dxa"/>
                  <w:tcBorders>
                    <w:top w:val="single" w:color="auto" w:sz="4" w:space="0"/>
                    <w:left w:val="single" w:color="auto" w:sz="4" w:space="0"/>
                    <w:bottom w:val="single" w:color="auto" w:sz="4" w:space="0"/>
                    <w:right w:val="single" w:color="auto" w:sz="4" w:space="0"/>
                  </w:tcBorders>
                  <w:vAlign w:val="center"/>
                </w:tcPr>
                <w:p w14:paraId="75565A71">
                  <w:pPr>
                    <w:spacing w:line="240" w:lineRule="exact"/>
                    <w:jc w:val="center"/>
                    <w:rPr>
                      <w:rFonts w:hint="eastAsia"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30</w:t>
                  </w:r>
                  <w:r>
                    <w:rPr>
                      <w:rFonts w:hint="default" w:ascii="Times New Roman" w:hAnsi="Times New Roman" w:cs="Times New Roman"/>
                      <w:sz w:val="18"/>
                      <w:szCs w:val="18"/>
                    </w:rPr>
                    <w:t>%t-t原料</w:t>
                  </w:r>
                  <w:r>
                    <w:rPr>
                      <w:rFonts w:hint="eastAsia" w:cs="Times New Roman"/>
                      <w:sz w:val="18"/>
                      <w:szCs w:val="18"/>
                      <w:lang w:eastAsia="zh-CN"/>
                    </w:rPr>
                    <w:t>中固形物</w:t>
                  </w:r>
                </w:p>
              </w:tc>
              <w:tc>
                <w:tcPr>
                  <w:tcW w:w="1549" w:type="dxa"/>
                  <w:vMerge w:val="continue"/>
                  <w:tcBorders>
                    <w:left w:val="single" w:color="auto" w:sz="4" w:space="0"/>
                    <w:right w:val="single" w:color="auto" w:sz="4" w:space="0"/>
                  </w:tcBorders>
                  <w:vAlign w:val="center"/>
                </w:tcPr>
                <w:p w14:paraId="042AE4A7">
                  <w:pPr>
                    <w:spacing w:line="240" w:lineRule="exact"/>
                    <w:jc w:val="center"/>
                    <w:rPr>
                      <w:rFonts w:hint="default" w:ascii="Times New Roman" w:hAnsi="Times New Roman" w:cs="Times New Roman"/>
                      <w:sz w:val="18"/>
                      <w:szCs w:val="18"/>
                    </w:rPr>
                  </w:pPr>
                </w:p>
              </w:tc>
            </w:tr>
            <w:tr w14:paraId="54CB9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 w:type="dxa"/>
                  <w:vMerge w:val="continue"/>
                  <w:tcBorders>
                    <w:top w:val="single" w:color="auto" w:sz="4" w:space="0"/>
                    <w:left w:val="single" w:color="auto" w:sz="4" w:space="0"/>
                    <w:bottom w:val="single" w:color="auto" w:sz="4" w:space="0"/>
                    <w:right w:val="single" w:color="auto" w:sz="4" w:space="0"/>
                  </w:tcBorders>
                  <w:vAlign w:val="center"/>
                </w:tcPr>
                <w:p w14:paraId="440CA28A">
                  <w:pPr>
                    <w:spacing w:line="240" w:lineRule="exact"/>
                    <w:jc w:val="center"/>
                    <w:rPr>
                      <w:rFonts w:hint="default" w:ascii="Times New Roman" w:hAnsi="Times New Roman" w:cs="Times New Roman"/>
                      <w:sz w:val="18"/>
                      <w:szCs w:val="18"/>
                    </w:rPr>
                  </w:pPr>
                </w:p>
              </w:tc>
              <w:tc>
                <w:tcPr>
                  <w:tcW w:w="1205" w:type="dxa"/>
                  <w:vMerge w:val="continue"/>
                  <w:tcBorders>
                    <w:top w:val="single" w:color="auto" w:sz="4" w:space="0"/>
                    <w:left w:val="single" w:color="auto" w:sz="4" w:space="0"/>
                    <w:bottom w:val="single" w:color="auto" w:sz="4" w:space="0"/>
                    <w:right w:val="single" w:color="auto" w:sz="4" w:space="0"/>
                  </w:tcBorders>
                  <w:vAlign w:val="center"/>
                </w:tcPr>
                <w:p w14:paraId="54518932">
                  <w:pPr>
                    <w:spacing w:line="240" w:lineRule="exact"/>
                    <w:jc w:val="center"/>
                    <w:rPr>
                      <w:rFonts w:hint="default" w:ascii="Times New Roman" w:hAnsi="Times New Roman" w:cs="Times New Roman"/>
                      <w:sz w:val="18"/>
                      <w:szCs w:val="18"/>
                    </w:rPr>
                  </w:pPr>
                </w:p>
              </w:tc>
              <w:tc>
                <w:tcPr>
                  <w:tcW w:w="1323" w:type="dxa"/>
                  <w:tcBorders>
                    <w:top w:val="single" w:color="auto" w:sz="4" w:space="0"/>
                    <w:left w:val="single" w:color="auto" w:sz="4" w:space="0"/>
                    <w:right w:val="single" w:color="auto" w:sz="4" w:space="0"/>
                  </w:tcBorders>
                  <w:vAlign w:val="center"/>
                </w:tcPr>
                <w:p w14:paraId="404D2173">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有组织</w:t>
                  </w:r>
                  <w:r>
                    <w:rPr>
                      <w:rFonts w:hint="eastAsia" w:cs="Times New Roman"/>
                      <w:sz w:val="18"/>
                      <w:szCs w:val="18"/>
                      <w:lang w:eastAsia="zh-CN"/>
                    </w:rPr>
                    <w:t>晾</w:t>
                  </w:r>
                  <w:r>
                    <w:rPr>
                      <w:rFonts w:hint="default" w:ascii="Times New Roman" w:hAnsi="Times New Roman" w:cs="Times New Roman"/>
                      <w:sz w:val="18"/>
                      <w:szCs w:val="18"/>
                    </w:rPr>
                    <w:t>干</w:t>
                  </w:r>
                </w:p>
              </w:tc>
              <w:tc>
                <w:tcPr>
                  <w:tcW w:w="1207" w:type="dxa"/>
                  <w:tcBorders>
                    <w:top w:val="single" w:color="auto" w:sz="4" w:space="0"/>
                    <w:left w:val="single" w:color="auto" w:sz="4" w:space="0"/>
                    <w:bottom w:val="single" w:color="auto" w:sz="4" w:space="0"/>
                    <w:right w:val="single" w:color="auto" w:sz="4" w:space="0"/>
                  </w:tcBorders>
                </w:tcPr>
                <w:p w14:paraId="2A9C337D">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VOCs</w:t>
                  </w:r>
                </w:p>
              </w:tc>
              <w:tc>
                <w:tcPr>
                  <w:tcW w:w="2101" w:type="dxa"/>
                  <w:tcBorders>
                    <w:top w:val="single" w:color="auto" w:sz="4" w:space="0"/>
                    <w:left w:val="single" w:color="auto" w:sz="4" w:space="0"/>
                    <w:right w:val="single" w:color="auto" w:sz="4" w:space="0"/>
                  </w:tcBorders>
                  <w:vAlign w:val="center"/>
                </w:tcPr>
                <w:p w14:paraId="080D3F95">
                  <w:pPr>
                    <w:spacing w:line="240" w:lineRule="exact"/>
                    <w:jc w:val="center"/>
                    <w:rPr>
                      <w:rFonts w:hint="default" w:ascii="Times New Roman" w:hAnsi="Times New Roman" w:cs="Times New Roman"/>
                      <w:sz w:val="18"/>
                      <w:szCs w:val="18"/>
                    </w:rPr>
                  </w:pPr>
                  <w:r>
                    <w:rPr>
                      <w:rFonts w:hint="eastAsia" w:cs="Times New Roman"/>
                      <w:sz w:val="18"/>
                      <w:szCs w:val="18"/>
                      <w:lang w:val="en-US" w:eastAsia="zh-CN"/>
                    </w:rPr>
                    <w:t>3</w:t>
                  </w:r>
                  <w:r>
                    <w:rPr>
                      <w:rFonts w:hint="default" w:ascii="Times New Roman" w:hAnsi="Times New Roman" w:cs="Times New Roman"/>
                      <w:sz w:val="18"/>
                      <w:szCs w:val="18"/>
                      <w:lang w:val="en-US" w:eastAsia="zh-CN"/>
                    </w:rPr>
                    <w:t>3</w:t>
                  </w:r>
                  <w:r>
                    <w:rPr>
                      <w:rFonts w:hint="default" w:ascii="Times New Roman" w:hAnsi="Times New Roman" w:cs="Times New Roman"/>
                      <w:sz w:val="18"/>
                      <w:szCs w:val="18"/>
                    </w:rPr>
                    <w:t>%t-t原料</w:t>
                  </w:r>
                  <w:r>
                    <w:rPr>
                      <w:rFonts w:hint="eastAsia" w:cs="Times New Roman"/>
                      <w:sz w:val="18"/>
                      <w:szCs w:val="18"/>
                      <w:lang w:eastAsia="zh-CN"/>
                    </w:rPr>
                    <w:t>中</w:t>
                  </w:r>
                  <w:r>
                    <w:rPr>
                      <w:rFonts w:hint="eastAsia" w:cs="Times New Roman"/>
                      <w:sz w:val="18"/>
                      <w:szCs w:val="18"/>
                      <w:lang w:val="en-US" w:eastAsia="zh-CN"/>
                    </w:rPr>
                    <w:t>VOCs</w:t>
                  </w:r>
                </w:p>
              </w:tc>
              <w:tc>
                <w:tcPr>
                  <w:tcW w:w="1549" w:type="dxa"/>
                  <w:vMerge w:val="continue"/>
                  <w:tcBorders>
                    <w:left w:val="single" w:color="auto" w:sz="4" w:space="0"/>
                    <w:right w:val="single" w:color="auto" w:sz="4" w:space="0"/>
                  </w:tcBorders>
                  <w:vAlign w:val="center"/>
                </w:tcPr>
                <w:p w14:paraId="0143B454">
                  <w:pPr>
                    <w:spacing w:line="240" w:lineRule="exact"/>
                    <w:jc w:val="center"/>
                    <w:rPr>
                      <w:rFonts w:hint="default" w:ascii="Times New Roman" w:hAnsi="Times New Roman" w:cs="Times New Roman"/>
                      <w:sz w:val="18"/>
                      <w:szCs w:val="18"/>
                    </w:rPr>
                  </w:pPr>
                </w:p>
              </w:tc>
            </w:tr>
            <w:tr w14:paraId="2361D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74" w:type="dxa"/>
                  <w:vMerge w:val="continue"/>
                  <w:tcBorders>
                    <w:top w:val="single" w:color="auto" w:sz="4" w:space="0"/>
                    <w:left w:val="single" w:color="auto" w:sz="4" w:space="0"/>
                    <w:bottom w:val="single" w:color="auto" w:sz="4" w:space="0"/>
                    <w:right w:val="single" w:color="auto" w:sz="4" w:space="0"/>
                  </w:tcBorders>
                  <w:vAlign w:val="center"/>
                </w:tcPr>
                <w:p w14:paraId="6D462F2F">
                  <w:pPr>
                    <w:spacing w:line="240" w:lineRule="exact"/>
                    <w:jc w:val="center"/>
                    <w:rPr>
                      <w:rFonts w:hint="default" w:ascii="Times New Roman" w:hAnsi="Times New Roman" w:cs="Times New Roman"/>
                      <w:sz w:val="18"/>
                      <w:szCs w:val="18"/>
                    </w:rPr>
                  </w:pPr>
                </w:p>
              </w:tc>
              <w:tc>
                <w:tcPr>
                  <w:tcW w:w="1205" w:type="dxa"/>
                  <w:vMerge w:val="continue"/>
                  <w:tcBorders>
                    <w:top w:val="single" w:color="auto" w:sz="4" w:space="0"/>
                    <w:left w:val="single" w:color="auto" w:sz="4" w:space="0"/>
                    <w:bottom w:val="single" w:color="auto" w:sz="4" w:space="0"/>
                    <w:right w:val="single" w:color="auto" w:sz="4" w:space="0"/>
                  </w:tcBorders>
                  <w:vAlign w:val="center"/>
                </w:tcPr>
                <w:p w14:paraId="04E95095">
                  <w:pPr>
                    <w:spacing w:line="240" w:lineRule="exact"/>
                    <w:jc w:val="center"/>
                    <w:rPr>
                      <w:rFonts w:hint="default" w:ascii="Times New Roman" w:hAnsi="Times New Roman" w:cs="Times New Roman"/>
                      <w:sz w:val="18"/>
                      <w:szCs w:val="18"/>
                    </w:rPr>
                  </w:pPr>
                </w:p>
              </w:tc>
              <w:tc>
                <w:tcPr>
                  <w:tcW w:w="1323" w:type="dxa"/>
                  <w:tcBorders>
                    <w:top w:val="single" w:color="auto" w:sz="4" w:space="0"/>
                    <w:left w:val="single" w:color="auto" w:sz="4" w:space="0"/>
                    <w:bottom w:val="single" w:color="auto" w:sz="4" w:space="0"/>
                    <w:right w:val="single" w:color="auto" w:sz="4" w:space="0"/>
                  </w:tcBorders>
                  <w:vAlign w:val="center"/>
                </w:tcPr>
                <w:p w14:paraId="696C86FB">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无组织</w:t>
                  </w:r>
                </w:p>
              </w:tc>
              <w:tc>
                <w:tcPr>
                  <w:tcW w:w="1207" w:type="dxa"/>
                  <w:tcBorders>
                    <w:top w:val="single" w:color="auto" w:sz="4" w:space="0"/>
                    <w:left w:val="single" w:color="auto" w:sz="4" w:space="0"/>
                    <w:bottom w:val="single" w:color="auto" w:sz="4" w:space="0"/>
                    <w:right w:val="single" w:color="auto" w:sz="4" w:space="0"/>
                  </w:tcBorders>
                  <w:vAlign w:val="center"/>
                </w:tcPr>
                <w:p w14:paraId="72FD5F4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sz w:val="18"/>
                      <w:szCs w:val="18"/>
                    </w:rPr>
                  </w:pPr>
                  <w:r>
                    <w:rPr>
                      <w:rFonts w:hint="default" w:ascii="Times New Roman" w:hAnsi="Times New Roman" w:cs="Times New Roman"/>
                      <w:sz w:val="18"/>
                      <w:szCs w:val="18"/>
                    </w:rPr>
                    <w:t>VOCs</w:t>
                  </w:r>
                </w:p>
              </w:tc>
              <w:tc>
                <w:tcPr>
                  <w:tcW w:w="2101" w:type="dxa"/>
                  <w:tcBorders>
                    <w:top w:val="single" w:color="auto" w:sz="4" w:space="0"/>
                    <w:left w:val="single" w:color="auto" w:sz="4" w:space="0"/>
                    <w:bottom w:val="single" w:color="auto" w:sz="4" w:space="0"/>
                    <w:right w:val="single" w:color="auto" w:sz="4" w:space="0"/>
                  </w:tcBorders>
                  <w:vAlign w:val="center"/>
                </w:tcPr>
                <w:p w14:paraId="3BB32F8A">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2%t-t原料</w:t>
                  </w:r>
                  <w:r>
                    <w:rPr>
                      <w:rFonts w:hint="eastAsia" w:cs="Times New Roman"/>
                      <w:sz w:val="18"/>
                      <w:szCs w:val="18"/>
                      <w:lang w:eastAsia="zh-CN"/>
                    </w:rPr>
                    <w:t>中</w:t>
                  </w:r>
                  <w:r>
                    <w:rPr>
                      <w:rFonts w:hint="eastAsia" w:cs="Times New Roman"/>
                      <w:sz w:val="18"/>
                      <w:szCs w:val="18"/>
                      <w:lang w:val="en-US" w:eastAsia="zh-CN"/>
                    </w:rPr>
                    <w:t>VOCs</w:t>
                  </w:r>
                </w:p>
              </w:tc>
              <w:tc>
                <w:tcPr>
                  <w:tcW w:w="1549" w:type="dxa"/>
                  <w:vMerge w:val="continue"/>
                  <w:tcBorders>
                    <w:left w:val="single" w:color="auto" w:sz="4" w:space="0"/>
                    <w:bottom w:val="single" w:color="auto" w:sz="4" w:space="0"/>
                    <w:right w:val="single" w:color="auto" w:sz="4" w:space="0"/>
                  </w:tcBorders>
                  <w:vAlign w:val="center"/>
                </w:tcPr>
                <w:p w14:paraId="2E25B70D">
                  <w:pPr>
                    <w:spacing w:line="240" w:lineRule="exact"/>
                    <w:jc w:val="center"/>
                    <w:rPr>
                      <w:rFonts w:hint="default" w:ascii="Times New Roman" w:hAnsi="Times New Roman" w:cs="Times New Roman"/>
                      <w:sz w:val="18"/>
                      <w:szCs w:val="18"/>
                    </w:rPr>
                  </w:pPr>
                </w:p>
              </w:tc>
            </w:tr>
          </w:tbl>
          <w:p w14:paraId="11DD90B7">
            <w:pPr>
              <w:pStyle w:val="1312"/>
              <w:adjustRightInd w:val="0"/>
              <w:snapToGrid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表4-</w:t>
            </w:r>
            <w:r>
              <w:rPr>
                <w:rFonts w:hint="eastAsia" w:ascii="Times New Roman" w:hAnsi="Times New Roman" w:eastAsia="宋体" w:cs="Times New Roman"/>
                <w:b/>
                <w:bCs/>
                <w:sz w:val="21"/>
                <w:szCs w:val="21"/>
                <w:lang w:val="en-US" w:eastAsia="zh-CN"/>
              </w:rPr>
              <w:t>4</w:t>
            </w:r>
            <w:r>
              <w:rPr>
                <w:rFonts w:hint="default" w:ascii="Times New Roman" w:hAnsi="Times New Roman" w:eastAsia="宋体" w:cs="Times New Roman"/>
                <w:b/>
                <w:bCs/>
                <w:sz w:val="21"/>
                <w:szCs w:val="21"/>
              </w:rPr>
              <w:t>涂装过程</w:t>
            </w:r>
            <w:r>
              <w:rPr>
                <w:rFonts w:hint="eastAsia" w:ascii="Times New Roman" w:hAnsi="Times New Roman" w:eastAsia="宋体" w:cs="Times New Roman"/>
                <w:b/>
                <w:bCs/>
                <w:sz w:val="21"/>
                <w:szCs w:val="21"/>
                <w:lang w:eastAsia="zh-CN"/>
              </w:rPr>
              <w:t>调漆</w:t>
            </w:r>
            <w:r>
              <w:rPr>
                <w:rFonts w:hint="default" w:ascii="Times New Roman" w:hAnsi="Times New Roman" w:eastAsia="宋体" w:cs="Times New Roman"/>
                <w:b/>
                <w:bCs/>
                <w:sz w:val="21"/>
                <w:szCs w:val="21"/>
              </w:rPr>
              <w:t>、喷</w:t>
            </w:r>
            <w:r>
              <w:rPr>
                <w:rFonts w:hint="eastAsia" w:ascii="Times New Roman" w:hAnsi="Times New Roman" w:eastAsia="宋体" w:cs="Times New Roman"/>
                <w:b/>
                <w:bCs/>
                <w:sz w:val="21"/>
                <w:szCs w:val="21"/>
                <w:lang w:eastAsia="zh-CN"/>
              </w:rPr>
              <w:t>漆</w:t>
            </w:r>
            <w:r>
              <w:rPr>
                <w:rFonts w:hint="default" w:ascii="Times New Roman" w:hAnsi="Times New Roman" w:eastAsia="宋体" w:cs="Times New Roman"/>
                <w:b/>
                <w:bCs/>
                <w:sz w:val="21"/>
                <w:szCs w:val="21"/>
              </w:rPr>
              <w:t>、</w:t>
            </w:r>
            <w:r>
              <w:rPr>
                <w:rFonts w:hint="eastAsia" w:ascii="Times New Roman" w:hAnsi="Times New Roman" w:eastAsia="宋体" w:cs="Times New Roman"/>
                <w:b/>
                <w:bCs/>
                <w:sz w:val="21"/>
                <w:szCs w:val="21"/>
                <w:lang w:eastAsia="zh-CN"/>
              </w:rPr>
              <w:t>晾</w:t>
            </w:r>
            <w:r>
              <w:rPr>
                <w:rFonts w:hint="default" w:ascii="Times New Roman" w:hAnsi="Times New Roman" w:eastAsia="宋体" w:cs="Times New Roman"/>
                <w:b/>
                <w:bCs/>
                <w:sz w:val="21"/>
                <w:szCs w:val="21"/>
              </w:rPr>
              <w:t>干废气</w:t>
            </w:r>
            <w:r>
              <w:rPr>
                <w:rFonts w:hint="eastAsia" w:ascii="Times New Roman" w:hAnsi="Times New Roman" w:eastAsia="宋体" w:cs="Times New Roman"/>
                <w:b/>
                <w:bCs/>
                <w:sz w:val="21"/>
                <w:szCs w:val="21"/>
                <w:lang w:eastAsia="zh-CN"/>
              </w:rPr>
              <w:t>产生及</w:t>
            </w:r>
            <w:r>
              <w:rPr>
                <w:rFonts w:hint="default" w:ascii="Times New Roman" w:hAnsi="Times New Roman" w:eastAsia="宋体" w:cs="Times New Roman"/>
                <w:b/>
                <w:bCs/>
                <w:sz w:val="21"/>
                <w:szCs w:val="21"/>
              </w:rPr>
              <w:t>排放情况</w:t>
            </w:r>
          </w:p>
          <w:tbl>
            <w:tblPr>
              <w:tblStyle w:val="81"/>
              <w:tblW w:w="5000"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1168"/>
              <w:gridCol w:w="1130"/>
              <w:gridCol w:w="1074"/>
              <w:gridCol w:w="1151"/>
              <w:gridCol w:w="1377"/>
              <w:gridCol w:w="1408"/>
              <w:gridCol w:w="1070"/>
            </w:tblGrid>
            <w:tr w14:paraId="5CB4A63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510" w:hRule="atLeast"/>
                <w:jc w:val="center"/>
              </w:trPr>
              <w:tc>
                <w:tcPr>
                  <w:tcW w:w="619" w:type="dxa"/>
                  <w:tcBorders>
                    <w:top w:val="single" w:color="000000" w:sz="8" w:space="0"/>
                    <w:left w:val="single" w:color="000000" w:sz="8" w:space="0"/>
                    <w:bottom w:val="single" w:color="000000" w:sz="8" w:space="0"/>
                    <w:right w:val="single" w:color="000000" w:sz="8" w:space="0"/>
                  </w:tcBorders>
                  <w:shd w:val="clear" w:color="auto" w:fill="auto"/>
                  <w:vAlign w:val="center"/>
                </w:tcPr>
                <w:p w14:paraId="71418DE0">
                  <w:pPr>
                    <w:keepNext w:val="0"/>
                    <w:keepLines w:val="0"/>
                    <w:widowControl/>
                    <w:suppressLineNumbers w:val="0"/>
                    <w:jc w:val="center"/>
                    <w:textAlignment w:val="bottom"/>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涂装</w:t>
                  </w:r>
                </w:p>
                <w:p w14:paraId="00B0A6FD">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工艺</w:t>
                  </w:r>
                </w:p>
              </w:tc>
              <w:tc>
                <w:tcPr>
                  <w:tcW w:w="599" w:type="dxa"/>
                  <w:tcBorders>
                    <w:top w:val="single" w:color="000000" w:sz="8" w:space="0"/>
                    <w:left w:val="nil"/>
                    <w:bottom w:val="single" w:color="000000" w:sz="8" w:space="0"/>
                    <w:right w:val="single" w:color="000000" w:sz="8" w:space="0"/>
                  </w:tcBorders>
                  <w:shd w:val="clear" w:color="auto" w:fill="auto"/>
                  <w:vAlign w:val="center"/>
                </w:tcPr>
                <w:p w14:paraId="4320EC1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污染物</w:t>
                  </w:r>
                </w:p>
              </w:tc>
              <w:tc>
                <w:tcPr>
                  <w:tcW w:w="569" w:type="dxa"/>
                  <w:tcBorders>
                    <w:top w:val="single" w:color="000000" w:sz="8" w:space="0"/>
                    <w:left w:val="nil"/>
                    <w:bottom w:val="single" w:color="000000" w:sz="8" w:space="0"/>
                    <w:right w:val="single" w:color="000000" w:sz="8" w:space="0"/>
                  </w:tcBorders>
                  <w:shd w:val="clear" w:color="auto" w:fill="auto"/>
                  <w:vAlign w:val="center"/>
                </w:tcPr>
                <w:p w14:paraId="72559C1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产生量t/a</w:t>
                  </w:r>
                </w:p>
              </w:tc>
              <w:tc>
                <w:tcPr>
                  <w:tcW w:w="610" w:type="dxa"/>
                  <w:tcBorders>
                    <w:top w:val="single" w:color="000000" w:sz="8" w:space="0"/>
                    <w:left w:val="nil"/>
                    <w:bottom w:val="single" w:color="000000" w:sz="8" w:space="0"/>
                    <w:right w:val="single" w:color="000000" w:sz="8" w:space="0"/>
                  </w:tcBorders>
                  <w:shd w:val="clear" w:color="auto" w:fill="auto"/>
                  <w:vAlign w:val="center"/>
                </w:tcPr>
                <w:p w14:paraId="7E6A4F1E">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eastAsia" w:cs="Times New Roman"/>
                      <w:i w:val="0"/>
                      <w:iCs w:val="0"/>
                      <w:color w:val="000000"/>
                      <w:kern w:val="0"/>
                      <w:sz w:val="18"/>
                      <w:szCs w:val="18"/>
                      <w:u w:val="none"/>
                      <w:lang w:val="en-US" w:eastAsia="zh-CN" w:bidi="ar"/>
                    </w:rPr>
                    <w:t>有组织</w:t>
                  </w:r>
                  <w:r>
                    <w:rPr>
                      <w:rFonts w:hint="default" w:ascii="Times New Roman" w:hAnsi="Times New Roman" w:eastAsia="宋体" w:cs="Times New Roman"/>
                      <w:i w:val="0"/>
                      <w:iCs w:val="0"/>
                      <w:color w:val="000000"/>
                      <w:kern w:val="0"/>
                      <w:sz w:val="18"/>
                      <w:szCs w:val="18"/>
                      <w:u w:val="none"/>
                      <w:lang w:val="en-US" w:eastAsia="zh-CN" w:bidi="ar"/>
                    </w:rPr>
                    <w:t>收集量t/a</w:t>
                  </w:r>
                </w:p>
              </w:tc>
              <w:tc>
                <w:tcPr>
                  <w:tcW w:w="730" w:type="dxa"/>
                  <w:tcBorders>
                    <w:top w:val="single" w:color="000000" w:sz="8" w:space="0"/>
                    <w:left w:val="nil"/>
                    <w:bottom w:val="single" w:color="000000" w:sz="8" w:space="0"/>
                    <w:right w:val="single" w:color="000000" w:sz="8" w:space="0"/>
                  </w:tcBorders>
                  <w:shd w:val="clear" w:color="auto" w:fill="auto"/>
                  <w:vAlign w:val="center"/>
                </w:tcPr>
                <w:p w14:paraId="2F13DDE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废气处理参数</w:t>
                  </w:r>
                </w:p>
              </w:tc>
              <w:tc>
                <w:tcPr>
                  <w:tcW w:w="746" w:type="dxa"/>
                  <w:tcBorders>
                    <w:top w:val="single" w:color="000000" w:sz="8" w:space="0"/>
                    <w:left w:val="nil"/>
                    <w:bottom w:val="single" w:color="000000" w:sz="8" w:space="0"/>
                    <w:right w:val="single" w:color="000000" w:sz="8" w:space="0"/>
                  </w:tcBorders>
                  <w:shd w:val="clear" w:color="auto" w:fill="auto"/>
                  <w:vAlign w:val="center"/>
                </w:tcPr>
                <w:p w14:paraId="2AD231F0">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有组织排放量t/a</w:t>
                  </w:r>
                </w:p>
              </w:tc>
              <w:tc>
                <w:tcPr>
                  <w:tcW w:w="567" w:type="dxa"/>
                  <w:tcBorders>
                    <w:top w:val="single" w:color="000000" w:sz="8" w:space="0"/>
                    <w:left w:val="nil"/>
                    <w:bottom w:val="single" w:color="000000" w:sz="8" w:space="0"/>
                    <w:right w:val="single" w:color="000000" w:sz="8" w:space="0"/>
                  </w:tcBorders>
                  <w:shd w:val="clear" w:color="auto" w:fill="auto"/>
                  <w:vAlign w:val="center"/>
                </w:tcPr>
                <w:p w14:paraId="15646E42">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无组织排放量t/a</w:t>
                  </w:r>
                </w:p>
              </w:tc>
            </w:tr>
            <w:tr w14:paraId="62CF7E4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95" w:hRule="atLeast"/>
                <w:jc w:val="center"/>
              </w:trPr>
              <w:tc>
                <w:tcPr>
                  <w:tcW w:w="619" w:type="dxa"/>
                  <w:vMerge w:val="restart"/>
                  <w:tcBorders>
                    <w:top w:val="nil"/>
                    <w:left w:val="single" w:color="000000" w:sz="8" w:space="0"/>
                    <w:bottom w:val="single" w:color="000000" w:sz="8" w:space="0"/>
                    <w:right w:val="single" w:color="000000" w:sz="8" w:space="0"/>
                  </w:tcBorders>
                  <w:shd w:val="clear" w:color="auto" w:fill="auto"/>
                  <w:vAlign w:val="center"/>
                </w:tcPr>
                <w:p w14:paraId="67041059">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eastAsia" w:cs="Times New Roman"/>
                      <w:sz w:val="18"/>
                      <w:szCs w:val="18"/>
                      <w:lang w:eastAsia="zh-CN"/>
                    </w:rPr>
                    <w:t>调漆</w:t>
                  </w:r>
                  <w:r>
                    <w:rPr>
                      <w:rFonts w:hint="default" w:ascii="Times New Roman" w:hAnsi="Times New Roman" w:cs="Times New Roman"/>
                      <w:sz w:val="18"/>
                      <w:szCs w:val="18"/>
                    </w:rPr>
                    <w:t>、喷</w:t>
                  </w:r>
                  <w:r>
                    <w:rPr>
                      <w:rFonts w:hint="eastAsia" w:cs="Times New Roman"/>
                      <w:sz w:val="18"/>
                      <w:szCs w:val="18"/>
                      <w:lang w:eastAsia="zh-CN"/>
                    </w:rPr>
                    <w:t>漆</w:t>
                  </w:r>
                  <w:r>
                    <w:rPr>
                      <w:rFonts w:hint="default" w:ascii="Times New Roman" w:hAnsi="Times New Roman" w:cs="Times New Roman"/>
                      <w:sz w:val="18"/>
                      <w:szCs w:val="18"/>
                    </w:rPr>
                    <w:t>、</w:t>
                  </w:r>
                  <w:r>
                    <w:rPr>
                      <w:rFonts w:hint="eastAsia" w:cs="Times New Roman"/>
                      <w:sz w:val="18"/>
                      <w:szCs w:val="18"/>
                      <w:lang w:eastAsia="zh-CN"/>
                    </w:rPr>
                    <w:t>晾</w:t>
                  </w:r>
                  <w:r>
                    <w:rPr>
                      <w:rFonts w:hint="default" w:ascii="Times New Roman" w:hAnsi="Times New Roman" w:cs="Times New Roman"/>
                      <w:sz w:val="18"/>
                      <w:szCs w:val="18"/>
                    </w:rPr>
                    <w:t>干</w:t>
                  </w:r>
                </w:p>
              </w:tc>
              <w:tc>
                <w:tcPr>
                  <w:tcW w:w="599" w:type="dxa"/>
                  <w:tcBorders>
                    <w:top w:val="nil"/>
                    <w:left w:val="nil"/>
                    <w:bottom w:val="single" w:color="000000" w:sz="8" w:space="0"/>
                    <w:right w:val="single" w:color="000000" w:sz="8" w:space="0"/>
                  </w:tcBorders>
                  <w:shd w:val="clear" w:color="auto" w:fill="auto"/>
                  <w:vAlign w:val="center"/>
                </w:tcPr>
                <w:p w14:paraId="35AF3639">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rPr>
                  </w:pPr>
                  <w:r>
                    <w:rPr>
                      <w:rFonts w:hint="default" w:ascii="Times New Roman" w:hAnsi="Times New Roman" w:eastAsia="等线" w:cs="Times New Roman"/>
                      <w:i w:val="0"/>
                      <w:iCs w:val="0"/>
                      <w:color w:val="000000"/>
                      <w:kern w:val="0"/>
                      <w:sz w:val="18"/>
                      <w:szCs w:val="18"/>
                      <w:u w:val="none"/>
                      <w:lang w:val="en-US" w:eastAsia="zh-CN" w:bidi="ar"/>
                    </w:rPr>
                    <w:t>VOCs</w:t>
                  </w:r>
                </w:p>
              </w:tc>
              <w:tc>
                <w:tcPr>
                  <w:tcW w:w="569" w:type="dxa"/>
                  <w:tcBorders>
                    <w:top w:val="nil"/>
                    <w:left w:val="nil"/>
                    <w:bottom w:val="single" w:color="000000" w:sz="8" w:space="0"/>
                    <w:right w:val="single" w:color="000000" w:sz="8" w:space="0"/>
                  </w:tcBorders>
                  <w:shd w:val="clear" w:color="auto" w:fill="auto"/>
                  <w:vAlign w:val="center"/>
                </w:tcPr>
                <w:p w14:paraId="2CAA43B4">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lang w:val="en-US"/>
                    </w:rPr>
                  </w:pPr>
                  <w:r>
                    <w:rPr>
                      <w:rFonts w:hint="eastAsia" w:eastAsia="等线" w:cs="Times New Roman"/>
                      <w:i w:val="0"/>
                      <w:iCs w:val="0"/>
                      <w:color w:val="000000"/>
                      <w:kern w:val="0"/>
                      <w:sz w:val="18"/>
                      <w:szCs w:val="18"/>
                      <w:u w:val="none"/>
                      <w:lang w:val="en-US" w:eastAsia="zh-CN" w:bidi="ar"/>
                    </w:rPr>
                    <w:t>0.843</w:t>
                  </w:r>
                </w:p>
              </w:tc>
              <w:tc>
                <w:tcPr>
                  <w:tcW w:w="610" w:type="dxa"/>
                  <w:tcBorders>
                    <w:top w:val="nil"/>
                    <w:left w:val="nil"/>
                    <w:bottom w:val="single" w:color="000000" w:sz="8" w:space="0"/>
                    <w:right w:val="single" w:color="000000" w:sz="8" w:space="0"/>
                  </w:tcBorders>
                  <w:shd w:val="clear" w:color="auto" w:fill="auto"/>
                  <w:vAlign w:val="center"/>
                </w:tcPr>
                <w:p w14:paraId="67B6EC24">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lang w:val="en-US"/>
                    </w:rPr>
                  </w:pPr>
                  <w:r>
                    <w:rPr>
                      <w:rFonts w:hint="eastAsia" w:eastAsia="等线" w:cs="Times New Roman"/>
                      <w:i w:val="0"/>
                      <w:iCs w:val="0"/>
                      <w:color w:val="000000"/>
                      <w:kern w:val="0"/>
                      <w:sz w:val="18"/>
                      <w:szCs w:val="18"/>
                      <w:u w:val="none"/>
                      <w:lang w:val="en-US" w:eastAsia="zh-CN" w:bidi="ar"/>
                    </w:rPr>
                    <w:t>0.8262</w:t>
                  </w:r>
                </w:p>
              </w:tc>
              <w:tc>
                <w:tcPr>
                  <w:tcW w:w="730" w:type="dxa"/>
                  <w:tcBorders>
                    <w:top w:val="nil"/>
                    <w:left w:val="nil"/>
                    <w:bottom w:val="single" w:color="000000" w:sz="8" w:space="0"/>
                    <w:right w:val="single" w:color="000000" w:sz="8" w:space="0"/>
                  </w:tcBorders>
                  <w:shd w:val="clear" w:color="auto" w:fill="auto"/>
                  <w:vAlign w:val="center"/>
                </w:tcPr>
                <w:p w14:paraId="49CE9785">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rPr>
                  </w:pPr>
                  <w:r>
                    <w:rPr>
                      <w:rStyle w:val="1397"/>
                      <w:rFonts w:hint="eastAsia" w:ascii="Times New Roman" w:hAnsi="Times New Roman" w:cs="Times New Roman"/>
                      <w:sz w:val="18"/>
                      <w:szCs w:val="18"/>
                      <w:lang w:val="en-US" w:eastAsia="zh-CN" w:bidi="ar"/>
                    </w:rPr>
                    <w:t>两级活性炭吸附装置</w:t>
                  </w:r>
                  <w:r>
                    <w:rPr>
                      <w:rStyle w:val="1397"/>
                      <w:rFonts w:hint="default" w:ascii="Times New Roman" w:hAnsi="Times New Roman" w:cs="Times New Roman"/>
                      <w:sz w:val="18"/>
                      <w:szCs w:val="18"/>
                      <w:lang w:val="en-US" w:eastAsia="zh-CN" w:bidi="ar"/>
                    </w:rPr>
                    <w:t>处理效率</w:t>
                  </w:r>
                  <w:r>
                    <w:rPr>
                      <w:rFonts w:hint="eastAsia" w:eastAsia="等线" w:cs="Times New Roman"/>
                      <w:i w:val="0"/>
                      <w:iCs w:val="0"/>
                      <w:color w:val="000000"/>
                      <w:kern w:val="0"/>
                      <w:sz w:val="18"/>
                      <w:szCs w:val="18"/>
                      <w:u w:val="none"/>
                      <w:lang w:val="en-US" w:eastAsia="zh-CN" w:bidi="ar"/>
                    </w:rPr>
                    <w:t>7</w:t>
                  </w:r>
                  <w:r>
                    <w:rPr>
                      <w:rFonts w:hint="default" w:ascii="Times New Roman" w:hAnsi="Times New Roman" w:eastAsia="等线" w:cs="Times New Roman"/>
                      <w:i w:val="0"/>
                      <w:iCs w:val="0"/>
                      <w:color w:val="000000"/>
                      <w:kern w:val="0"/>
                      <w:sz w:val="18"/>
                      <w:szCs w:val="18"/>
                      <w:u w:val="none"/>
                      <w:lang w:val="en-US" w:eastAsia="zh-CN" w:bidi="ar"/>
                    </w:rPr>
                    <w:t>0%</w:t>
                  </w:r>
                  <w:r>
                    <w:rPr>
                      <w:rStyle w:val="1397"/>
                      <w:rFonts w:hint="default" w:ascii="Times New Roman" w:hAnsi="Times New Roman" w:cs="Times New Roman"/>
                      <w:sz w:val="18"/>
                      <w:szCs w:val="18"/>
                      <w:lang w:val="en-US" w:eastAsia="zh-CN" w:bidi="ar"/>
                    </w:rPr>
                    <w:t>，总风量</w:t>
                  </w:r>
                  <w:r>
                    <w:rPr>
                      <w:rFonts w:hint="eastAsia" w:eastAsia="等线" w:cs="Times New Roman"/>
                      <w:i w:val="0"/>
                      <w:iCs w:val="0"/>
                      <w:color w:val="000000"/>
                      <w:kern w:val="0"/>
                      <w:sz w:val="18"/>
                      <w:szCs w:val="18"/>
                      <w:u w:val="none"/>
                      <w:lang w:val="en-US" w:eastAsia="zh-CN" w:bidi="ar"/>
                    </w:rPr>
                    <w:t>1</w:t>
                  </w:r>
                  <w:r>
                    <w:rPr>
                      <w:rFonts w:hint="default" w:ascii="Times New Roman" w:hAnsi="Times New Roman" w:eastAsia="等线" w:cs="Times New Roman"/>
                      <w:i w:val="0"/>
                      <w:iCs w:val="0"/>
                      <w:color w:val="000000"/>
                      <w:kern w:val="0"/>
                      <w:sz w:val="18"/>
                      <w:szCs w:val="18"/>
                      <w:u w:val="none"/>
                      <w:lang w:val="en-US" w:eastAsia="zh-CN" w:bidi="ar"/>
                    </w:rPr>
                    <w:t>0000m</w:t>
                  </w:r>
                  <w:r>
                    <w:rPr>
                      <w:rStyle w:val="1391"/>
                      <w:rFonts w:hint="default" w:ascii="Times New Roman" w:hAnsi="Times New Roman" w:eastAsia="等线" w:cs="Times New Roman"/>
                      <w:sz w:val="18"/>
                      <w:szCs w:val="18"/>
                      <w:lang w:val="en-US" w:eastAsia="zh-CN" w:bidi="ar"/>
                    </w:rPr>
                    <w:t>3</w:t>
                  </w:r>
                  <w:r>
                    <w:rPr>
                      <w:rFonts w:hint="default" w:ascii="Times New Roman" w:hAnsi="Times New Roman" w:eastAsia="等线" w:cs="Times New Roman"/>
                      <w:i w:val="0"/>
                      <w:iCs w:val="0"/>
                      <w:color w:val="000000"/>
                      <w:kern w:val="0"/>
                      <w:sz w:val="18"/>
                      <w:szCs w:val="18"/>
                      <w:u w:val="none"/>
                      <w:lang w:val="en-US" w:eastAsia="zh-CN" w:bidi="ar"/>
                    </w:rPr>
                    <w:t>/h</w:t>
                  </w:r>
                </w:p>
              </w:tc>
              <w:tc>
                <w:tcPr>
                  <w:tcW w:w="746" w:type="dxa"/>
                  <w:tcBorders>
                    <w:top w:val="nil"/>
                    <w:left w:val="nil"/>
                    <w:bottom w:val="single" w:color="000000" w:sz="8" w:space="0"/>
                    <w:right w:val="single" w:color="000000" w:sz="8" w:space="0"/>
                  </w:tcBorders>
                  <w:shd w:val="clear" w:color="auto" w:fill="auto"/>
                  <w:vAlign w:val="center"/>
                </w:tcPr>
                <w:p w14:paraId="78FB99D1">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lang w:val="en-US" w:eastAsia="zh-CN"/>
                    </w:rPr>
                  </w:pPr>
                  <w:r>
                    <w:rPr>
                      <w:rFonts w:hint="eastAsia" w:eastAsia="等线" w:cs="Times New Roman"/>
                      <w:i w:val="0"/>
                      <w:iCs w:val="0"/>
                      <w:color w:val="000000"/>
                      <w:sz w:val="18"/>
                      <w:szCs w:val="18"/>
                      <w:u w:val="none"/>
                      <w:lang w:val="en-US" w:eastAsia="zh-CN"/>
                    </w:rPr>
                    <w:t>0.2353</w:t>
                  </w:r>
                </w:p>
              </w:tc>
              <w:tc>
                <w:tcPr>
                  <w:tcW w:w="567" w:type="dxa"/>
                  <w:tcBorders>
                    <w:top w:val="nil"/>
                    <w:left w:val="nil"/>
                    <w:bottom w:val="single" w:color="000000" w:sz="8" w:space="0"/>
                    <w:right w:val="single" w:color="000000" w:sz="8" w:space="0"/>
                  </w:tcBorders>
                  <w:shd w:val="clear" w:color="auto" w:fill="auto"/>
                  <w:vAlign w:val="center"/>
                </w:tcPr>
                <w:p w14:paraId="20157392">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lang w:val="en-US"/>
                    </w:rPr>
                  </w:pPr>
                  <w:r>
                    <w:rPr>
                      <w:rFonts w:hint="default" w:ascii="Times New Roman" w:hAnsi="Times New Roman" w:eastAsia="等线" w:cs="Times New Roman"/>
                      <w:i w:val="0"/>
                      <w:iCs w:val="0"/>
                      <w:color w:val="000000"/>
                      <w:kern w:val="0"/>
                      <w:sz w:val="18"/>
                      <w:szCs w:val="18"/>
                      <w:u w:val="none"/>
                      <w:lang w:val="en-US" w:eastAsia="zh-CN" w:bidi="ar"/>
                    </w:rPr>
                    <w:t>0.0</w:t>
                  </w:r>
                  <w:r>
                    <w:rPr>
                      <w:rFonts w:hint="eastAsia" w:eastAsia="等线" w:cs="Times New Roman"/>
                      <w:i w:val="0"/>
                      <w:iCs w:val="0"/>
                      <w:color w:val="000000"/>
                      <w:kern w:val="0"/>
                      <w:sz w:val="18"/>
                      <w:szCs w:val="18"/>
                      <w:u w:val="none"/>
                      <w:lang w:val="en-US" w:eastAsia="zh-CN" w:bidi="ar"/>
                    </w:rPr>
                    <w:t>168</w:t>
                  </w:r>
                </w:p>
              </w:tc>
            </w:tr>
            <w:tr w14:paraId="201413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5" w:hRule="atLeast"/>
                <w:jc w:val="center"/>
              </w:trPr>
              <w:tc>
                <w:tcPr>
                  <w:tcW w:w="619" w:type="dxa"/>
                  <w:vMerge w:val="continue"/>
                  <w:tcBorders>
                    <w:top w:val="nil"/>
                    <w:left w:val="single" w:color="000000" w:sz="8" w:space="0"/>
                    <w:bottom w:val="single" w:color="000000" w:sz="8" w:space="0"/>
                    <w:right w:val="single" w:color="000000" w:sz="8" w:space="0"/>
                  </w:tcBorders>
                  <w:shd w:val="clear" w:color="auto" w:fill="auto"/>
                  <w:vAlign w:val="center"/>
                </w:tcPr>
                <w:p w14:paraId="20AE6B09">
                  <w:pPr>
                    <w:jc w:val="center"/>
                    <w:rPr>
                      <w:rFonts w:hint="default" w:ascii="Times New Roman" w:hAnsi="Times New Roman" w:eastAsia="宋体" w:cs="Times New Roman"/>
                      <w:i w:val="0"/>
                      <w:iCs w:val="0"/>
                      <w:color w:val="000000"/>
                      <w:sz w:val="18"/>
                      <w:szCs w:val="18"/>
                      <w:u w:val="none"/>
                    </w:rPr>
                  </w:pPr>
                </w:p>
              </w:tc>
              <w:tc>
                <w:tcPr>
                  <w:tcW w:w="599" w:type="dxa"/>
                  <w:tcBorders>
                    <w:top w:val="nil"/>
                    <w:left w:val="nil"/>
                    <w:bottom w:val="single" w:color="000000" w:sz="8" w:space="0"/>
                    <w:right w:val="single" w:color="000000" w:sz="8" w:space="0"/>
                  </w:tcBorders>
                  <w:shd w:val="clear" w:color="auto" w:fill="auto"/>
                  <w:vAlign w:val="center"/>
                </w:tcPr>
                <w:p w14:paraId="13C6D5BC">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default" w:ascii="Times New Roman" w:hAnsi="Times New Roman" w:eastAsia="宋体" w:cs="Times New Roman"/>
                      <w:i w:val="0"/>
                      <w:iCs w:val="0"/>
                      <w:color w:val="000000"/>
                      <w:kern w:val="0"/>
                      <w:sz w:val="18"/>
                      <w:szCs w:val="18"/>
                      <w:u w:val="none"/>
                      <w:lang w:val="en-US" w:eastAsia="zh-CN" w:bidi="ar"/>
                    </w:rPr>
                    <w:t>颗粒物（漆雾）</w:t>
                  </w:r>
                </w:p>
              </w:tc>
              <w:tc>
                <w:tcPr>
                  <w:tcW w:w="569" w:type="dxa"/>
                  <w:tcBorders>
                    <w:top w:val="nil"/>
                    <w:left w:val="nil"/>
                    <w:bottom w:val="single" w:color="000000" w:sz="8" w:space="0"/>
                    <w:right w:val="single" w:color="000000" w:sz="8" w:space="0"/>
                  </w:tcBorders>
                  <w:shd w:val="clear" w:color="auto" w:fill="auto"/>
                  <w:vAlign w:val="center"/>
                </w:tcPr>
                <w:p w14:paraId="5B50BAFC">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lang w:val="en-US"/>
                    </w:rPr>
                  </w:pPr>
                  <w:r>
                    <w:rPr>
                      <w:rFonts w:hint="eastAsia" w:eastAsia="等线" w:cs="Times New Roman"/>
                      <w:i w:val="0"/>
                      <w:iCs w:val="0"/>
                      <w:color w:val="000000"/>
                      <w:kern w:val="0"/>
                      <w:sz w:val="18"/>
                      <w:szCs w:val="18"/>
                      <w:u w:val="none"/>
                      <w:lang w:val="en-US" w:eastAsia="zh-CN" w:bidi="ar"/>
                    </w:rPr>
                    <w:t>0.5031</w:t>
                  </w:r>
                </w:p>
              </w:tc>
              <w:tc>
                <w:tcPr>
                  <w:tcW w:w="610" w:type="dxa"/>
                  <w:tcBorders>
                    <w:top w:val="nil"/>
                    <w:left w:val="nil"/>
                    <w:bottom w:val="single" w:color="000000" w:sz="8" w:space="0"/>
                    <w:right w:val="single" w:color="000000" w:sz="8" w:space="0"/>
                  </w:tcBorders>
                  <w:shd w:val="clear" w:color="auto" w:fill="auto"/>
                  <w:vAlign w:val="center"/>
                </w:tcPr>
                <w:p w14:paraId="7A893C87">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lang w:val="en-US"/>
                    </w:rPr>
                  </w:pPr>
                  <w:r>
                    <w:rPr>
                      <w:rFonts w:hint="eastAsia" w:eastAsia="等线" w:cs="Times New Roman"/>
                      <w:i w:val="0"/>
                      <w:iCs w:val="0"/>
                      <w:color w:val="000000"/>
                      <w:kern w:val="0"/>
                      <w:sz w:val="18"/>
                      <w:szCs w:val="18"/>
                      <w:u w:val="none"/>
                      <w:lang w:val="en-US" w:eastAsia="zh-CN" w:bidi="ar"/>
                    </w:rPr>
                    <w:t>0.5031</w:t>
                  </w:r>
                </w:p>
              </w:tc>
              <w:tc>
                <w:tcPr>
                  <w:tcW w:w="730" w:type="dxa"/>
                  <w:tcBorders>
                    <w:top w:val="nil"/>
                    <w:left w:val="nil"/>
                    <w:bottom w:val="single" w:color="000000" w:sz="8" w:space="0"/>
                    <w:right w:val="single" w:color="000000" w:sz="8" w:space="0"/>
                  </w:tcBorders>
                  <w:shd w:val="clear" w:color="auto" w:fill="auto"/>
                  <w:vAlign w:val="center"/>
                </w:tcPr>
                <w:p w14:paraId="406FC674">
                  <w:pPr>
                    <w:keepNext w:val="0"/>
                    <w:keepLines w:val="0"/>
                    <w:widowControl/>
                    <w:suppressLineNumbers w:val="0"/>
                    <w:jc w:val="center"/>
                    <w:textAlignment w:val="bottom"/>
                    <w:rPr>
                      <w:rFonts w:hint="default" w:ascii="Times New Roman" w:hAnsi="Times New Roman" w:eastAsia="宋体" w:cs="Times New Roman"/>
                      <w:i w:val="0"/>
                      <w:iCs w:val="0"/>
                      <w:color w:val="000000"/>
                      <w:sz w:val="18"/>
                      <w:szCs w:val="18"/>
                      <w:u w:val="none"/>
                    </w:rPr>
                  </w:pPr>
                  <w:r>
                    <w:rPr>
                      <w:rFonts w:hint="eastAsia" w:cs="Times New Roman"/>
                      <w:i w:val="0"/>
                      <w:iCs w:val="0"/>
                      <w:color w:val="000000"/>
                      <w:kern w:val="0"/>
                      <w:sz w:val="18"/>
                      <w:szCs w:val="18"/>
                      <w:u w:val="none"/>
                      <w:lang w:val="en-US" w:eastAsia="zh-CN" w:bidi="ar"/>
                    </w:rPr>
                    <w:t>迷宫式过滤箱，</w:t>
                  </w:r>
                  <w:r>
                    <w:rPr>
                      <w:rFonts w:hint="default" w:ascii="Times New Roman" w:hAnsi="Times New Roman" w:eastAsia="宋体" w:cs="Times New Roman"/>
                      <w:i w:val="0"/>
                      <w:iCs w:val="0"/>
                      <w:color w:val="000000"/>
                      <w:kern w:val="0"/>
                      <w:sz w:val="18"/>
                      <w:szCs w:val="18"/>
                      <w:u w:val="none"/>
                      <w:lang w:val="en-US" w:eastAsia="zh-CN" w:bidi="ar"/>
                    </w:rPr>
                    <w:t>除尘效率9</w:t>
                  </w:r>
                  <w:r>
                    <w:rPr>
                      <w:rFonts w:hint="eastAsia" w:cs="Times New Roman"/>
                      <w:i w:val="0"/>
                      <w:iCs w:val="0"/>
                      <w:color w:val="000000"/>
                      <w:kern w:val="0"/>
                      <w:sz w:val="18"/>
                      <w:szCs w:val="18"/>
                      <w:u w:val="none"/>
                      <w:lang w:val="en-US" w:eastAsia="zh-CN" w:bidi="ar"/>
                    </w:rPr>
                    <w:t>5</w:t>
                  </w:r>
                  <w:r>
                    <w:rPr>
                      <w:rFonts w:hint="default" w:ascii="Times New Roman" w:hAnsi="Times New Roman" w:eastAsia="宋体" w:cs="Times New Roman"/>
                      <w:i w:val="0"/>
                      <w:iCs w:val="0"/>
                      <w:color w:val="000000"/>
                      <w:kern w:val="0"/>
                      <w:sz w:val="18"/>
                      <w:szCs w:val="18"/>
                      <w:u w:val="none"/>
                      <w:lang w:val="en-US" w:eastAsia="zh-CN" w:bidi="ar"/>
                    </w:rPr>
                    <w:t>%</w:t>
                  </w:r>
                  <w:r>
                    <w:rPr>
                      <w:rStyle w:val="1397"/>
                      <w:rFonts w:hint="default" w:ascii="Times New Roman" w:hAnsi="Times New Roman" w:cs="Times New Roman"/>
                      <w:sz w:val="18"/>
                      <w:szCs w:val="18"/>
                      <w:lang w:val="en-US" w:eastAsia="zh-CN" w:bidi="ar"/>
                    </w:rPr>
                    <w:t>，总风机风量</w:t>
                  </w:r>
                  <w:r>
                    <w:rPr>
                      <w:rFonts w:hint="eastAsia" w:cs="Times New Roman"/>
                      <w:i w:val="0"/>
                      <w:iCs w:val="0"/>
                      <w:color w:val="000000"/>
                      <w:kern w:val="0"/>
                      <w:sz w:val="18"/>
                      <w:szCs w:val="18"/>
                      <w:u w:val="none"/>
                      <w:lang w:val="en-US" w:eastAsia="zh-CN" w:bidi="ar"/>
                    </w:rPr>
                    <w:t>1</w:t>
                  </w:r>
                  <w:r>
                    <w:rPr>
                      <w:rFonts w:hint="default" w:ascii="Times New Roman" w:hAnsi="Times New Roman" w:eastAsia="宋体" w:cs="Times New Roman"/>
                      <w:i w:val="0"/>
                      <w:iCs w:val="0"/>
                      <w:color w:val="000000"/>
                      <w:kern w:val="0"/>
                      <w:sz w:val="18"/>
                      <w:szCs w:val="18"/>
                      <w:u w:val="none"/>
                      <w:lang w:val="en-US" w:eastAsia="zh-CN" w:bidi="ar"/>
                    </w:rPr>
                    <w:t>0000m</w:t>
                  </w:r>
                  <w:r>
                    <w:rPr>
                      <w:rStyle w:val="1391"/>
                      <w:rFonts w:hint="default" w:ascii="Times New Roman" w:hAnsi="Times New Roman" w:eastAsia="宋体" w:cs="Times New Roman"/>
                      <w:sz w:val="18"/>
                      <w:szCs w:val="18"/>
                      <w:lang w:val="en-US" w:eastAsia="zh-CN" w:bidi="ar"/>
                    </w:rPr>
                    <w:t>3</w:t>
                  </w:r>
                  <w:r>
                    <w:rPr>
                      <w:rFonts w:hint="default" w:ascii="Times New Roman" w:hAnsi="Times New Roman" w:eastAsia="宋体" w:cs="Times New Roman"/>
                      <w:i w:val="0"/>
                      <w:iCs w:val="0"/>
                      <w:color w:val="000000"/>
                      <w:kern w:val="0"/>
                      <w:sz w:val="18"/>
                      <w:szCs w:val="18"/>
                      <w:u w:val="none"/>
                      <w:lang w:val="en-US" w:eastAsia="zh-CN" w:bidi="ar"/>
                    </w:rPr>
                    <w:t>/h</w:t>
                  </w:r>
                </w:p>
              </w:tc>
              <w:tc>
                <w:tcPr>
                  <w:tcW w:w="746" w:type="dxa"/>
                  <w:tcBorders>
                    <w:top w:val="nil"/>
                    <w:left w:val="nil"/>
                    <w:bottom w:val="single" w:color="000000" w:sz="8" w:space="0"/>
                    <w:right w:val="single" w:color="000000" w:sz="8" w:space="0"/>
                  </w:tcBorders>
                  <w:shd w:val="clear" w:color="auto" w:fill="auto"/>
                  <w:vAlign w:val="center"/>
                </w:tcPr>
                <w:p w14:paraId="39574AC6">
                  <w:pPr>
                    <w:keepNext w:val="0"/>
                    <w:keepLines w:val="0"/>
                    <w:widowControl/>
                    <w:suppressLineNumbers w:val="0"/>
                    <w:jc w:val="center"/>
                    <w:textAlignment w:val="center"/>
                    <w:rPr>
                      <w:rFonts w:hint="default" w:ascii="Times New Roman" w:hAnsi="Times New Roman" w:eastAsia="等线" w:cs="Times New Roman"/>
                      <w:i w:val="0"/>
                      <w:iCs w:val="0"/>
                      <w:color w:val="000000"/>
                      <w:sz w:val="18"/>
                      <w:szCs w:val="18"/>
                      <w:u w:val="none"/>
                      <w:lang w:val="en-US"/>
                    </w:rPr>
                  </w:pPr>
                  <w:r>
                    <w:rPr>
                      <w:rFonts w:hint="default" w:ascii="Times New Roman" w:hAnsi="Times New Roman" w:eastAsia="等线" w:cs="Times New Roman"/>
                      <w:i w:val="0"/>
                      <w:iCs w:val="0"/>
                      <w:color w:val="000000"/>
                      <w:kern w:val="0"/>
                      <w:sz w:val="18"/>
                      <w:szCs w:val="18"/>
                      <w:u w:val="none"/>
                      <w:lang w:val="en-US" w:eastAsia="zh-CN" w:bidi="ar"/>
                    </w:rPr>
                    <w:t>0.</w:t>
                  </w:r>
                  <w:r>
                    <w:rPr>
                      <w:rFonts w:hint="eastAsia" w:eastAsia="等线" w:cs="Times New Roman"/>
                      <w:i w:val="0"/>
                      <w:iCs w:val="0"/>
                      <w:color w:val="000000"/>
                      <w:kern w:val="0"/>
                      <w:sz w:val="18"/>
                      <w:szCs w:val="18"/>
                      <w:u w:val="none"/>
                      <w:lang w:val="en-US" w:eastAsia="zh-CN" w:bidi="ar"/>
                    </w:rPr>
                    <w:t>0503</w:t>
                  </w:r>
                </w:p>
              </w:tc>
              <w:tc>
                <w:tcPr>
                  <w:tcW w:w="567" w:type="dxa"/>
                  <w:tcBorders>
                    <w:top w:val="nil"/>
                    <w:left w:val="nil"/>
                    <w:bottom w:val="single" w:color="000000" w:sz="8" w:space="0"/>
                    <w:right w:val="single" w:color="000000" w:sz="8" w:space="0"/>
                  </w:tcBorders>
                  <w:shd w:val="clear" w:color="auto" w:fill="auto"/>
                  <w:vAlign w:val="center"/>
                </w:tcPr>
                <w:p w14:paraId="0B8B4559">
                  <w:pPr>
                    <w:keepNext w:val="0"/>
                    <w:keepLines w:val="0"/>
                    <w:widowControl/>
                    <w:suppressLineNumbers w:val="0"/>
                    <w:jc w:val="center"/>
                    <w:textAlignment w:val="bottom"/>
                    <w:rPr>
                      <w:rFonts w:hint="default" w:ascii="Times New Roman" w:hAnsi="Times New Roman" w:eastAsia="等线" w:cs="Times New Roman"/>
                      <w:i w:val="0"/>
                      <w:iCs w:val="0"/>
                      <w:color w:val="000000"/>
                      <w:sz w:val="18"/>
                      <w:szCs w:val="18"/>
                      <w:u w:val="none"/>
                    </w:rPr>
                  </w:pPr>
                  <w:r>
                    <w:rPr>
                      <w:rFonts w:hint="eastAsia" w:eastAsia="等线" w:cs="Times New Roman"/>
                      <w:i w:val="0"/>
                      <w:iCs w:val="0"/>
                      <w:color w:val="000000"/>
                      <w:kern w:val="0"/>
                      <w:sz w:val="18"/>
                      <w:szCs w:val="18"/>
                      <w:u w:val="none"/>
                      <w:lang w:val="en-US" w:eastAsia="zh-CN" w:bidi="ar"/>
                    </w:rPr>
                    <w:t>0</w:t>
                  </w:r>
                </w:p>
              </w:tc>
            </w:tr>
          </w:tbl>
          <w:p w14:paraId="0A31F6C1">
            <w:pPr>
              <w:spacing w:line="360" w:lineRule="auto"/>
              <w:ind w:firstLine="420" w:firstLineChars="200"/>
              <w:rPr>
                <w:rFonts w:hint="eastAsia" w:eastAsia="宋体"/>
                <w:bCs/>
                <w:color w:val="000000"/>
                <w:sz w:val="21"/>
                <w:szCs w:val="21"/>
                <w:highlight w:val="none"/>
                <w:lang w:eastAsia="zh-CN"/>
              </w:rPr>
            </w:pPr>
            <w:r>
              <w:rPr>
                <w:rFonts w:hint="eastAsia" w:cs="Times New Roman"/>
                <w:sz w:val="21"/>
                <w:szCs w:val="21"/>
                <w:lang w:eastAsia="zh-CN"/>
              </w:rPr>
              <w:t>（</w:t>
            </w:r>
            <w:r>
              <w:rPr>
                <w:rFonts w:hint="eastAsia" w:cs="Times New Roman"/>
                <w:sz w:val="21"/>
                <w:szCs w:val="21"/>
                <w:lang w:val="en-US" w:eastAsia="zh-CN"/>
              </w:rPr>
              <w:t>2</w:t>
            </w:r>
            <w:r>
              <w:rPr>
                <w:rFonts w:hint="eastAsia" w:cs="Times New Roman"/>
                <w:sz w:val="21"/>
                <w:szCs w:val="21"/>
                <w:lang w:eastAsia="zh-CN"/>
              </w:rPr>
              <w:t>）</w:t>
            </w:r>
            <w:r>
              <w:rPr>
                <w:rFonts w:hint="eastAsia" w:cs="Times New Roman"/>
                <w:sz w:val="21"/>
                <w:szCs w:val="21"/>
                <w:lang w:val="en-US" w:eastAsia="zh-CN"/>
              </w:rPr>
              <w:t>静电喷塑后</w:t>
            </w:r>
            <w:r>
              <w:rPr>
                <w:rFonts w:hint="eastAsia"/>
                <w:bCs/>
                <w:color w:val="000000"/>
                <w:sz w:val="21"/>
                <w:szCs w:val="21"/>
                <w:highlight w:val="none"/>
                <w:lang w:val="en-US" w:eastAsia="zh-CN"/>
              </w:rPr>
              <w:t>固化</w:t>
            </w:r>
            <w:r>
              <w:rPr>
                <w:rFonts w:hint="eastAsia"/>
                <w:bCs/>
                <w:color w:val="000000"/>
                <w:sz w:val="21"/>
                <w:szCs w:val="21"/>
                <w:highlight w:val="none"/>
              </w:rPr>
              <w:t>工序产生的VOCs</w:t>
            </w:r>
            <w:r>
              <w:rPr>
                <w:rFonts w:hint="eastAsia"/>
                <w:bCs/>
                <w:color w:val="000000"/>
                <w:sz w:val="21"/>
                <w:szCs w:val="21"/>
                <w:highlight w:val="none"/>
                <w:lang w:eastAsia="zh-CN"/>
              </w:rPr>
              <w:t>（</w:t>
            </w:r>
            <w:r>
              <w:rPr>
                <w:rFonts w:hint="eastAsia"/>
                <w:bCs/>
                <w:color w:val="000000"/>
                <w:sz w:val="21"/>
                <w:szCs w:val="21"/>
                <w:highlight w:val="none"/>
                <w:lang w:val="en-US" w:eastAsia="zh-CN"/>
              </w:rPr>
              <w:t>G2.7</w:t>
            </w:r>
            <w:r>
              <w:rPr>
                <w:rFonts w:hint="eastAsia"/>
                <w:bCs/>
                <w:color w:val="000000"/>
                <w:sz w:val="21"/>
                <w:szCs w:val="21"/>
                <w:highlight w:val="none"/>
                <w:lang w:eastAsia="zh-CN"/>
              </w:rPr>
              <w:t>）</w:t>
            </w:r>
          </w:p>
          <w:p w14:paraId="6FDD2F2B">
            <w:pPr>
              <w:pStyle w:val="381"/>
              <w:ind w:firstLine="31680"/>
              <w:rPr>
                <w:rFonts w:hint="default" w:cs="Times New Roman"/>
                <w:b w:val="0"/>
                <w:bCs w:val="0"/>
                <w:kern w:val="2"/>
                <w:sz w:val="21"/>
                <w:szCs w:val="21"/>
                <w:lang w:val="en-US" w:eastAsia="zh-CN" w:bidi="ar-SA"/>
              </w:rPr>
            </w:pPr>
            <w:r>
              <w:rPr>
                <w:rFonts w:hint="eastAsia" w:cs="Times New Roman"/>
                <w:b w:val="0"/>
                <w:bCs w:val="0"/>
                <w:kern w:val="2"/>
                <w:sz w:val="21"/>
                <w:szCs w:val="21"/>
                <w:lang w:val="en-US" w:eastAsia="zh-CN" w:bidi="ar-SA"/>
              </w:rPr>
              <w:t>本项目半成品静电喷塑后使用配套电烘干箱进行固化，固化过程会产生VOCs。根据企业提供数据，塑粉用量4.98t/a，同时根据厂家提供的塑粉MSDS，项目使用塑粉挥发分≤0.6%，本次环评中按挥发分最大0.6%计，烘干固化过程挥发分全部挥发，则烘干固化工序VOCs产生量为0.03t/a。</w:t>
            </w:r>
          </w:p>
          <w:p w14:paraId="3A5F5D86">
            <w:pPr>
              <w:pStyle w:val="381"/>
              <w:ind w:firstLine="31680"/>
              <w:rPr>
                <w:rFonts w:hint="eastAsia" w:ascii="Times New Roman" w:hAnsi="Times New Roman" w:eastAsia="宋体" w:cs="Times New Roman"/>
                <w:sz w:val="21"/>
                <w:szCs w:val="21"/>
                <w:lang w:eastAsia="zh-CN"/>
              </w:rPr>
            </w:pPr>
            <w:r>
              <w:rPr>
                <w:rFonts w:hint="eastAsia" w:cs="Times New Roman"/>
                <w:sz w:val="21"/>
                <w:szCs w:val="21"/>
                <w:lang w:eastAsia="zh-CN"/>
              </w:rPr>
              <w:t>（</w:t>
            </w:r>
            <w:r>
              <w:rPr>
                <w:rFonts w:hint="eastAsia" w:cs="Times New Roman"/>
                <w:sz w:val="21"/>
                <w:szCs w:val="21"/>
                <w:lang w:val="en-US" w:eastAsia="zh-CN"/>
              </w:rPr>
              <w:t>3</w:t>
            </w:r>
            <w:r>
              <w:rPr>
                <w:rFonts w:hint="eastAsia" w:cs="Times New Roman"/>
                <w:sz w:val="21"/>
                <w:szCs w:val="21"/>
                <w:lang w:eastAsia="zh-CN"/>
              </w:rPr>
              <w:t>）</w:t>
            </w:r>
            <w:r>
              <w:rPr>
                <w:rFonts w:hint="eastAsia" w:cs="Times New Roman"/>
                <w:b w:val="0"/>
                <w:bCs w:val="0"/>
                <w:kern w:val="2"/>
                <w:sz w:val="21"/>
                <w:szCs w:val="21"/>
                <w:lang w:val="en-US" w:eastAsia="zh-CN" w:bidi="ar-SA"/>
              </w:rPr>
              <w:t>碳钢板/不锈钢板下料、开孔</w:t>
            </w:r>
            <w:r>
              <w:rPr>
                <w:rFonts w:hint="eastAsia" w:cs="Times New Roman"/>
                <w:sz w:val="21"/>
                <w:szCs w:val="21"/>
                <w:lang w:eastAsia="zh-CN"/>
              </w:rPr>
              <w:t>工序产生的颗粒物（</w:t>
            </w:r>
            <w:r>
              <w:rPr>
                <w:rFonts w:hint="default" w:ascii="Times New Roman" w:hAnsi="Times New Roman" w:cs="Times New Roman"/>
                <w:bCs/>
                <w:color w:val="auto"/>
                <w:sz w:val="21"/>
                <w:szCs w:val="21"/>
                <w:lang w:val="en-US" w:eastAsia="zh-CN"/>
              </w:rPr>
              <w:t>G3</w:t>
            </w:r>
            <w:r>
              <w:rPr>
                <w:rFonts w:hint="eastAsia" w:cs="Times New Roman"/>
                <w:bCs/>
                <w:color w:val="auto"/>
                <w:sz w:val="21"/>
                <w:szCs w:val="21"/>
                <w:lang w:val="en-US" w:eastAsia="zh-CN"/>
              </w:rPr>
              <w:t>.1-G3.10</w:t>
            </w:r>
            <w:r>
              <w:rPr>
                <w:rFonts w:hint="eastAsia" w:cs="Times New Roman"/>
                <w:sz w:val="21"/>
                <w:szCs w:val="21"/>
                <w:lang w:eastAsia="zh-CN"/>
              </w:rPr>
              <w:t>）</w:t>
            </w:r>
          </w:p>
          <w:p w14:paraId="0136B948">
            <w:pPr>
              <w:pStyle w:val="1312"/>
              <w:adjustRightInd w:val="0"/>
              <w:snapToGrid w:val="0"/>
              <w:ind w:firstLine="420" w:firstLineChars="200"/>
              <w:jc w:val="left"/>
              <w:rPr>
                <w:rFonts w:hint="eastAsia"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本项目碳钢板/不锈钢板下料、开孔使用火焰、等离子切割机等进行，工作过程会有颗粒物产生。</w:t>
            </w:r>
            <w:r>
              <w:rPr>
                <w:rFonts w:hint="default" w:ascii="Times New Roman" w:hAnsi="Times New Roman" w:eastAsia="宋体" w:cs="Times New Roman"/>
                <w:b w:val="0"/>
                <w:bCs w:val="0"/>
                <w:kern w:val="2"/>
                <w:sz w:val="21"/>
                <w:szCs w:val="21"/>
                <w:lang w:val="en-US" w:eastAsia="zh-CN" w:bidi="ar-SA"/>
              </w:rPr>
              <w:t>根据《排放源统计调查产排污核算方法和系数手册-机械行业系数手册》</w:t>
            </w:r>
            <w:r>
              <w:rPr>
                <w:rFonts w:hint="eastAsia" w:ascii="Times New Roman" w:hAnsi="Times New Roman" w:eastAsia="宋体" w:cs="Times New Roman"/>
                <w:b w:val="0"/>
                <w:bCs w:val="0"/>
                <w:kern w:val="2"/>
                <w:sz w:val="21"/>
                <w:szCs w:val="21"/>
                <w:lang w:val="en-US" w:eastAsia="zh-CN" w:bidi="ar-SA"/>
              </w:rPr>
              <w:t>，废气产污系数如下：</w:t>
            </w:r>
          </w:p>
          <w:p w14:paraId="4F5D8DC6">
            <w:pPr>
              <w:pStyle w:val="1312"/>
              <w:adjustRightInd w:val="0"/>
              <w:snapToGrid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表4-</w:t>
            </w:r>
            <w:r>
              <w:rPr>
                <w:rFonts w:hint="eastAsia" w:ascii="Times New Roman" w:hAnsi="Times New Roman" w:eastAsia="宋体" w:cs="Times New Roman"/>
                <w:b/>
                <w:bCs/>
                <w:sz w:val="21"/>
                <w:szCs w:val="21"/>
                <w:lang w:val="en-US" w:eastAsia="zh-CN"/>
              </w:rPr>
              <w:t>5</w:t>
            </w:r>
            <w:r>
              <w:rPr>
                <w:rFonts w:hint="default" w:ascii="Times New Roman" w:hAnsi="Times New Roman" w:eastAsia="宋体" w:cs="Times New Roman"/>
                <w:b/>
                <w:bCs/>
                <w:sz w:val="21"/>
                <w:szCs w:val="21"/>
              </w:rPr>
              <w:t xml:space="preserve"> </w:t>
            </w:r>
            <w:r>
              <w:rPr>
                <w:rFonts w:hint="eastAsia" w:ascii="Times New Roman" w:hAnsi="Times New Roman" w:eastAsia="宋体" w:cs="Times New Roman"/>
                <w:b/>
                <w:bCs/>
                <w:sz w:val="21"/>
                <w:szCs w:val="21"/>
                <w:lang w:eastAsia="zh-CN"/>
              </w:rPr>
              <w:t>下料</w:t>
            </w:r>
            <w:r>
              <w:rPr>
                <w:rFonts w:hint="default" w:ascii="Times New Roman" w:hAnsi="Times New Roman" w:eastAsia="宋体" w:cs="Times New Roman"/>
                <w:b/>
                <w:bCs/>
                <w:sz w:val="21"/>
                <w:szCs w:val="21"/>
              </w:rPr>
              <w:t>过程</w:t>
            </w:r>
            <w:r>
              <w:rPr>
                <w:rFonts w:hint="eastAsia" w:ascii="Times New Roman" w:hAnsi="Times New Roman" w:eastAsia="宋体" w:cs="Times New Roman"/>
                <w:b/>
                <w:bCs/>
                <w:sz w:val="21"/>
                <w:szCs w:val="21"/>
                <w:lang w:eastAsia="zh-CN"/>
              </w:rPr>
              <w:t>污染物</w:t>
            </w:r>
            <w:r>
              <w:rPr>
                <w:rFonts w:hint="default" w:ascii="Times New Roman" w:hAnsi="Times New Roman" w:eastAsia="宋体" w:cs="Times New Roman"/>
                <w:b/>
                <w:bCs/>
                <w:sz w:val="21"/>
                <w:szCs w:val="21"/>
              </w:rPr>
              <w:t>产污系数</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1193"/>
              <w:gridCol w:w="1193"/>
              <w:gridCol w:w="1327"/>
              <w:gridCol w:w="1532"/>
              <w:gridCol w:w="2014"/>
            </w:tblGrid>
            <w:tr w14:paraId="352E6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 w:type="dxa"/>
                  <w:tcBorders>
                    <w:top w:val="single" w:color="auto" w:sz="4" w:space="0"/>
                    <w:left w:val="single" w:color="auto" w:sz="4" w:space="0"/>
                    <w:bottom w:val="single" w:color="auto" w:sz="4" w:space="0"/>
                    <w:right w:val="single" w:color="auto" w:sz="4" w:space="0"/>
                  </w:tcBorders>
                  <w:vAlign w:val="center"/>
                </w:tcPr>
                <w:p w14:paraId="43018FDD">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工段</w:t>
                  </w:r>
                </w:p>
              </w:tc>
              <w:tc>
                <w:tcPr>
                  <w:tcW w:w="849" w:type="dxa"/>
                  <w:tcBorders>
                    <w:top w:val="single" w:color="auto" w:sz="4" w:space="0"/>
                    <w:left w:val="single" w:color="auto" w:sz="4" w:space="0"/>
                    <w:bottom w:val="single" w:color="auto" w:sz="4" w:space="0"/>
                    <w:right w:val="single" w:color="auto" w:sz="4" w:space="0"/>
                  </w:tcBorders>
                  <w:vAlign w:val="center"/>
                </w:tcPr>
                <w:p w14:paraId="34936537">
                  <w:pPr>
                    <w:spacing w:line="240" w:lineRule="exact"/>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产品名称</w:t>
                  </w:r>
                </w:p>
              </w:tc>
              <w:tc>
                <w:tcPr>
                  <w:tcW w:w="849" w:type="dxa"/>
                  <w:tcBorders>
                    <w:top w:val="single" w:color="auto" w:sz="4" w:space="0"/>
                    <w:left w:val="single" w:color="auto" w:sz="4" w:space="0"/>
                    <w:bottom w:val="single" w:color="auto" w:sz="4" w:space="0"/>
                    <w:right w:val="single" w:color="auto" w:sz="4" w:space="0"/>
                  </w:tcBorders>
                  <w:vAlign w:val="center"/>
                </w:tcPr>
                <w:p w14:paraId="433156A6">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原料名称</w:t>
                  </w:r>
                </w:p>
              </w:tc>
              <w:tc>
                <w:tcPr>
                  <w:tcW w:w="944" w:type="dxa"/>
                  <w:tcBorders>
                    <w:top w:val="single" w:color="auto" w:sz="4" w:space="0"/>
                    <w:left w:val="single" w:color="auto" w:sz="4" w:space="0"/>
                    <w:bottom w:val="single" w:color="auto" w:sz="4" w:space="0"/>
                    <w:right w:val="single" w:color="auto" w:sz="4" w:space="0"/>
                  </w:tcBorders>
                  <w:vAlign w:val="center"/>
                </w:tcPr>
                <w:p w14:paraId="59128F12">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工艺名称</w:t>
                  </w:r>
                </w:p>
              </w:tc>
              <w:tc>
                <w:tcPr>
                  <w:tcW w:w="1090" w:type="dxa"/>
                  <w:tcBorders>
                    <w:top w:val="single" w:color="auto" w:sz="4" w:space="0"/>
                    <w:left w:val="single" w:color="auto" w:sz="4" w:space="0"/>
                    <w:bottom w:val="single" w:color="auto" w:sz="4" w:space="0"/>
                    <w:right w:val="single" w:color="auto" w:sz="4" w:space="0"/>
                  </w:tcBorders>
                  <w:vAlign w:val="center"/>
                </w:tcPr>
                <w:p w14:paraId="490EC543">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污染物</w:t>
                  </w:r>
                </w:p>
              </w:tc>
              <w:tc>
                <w:tcPr>
                  <w:tcW w:w="1433" w:type="dxa"/>
                  <w:tcBorders>
                    <w:top w:val="single" w:color="auto" w:sz="4" w:space="0"/>
                    <w:left w:val="single" w:color="auto" w:sz="4" w:space="0"/>
                    <w:bottom w:val="single" w:color="auto" w:sz="4" w:space="0"/>
                    <w:right w:val="single" w:color="auto" w:sz="4" w:space="0"/>
                  </w:tcBorders>
                  <w:vAlign w:val="center"/>
                </w:tcPr>
                <w:p w14:paraId="48CE1ABA">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产污系数</w:t>
                  </w:r>
                </w:p>
              </w:tc>
            </w:tr>
            <w:tr w14:paraId="335CB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 w:type="dxa"/>
                  <w:vMerge w:val="restart"/>
                  <w:tcBorders>
                    <w:top w:val="single" w:color="auto" w:sz="4" w:space="0"/>
                    <w:left w:val="single" w:color="auto" w:sz="4" w:space="0"/>
                    <w:bottom w:val="single" w:color="auto" w:sz="4" w:space="0"/>
                    <w:right w:val="single" w:color="auto" w:sz="4" w:space="0"/>
                  </w:tcBorders>
                  <w:vAlign w:val="center"/>
                </w:tcPr>
                <w:p w14:paraId="75854250">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下料</w:t>
                  </w:r>
                </w:p>
              </w:tc>
              <w:tc>
                <w:tcPr>
                  <w:tcW w:w="849" w:type="dxa"/>
                  <w:vMerge w:val="restart"/>
                  <w:tcBorders>
                    <w:top w:val="single" w:color="auto" w:sz="4" w:space="0"/>
                    <w:left w:val="single" w:color="auto" w:sz="4" w:space="0"/>
                    <w:right w:val="single" w:color="auto" w:sz="4" w:space="0"/>
                  </w:tcBorders>
                  <w:vAlign w:val="center"/>
                </w:tcPr>
                <w:p w14:paraId="4BAE126A">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下料件</w:t>
                  </w:r>
                </w:p>
              </w:tc>
              <w:tc>
                <w:tcPr>
                  <w:tcW w:w="849" w:type="dxa"/>
                  <w:vMerge w:val="restart"/>
                  <w:tcBorders>
                    <w:top w:val="single" w:color="auto" w:sz="4" w:space="0"/>
                    <w:left w:val="single" w:color="auto" w:sz="4" w:space="0"/>
                    <w:right w:val="single" w:color="auto" w:sz="4" w:space="0"/>
                  </w:tcBorders>
                  <w:vAlign w:val="center"/>
                </w:tcPr>
                <w:p w14:paraId="226F49B8">
                  <w:pPr>
                    <w:keepNext w:val="0"/>
                    <w:keepLines w:val="0"/>
                    <w:widowControl/>
                    <w:suppressLineNumbers w:val="0"/>
                    <w:jc w:val="center"/>
                    <w:rPr>
                      <w:rFonts w:hint="eastAsia" w:ascii="Times New Roman" w:hAnsi="Times New Roman" w:eastAsia="宋体" w:cs="Times New Roman"/>
                      <w:sz w:val="18"/>
                      <w:szCs w:val="18"/>
                      <w:highlight w:val="none"/>
                      <w:lang w:eastAsia="zh-CN"/>
                    </w:rPr>
                  </w:pPr>
                  <w:r>
                    <w:rPr>
                      <w:rFonts w:hint="eastAsia" w:ascii="宋体" w:hAnsi="宋体" w:eastAsia="宋体" w:cs="宋体"/>
                      <w:color w:val="000000"/>
                      <w:kern w:val="0"/>
                      <w:sz w:val="19"/>
                      <w:szCs w:val="19"/>
                      <w:lang w:val="en-US" w:eastAsia="zh-CN" w:bidi="ar"/>
                    </w:rPr>
                    <w:t>钢板、铝板、铝合金板、其它金属材料</w:t>
                  </w:r>
                </w:p>
              </w:tc>
              <w:tc>
                <w:tcPr>
                  <w:tcW w:w="944" w:type="dxa"/>
                  <w:tcBorders>
                    <w:top w:val="single" w:color="auto" w:sz="4" w:space="0"/>
                    <w:left w:val="single" w:color="auto" w:sz="4" w:space="0"/>
                    <w:bottom w:val="single" w:color="auto" w:sz="4" w:space="0"/>
                    <w:right w:val="single" w:color="auto" w:sz="4" w:space="0"/>
                  </w:tcBorders>
                  <w:vAlign w:val="center"/>
                </w:tcPr>
                <w:p w14:paraId="2AC6F1E9">
                  <w:pPr>
                    <w:keepNext w:val="0"/>
                    <w:keepLines w:val="0"/>
                    <w:widowControl/>
                    <w:suppressLineNumbers w:val="0"/>
                    <w:jc w:val="center"/>
                    <w:rPr>
                      <w:rFonts w:hint="eastAsia" w:ascii="Times New Roman" w:hAnsi="Times New Roman" w:eastAsia="宋体" w:cs="Times New Roman"/>
                      <w:sz w:val="18"/>
                      <w:szCs w:val="18"/>
                      <w:highlight w:val="none"/>
                      <w:lang w:eastAsia="zh-CN"/>
                    </w:rPr>
                  </w:pPr>
                  <w:r>
                    <w:rPr>
                      <w:rFonts w:hint="eastAsia" w:ascii="宋体" w:hAnsi="宋体" w:eastAsia="宋体" w:cs="宋体"/>
                      <w:color w:val="000000"/>
                      <w:kern w:val="0"/>
                      <w:sz w:val="19"/>
                      <w:szCs w:val="19"/>
                      <w:lang w:val="en-US" w:eastAsia="zh-CN" w:bidi="ar"/>
                    </w:rPr>
                    <w:t>氧/可燃气切割</w:t>
                  </w:r>
                </w:p>
              </w:tc>
              <w:tc>
                <w:tcPr>
                  <w:tcW w:w="1090" w:type="dxa"/>
                  <w:tcBorders>
                    <w:top w:val="single" w:color="auto" w:sz="4" w:space="0"/>
                    <w:left w:val="single" w:color="auto" w:sz="4" w:space="0"/>
                    <w:bottom w:val="single" w:color="auto" w:sz="4" w:space="0"/>
                    <w:right w:val="single" w:color="auto" w:sz="4" w:space="0"/>
                  </w:tcBorders>
                  <w:vAlign w:val="center"/>
                </w:tcPr>
                <w:p w14:paraId="059282FD">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颗粒物</w:t>
                  </w:r>
                </w:p>
              </w:tc>
              <w:tc>
                <w:tcPr>
                  <w:tcW w:w="1433" w:type="dxa"/>
                  <w:tcBorders>
                    <w:top w:val="single" w:color="auto" w:sz="4" w:space="0"/>
                    <w:left w:val="single" w:color="auto" w:sz="4" w:space="0"/>
                    <w:bottom w:val="single" w:color="auto" w:sz="4" w:space="0"/>
                    <w:right w:val="single" w:color="auto" w:sz="4" w:space="0"/>
                  </w:tcBorders>
                  <w:vAlign w:val="center"/>
                </w:tcPr>
                <w:p w14:paraId="2CBA7CB0">
                  <w:pPr>
                    <w:spacing w:line="240" w:lineRule="exact"/>
                    <w:jc w:val="center"/>
                    <w:rPr>
                      <w:rFonts w:hint="default" w:ascii="Times New Roman" w:hAnsi="Times New Roman" w:cs="Times New Roman"/>
                      <w:sz w:val="18"/>
                      <w:szCs w:val="18"/>
                      <w:highlight w:val="none"/>
                    </w:rPr>
                  </w:pPr>
                  <w:r>
                    <w:rPr>
                      <w:rFonts w:hint="eastAsia" w:cs="Times New Roman"/>
                      <w:sz w:val="18"/>
                      <w:szCs w:val="18"/>
                      <w:highlight w:val="none"/>
                      <w:lang w:val="en-US" w:eastAsia="zh-CN"/>
                    </w:rPr>
                    <w:t>1.5</w:t>
                  </w:r>
                  <w:r>
                    <w:rPr>
                      <w:rFonts w:hint="default" w:ascii="Times New Roman" w:hAnsi="Times New Roman" w:cs="Times New Roman"/>
                      <w:sz w:val="18"/>
                      <w:szCs w:val="18"/>
                      <w:highlight w:val="none"/>
                    </w:rPr>
                    <w:t>kg/t-原料</w:t>
                  </w:r>
                </w:p>
              </w:tc>
            </w:tr>
            <w:tr w14:paraId="47D6E5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89" w:type="dxa"/>
                  <w:vMerge w:val="continue"/>
                  <w:tcBorders>
                    <w:top w:val="single" w:color="auto" w:sz="4" w:space="0"/>
                    <w:left w:val="single" w:color="auto" w:sz="4" w:space="0"/>
                    <w:bottom w:val="single" w:color="auto" w:sz="4" w:space="0"/>
                    <w:right w:val="single" w:color="auto" w:sz="4" w:space="0"/>
                  </w:tcBorders>
                  <w:vAlign w:val="center"/>
                </w:tcPr>
                <w:p w14:paraId="4CF62C00">
                  <w:pPr>
                    <w:spacing w:line="240" w:lineRule="exact"/>
                    <w:jc w:val="center"/>
                    <w:rPr>
                      <w:rFonts w:hint="default" w:ascii="Times New Roman" w:hAnsi="Times New Roman" w:cs="Times New Roman"/>
                      <w:sz w:val="18"/>
                      <w:szCs w:val="18"/>
                      <w:highlight w:val="none"/>
                    </w:rPr>
                  </w:pPr>
                </w:p>
              </w:tc>
              <w:tc>
                <w:tcPr>
                  <w:tcW w:w="849" w:type="dxa"/>
                  <w:vMerge w:val="continue"/>
                  <w:tcBorders>
                    <w:left w:val="single" w:color="auto" w:sz="4" w:space="0"/>
                    <w:bottom w:val="single" w:color="auto" w:sz="4" w:space="0"/>
                    <w:right w:val="single" w:color="auto" w:sz="4" w:space="0"/>
                  </w:tcBorders>
                  <w:vAlign w:val="center"/>
                </w:tcPr>
                <w:p w14:paraId="4E96D966">
                  <w:pPr>
                    <w:spacing w:line="240" w:lineRule="exact"/>
                    <w:jc w:val="center"/>
                    <w:rPr>
                      <w:rFonts w:hint="default" w:ascii="Times New Roman" w:hAnsi="Times New Roman" w:cs="Times New Roman"/>
                      <w:sz w:val="18"/>
                      <w:szCs w:val="18"/>
                      <w:highlight w:val="none"/>
                      <w:lang w:eastAsia="zh-CN"/>
                    </w:rPr>
                  </w:pPr>
                </w:p>
              </w:tc>
              <w:tc>
                <w:tcPr>
                  <w:tcW w:w="849" w:type="dxa"/>
                  <w:vMerge w:val="continue"/>
                  <w:tcBorders>
                    <w:left w:val="single" w:color="auto" w:sz="4" w:space="0"/>
                    <w:bottom w:val="single" w:color="auto" w:sz="4" w:space="0"/>
                    <w:right w:val="single" w:color="auto" w:sz="4" w:space="0"/>
                  </w:tcBorders>
                  <w:vAlign w:val="center"/>
                </w:tcPr>
                <w:p w14:paraId="1A83865D">
                  <w:pPr>
                    <w:spacing w:line="240" w:lineRule="exact"/>
                    <w:jc w:val="center"/>
                    <w:rPr>
                      <w:rFonts w:hint="default" w:ascii="Times New Roman" w:hAnsi="Times New Roman" w:cs="Times New Roman"/>
                      <w:sz w:val="18"/>
                      <w:szCs w:val="18"/>
                      <w:highlight w:val="none"/>
                    </w:rPr>
                  </w:pPr>
                </w:p>
              </w:tc>
              <w:tc>
                <w:tcPr>
                  <w:tcW w:w="944" w:type="dxa"/>
                  <w:tcBorders>
                    <w:top w:val="single" w:color="auto" w:sz="4" w:space="0"/>
                    <w:left w:val="single" w:color="auto" w:sz="4" w:space="0"/>
                    <w:bottom w:val="single" w:color="auto" w:sz="4" w:space="0"/>
                    <w:right w:val="single" w:color="auto" w:sz="4" w:space="0"/>
                  </w:tcBorders>
                  <w:vAlign w:val="center"/>
                </w:tcPr>
                <w:p w14:paraId="44D973E5">
                  <w:pPr>
                    <w:keepNext w:val="0"/>
                    <w:keepLines w:val="0"/>
                    <w:widowControl/>
                    <w:suppressLineNumbers w:val="0"/>
                    <w:jc w:val="center"/>
                    <w:rPr>
                      <w:rFonts w:hint="eastAsia" w:ascii="Times New Roman" w:hAnsi="Times New Roman" w:eastAsia="宋体" w:cs="Times New Roman"/>
                      <w:sz w:val="18"/>
                      <w:szCs w:val="18"/>
                      <w:highlight w:val="none"/>
                      <w:lang w:eastAsia="zh-CN"/>
                    </w:rPr>
                  </w:pPr>
                  <w:r>
                    <w:rPr>
                      <w:rFonts w:hint="eastAsia" w:ascii="宋体" w:hAnsi="宋体" w:eastAsia="宋体" w:cs="宋体"/>
                      <w:color w:val="000000"/>
                      <w:kern w:val="0"/>
                      <w:sz w:val="19"/>
                      <w:szCs w:val="19"/>
                      <w:lang w:val="en-US" w:eastAsia="zh-CN" w:bidi="ar"/>
                    </w:rPr>
                    <w:t>等离子切割</w:t>
                  </w:r>
                </w:p>
              </w:tc>
              <w:tc>
                <w:tcPr>
                  <w:tcW w:w="1090" w:type="dxa"/>
                  <w:tcBorders>
                    <w:top w:val="single" w:color="auto" w:sz="4" w:space="0"/>
                    <w:left w:val="single" w:color="auto" w:sz="4" w:space="0"/>
                    <w:bottom w:val="single" w:color="auto" w:sz="4" w:space="0"/>
                    <w:right w:val="single" w:color="auto" w:sz="4" w:space="0"/>
                  </w:tcBorders>
                  <w:vAlign w:val="center"/>
                </w:tcPr>
                <w:p w14:paraId="6FD12610">
                  <w:pPr>
                    <w:spacing w:line="240" w:lineRule="exact"/>
                    <w:jc w:val="center"/>
                    <w:rPr>
                      <w:rFonts w:hint="eastAsia" w:ascii="Times New Roman" w:hAnsi="Times New Roman" w:eastAsia="宋体" w:cs="Times New Roman"/>
                      <w:sz w:val="18"/>
                      <w:szCs w:val="18"/>
                      <w:highlight w:val="none"/>
                      <w:lang w:eastAsia="zh-CN"/>
                    </w:rPr>
                  </w:pPr>
                  <w:r>
                    <w:rPr>
                      <w:rFonts w:hint="default" w:ascii="Times New Roman" w:hAnsi="Times New Roman" w:cs="Times New Roman"/>
                      <w:sz w:val="18"/>
                      <w:szCs w:val="18"/>
                      <w:highlight w:val="none"/>
                    </w:rPr>
                    <w:t>颗粒物</w:t>
                  </w:r>
                </w:p>
              </w:tc>
              <w:tc>
                <w:tcPr>
                  <w:tcW w:w="1433" w:type="dxa"/>
                  <w:tcBorders>
                    <w:top w:val="single" w:color="auto" w:sz="4" w:space="0"/>
                    <w:left w:val="single" w:color="auto" w:sz="4" w:space="0"/>
                    <w:bottom w:val="single" w:color="auto" w:sz="4" w:space="0"/>
                    <w:right w:val="single" w:color="auto" w:sz="4" w:space="0"/>
                  </w:tcBorders>
                  <w:vAlign w:val="center"/>
                </w:tcPr>
                <w:p w14:paraId="0A149058">
                  <w:pPr>
                    <w:spacing w:line="240" w:lineRule="exact"/>
                    <w:jc w:val="center"/>
                    <w:rPr>
                      <w:rFonts w:hint="default" w:ascii="Times New Roman" w:hAnsi="Times New Roman" w:cs="Times New Roman"/>
                      <w:sz w:val="18"/>
                      <w:szCs w:val="18"/>
                      <w:highlight w:val="none"/>
                    </w:rPr>
                  </w:pPr>
                  <w:r>
                    <w:rPr>
                      <w:rFonts w:hint="eastAsia" w:cs="Times New Roman"/>
                      <w:sz w:val="18"/>
                      <w:szCs w:val="18"/>
                      <w:highlight w:val="none"/>
                      <w:lang w:val="en-US" w:eastAsia="zh-CN"/>
                    </w:rPr>
                    <w:t>1.1</w:t>
                  </w:r>
                  <w:r>
                    <w:rPr>
                      <w:rFonts w:hint="default" w:ascii="Times New Roman" w:hAnsi="Times New Roman" w:cs="Times New Roman"/>
                      <w:sz w:val="18"/>
                      <w:szCs w:val="18"/>
                      <w:highlight w:val="none"/>
                    </w:rPr>
                    <w:t>kg/t-原料</w:t>
                  </w:r>
                </w:p>
              </w:tc>
            </w:tr>
          </w:tbl>
          <w:p w14:paraId="6877E627">
            <w:pPr>
              <w:pStyle w:val="381"/>
              <w:ind w:firstLine="31680"/>
              <w:rPr>
                <w:rFonts w:hint="default" w:ascii="Times New Roman" w:hAnsi="Times New Roman" w:eastAsia="宋体" w:cs="Times New Roman"/>
                <w:sz w:val="21"/>
                <w:szCs w:val="21"/>
                <w:lang w:val="en-US" w:eastAsia="zh-CN"/>
              </w:rPr>
            </w:pPr>
            <w:r>
              <w:rPr>
                <w:rFonts w:hint="eastAsia" w:cs="Times New Roman"/>
                <w:sz w:val="21"/>
                <w:szCs w:val="21"/>
                <w:lang w:eastAsia="zh-CN"/>
              </w:rPr>
              <w:t>本项目火焰切割机等下料、开孔的</w:t>
            </w:r>
            <w:r>
              <w:rPr>
                <w:rFonts w:hint="eastAsia" w:ascii="Times New Roman" w:hAnsi="Times New Roman" w:eastAsia="宋体" w:cs="Times New Roman"/>
                <w:b w:val="0"/>
                <w:bCs w:val="0"/>
                <w:kern w:val="2"/>
                <w:sz w:val="21"/>
                <w:szCs w:val="21"/>
                <w:lang w:val="en-US" w:eastAsia="zh-CN" w:bidi="ar-SA"/>
              </w:rPr>
              <w:t>碳钢板</w:t>
            </w:r>
            <w:r>
              <w:rPr>
                <w:rFonts w:hint="eastAsia" w:cs="Times New Roman"/>
                <w:b w:val="0"/>
                <w:bCs w:val="0"/>
                <w:kern w:val="2"/>
                <w:sz w:val="21"/>
                <w:szCs w:val="21"/>
                <w:lang w:val="en-US" w:eastAsia="zh-CN" w:bidi="ar-SA"/>
              </w:rPr>
              <w:t>用量500t/a，</w:t>
            </w:r>
            <w:r>
              <w:rPr>
                <w:rFonts w:hint="eastAsia" w:ascii="Times New Roman" w:hAnsi="Times New Roman" w:eastAsia="宋体" w:cs="Times New Roman"/>
                <w:b w:val="0"/>
                <w:bCs w:val="0"/>
                <w:kern w:val="2"/>
                <w:sz w:val="21"/>
                <w:szCs w:val="21"/>
                <w:lang w:val="en-US" w:eastAsia="zh-CN" w:bidi="ar-SA"/>
              </w:rPr>
              <w:t>不锈钢板</w:t>
            </w:r>
            <w:r>
              <w:rPr>
                <w:rFonts w:hint="eastAsia" w:cs="Times New Roman"/>
                <w:b w:val="0"/>
                <w:bCs w:val="0"/>
                <w:kern w:val="2"/>
                <w:sz w:val="21"/>
                <w:szCs w:val="21"/>
                <w:lang w:val="en-US" w:eastAsia="zh-CN" w:bidi="ar-SA"/>
              </w:rPr>
              <w:t>用量200t/a，等离子切割机</w:t>
            </w:r>
            <w:r>
              <w:rPr>
                <w:rFonts w:hint="eastAsia" w:cs="Times New Roman"/>
                <w:sz w:val="21"/>
                <w:szCs w:val="21"/>
                <w:lang w:eastAsia="zh-CN"/>
              </w:rPr>
              <w:t>下料、开孔</w:t>
            </w:r>
            <w:r>
              <w:rPr>
                <w:rFonts w:hint="eastAsia" w:cs="Times New Roman"/>
                <w:b w:val="0"/>
                <w:bCs w:val="0"/>
                <w:kern w:val="2"/>
                <w:sz w:val="21"/>
                <w:szCs w:val="21"/>
                <w:lang w:val="en-US" w:eastAsia="zh-CN" w:bidi="ar-SA"/>
              </w:rPr>
              <w:t>的</w:t>
            </w:r>
            <w:r>
              <w:rPr>
                <w:rFonts w:hint="eastAsia" w:ascii="Times New Roman" w:hAnsi="Times New Roman" w:eastAsia="宋体" w:cs="Times New Roman"/>
                <w:b w:val="0"/>
                <w:bCs w:val="0"/>
                <w:kern w:val="2"/>
                <w:sz w:val="21"/>
                <w:szCs w:val="21"/>
                <w:lang w:val="en-US" w:eastAsia="zh-CN" w:bidi="ar-SA"/>
              </w:rPr>
              <w:t>碳钢板</w:t>
            </w:r>
            <w:r>
              <w:rPr>
                <w:rFonts w:hint="eastAsia" w:cs="Times New Roman"/>
                <w:b w:val="0"/>
                <w:bCs w:val="0"/>
                <w:kern w:val="2"/>
                <w:sz w:val="21"/>
                <w:szCs w:val="21"/>
                <w:lang w:val="en-US" w:eastAsia="zh-CN" w:bidi="ar-SA"/>
              </w:rPr>
              <w:t>用量400t/a，</w:t>
            </w:r>
            <w:r>
              <w:rPr>
                <w:rFonts w:hint="eastAsia" w:ascii="Times New Roman" w:hAnsi="Times New Roman" w:eastAsia="宋体" w:cs="Times New Roman"/>
                <w:b w:val="0"/>
                <w:bCs w:val="0"/>
                <w:kern w:val="2"/>
                <w:sz w:val="21"/>
                <w:szCs w:val="21"/>
                <w:lang w:val="en-US" w:eastAsia="zh-CN" w:bidi="ar-SA"/>
              </w:rPr>
              <w:t>不锈钢板</w:t>
            </w:r>
            <w:r>
              <w:rPr>
                <w:rFonts w:hint="eastAsia" w:cs="Times New Roman"/>
                <w:b w:val="0"/>
                <w:bCs w:val="0"/>
                <w:kern w:val="2"/>
                <w:sz w:val="21"/>
                <w:szCs w:val="21"/>
                <w:lang w:val="en-US" w:eastAsia="zh-CN" w:bidi="ar-SA"/>
              </w:rPr>
              <w:t>用量100t/a，下料、开孔过程颗粒物产生量为1.6t/a。</w:t>
            </w:r>
          </w:p>
          <w:p w14:paraId="44E45F17">
            <w:pPr>
              <w:pStyle w:val="381"/>
              <w:ind w:firstLine="31680"/>
              <w:rPr>
                <w:rFonts w:hint="default" w:ascii="Times New Roman" w:hAnsi="Times New Roman" w:eastAsia="宋体" w:cs="Times New Roman"/>
                <w:sz w:val="21"/>
                <w:szCs w:val="21"/>
                <w:lang w:val="en-US" w:eastAsia="zh-CN"/>
              </w:rPr>
            </w:pPr>
            <w:r>
              <w:rPr>
                <w:rFonts w:hint="eastAsia" w:cs="Times New Roman"/>
                <w:sz w:val="21"/>
                <w:szCs w:val="21"/>
                <w:lang w:eastAsia="zh-CN"/>
              </w:rPr>
              <w:t>（</w:t>
            </w:r>
            <w:r>
              <w:rPr>
                <w:rFonts w:hint="eastAsia" w:cs="Times New Roman"/>
                <w:sz w:val="21"/>
                <w:szCs w:val="21"/>
                <w:lang w:val="en-US" w:eastAsia="zh-CN"/>
              </w:rPr>
              <w:t>4</w:t>
            </w:r>
            <w:r>
              <w:rPr>
                <w:rFonts w:hint="eastAsia" w:cs="Times New Roman"/>
                <w:sz w:val="21"/>
                <w:szCs w:val="21"/>
                <w:lang w:eastAsia="zh-CN"/>
              </w:rPr>
              <w:t>）</w:t>
            </w:r>
            <w:r>
              <w:rPr>
                <w:rFonts w:hint="default" w:ascii="Times New Roman" w:hAnsi="Times New Roman" w:cs="Times New Roman"/>
                <w:sz w:val="21"/>
                <w:szCs w:val="21"/>
              </w:rPr>
              <w:t>焊接过程产生的</w:t>
            </w:r>
            <w:r>
              <w:rPr>
                <w:rFonts w:hint="eastAsia" w:cs="Times New Roman"/>
                <w:sz w:val="21"/>
                <w:szCs w:val="21"/>
                <w:lang w:eastAsia="zh-CN"/>
              </w:rPr>
              <w:t>颗粒物（</w:t>
            </w:r>
            <w:r>
              <w:rPr>
                <w:rFonts w:hint="eastAsia" w:cs="Times New Roman"/>
                <w:sz w:val="21"/>
                <w:szCs w:val="21"/>
                <w:lang w:val="en-US" w:eastAsia="zh-CN"/>
              </w:rPr>
              <w:t>G4.1-G4.12</w:t>
            </w:r>
            <w:r>
              <w:rPr>
                <w:rFonts w:hint="eastAsia" w:cs="Times New Roman"/>
                <w:sz w:val="21"/>
                <w:szCs w:val="21"/>
                <w:lang w:eastAsia="zh-CN"/>
              </w:rPr>
              <w:t>）</w:t>
            </w:r>
          </w:p>
          <w:p w14:paraId="0482B1BB">
            <w:pPr>
              <w:pStyle w:val="381"/>
              <w:ind w:firstLine="31680"/>
              <w:rPr>
                <w:rFonts w:hint="default" w:ascii="Times New Roman" w:hAnsi="Times New Roman" w:cs="Times New Roman"/>
                <w:sz w:val="21"/>
                <w:szCs w:val="21"/>
                <w:highlight w:val="none"/>
              </w:rPr>
            </w:pPr>
            <w:r>
              <w:rPr>
                <w:rFonts w:hint="default" w:ascii="Times New Roman" w:hAnsi="Times New Roman" w:cs="Times New Roman"/>
                <w:sz w:val="21"/>
                <w:szCs w:val="21"/>
              </w:rPr>
              <w:t>本项目焊接过程主要使用</w:t>
            </w:r>
            <w:r>
              <w:rPr>
                <w:rFonts w:hint="default" w:ascii="Times New Roman" w:hAnsi="Times New Roman" w:cs="Times New Roman"/>
                <w:sz w:val="21"/>
                <w:szCs w:val="21"/>
                <w:lang w:eastAsia="zh-CN"/>
              </w:rPr>
              <w:t>焊接</w:t>
            </w:r>
            <w:r>
              <w:rPr>
                <w:rFonts w:hint="eastAsia" w:cs="Times New Roman"/>
                <w:sz w:val="21"/>
                <w:szCs w:val="21"/>
                <w:lang w:eastAsia="zh-CN"/>
              </w:rPr>
              <w:t>机械手</w:t>
            </w:r>
            <w:r>
              <w:rPr>
                <w:rFonts w:hint="default" w:ascii="Times New Roman" w:hAnsi="Times New Roman" w:cs="Times New Roman"/>
                <w:sz w:val="21"/>
                <w:szCs w:val="21"/>
                <w:lang w:eastAsia="zh-CN"/>
              </w:rPr>
              <w:t>、二保</w:t>
            </w:r>
            <w:r>
              <w:rPr>
                <w:rFonts w:hint="default" w:ascii="Times New Roman" w:hAnsi="Times New Roman" w:cs="Times New Roman"/>
                <w:sz w:val="21"/>
                <w:szCs w:val="21"/>
              </w:rPr>
              <w:t>焊机</w:t>
            </w:r>
            <w:r>
              <w:rPr>
                <w:rFonts w:hint="default" w:ascii="Times New Roman" w:hAnsi="Times New Roman" w:cs="Times New Roman"/>
                <w:sz w:val="21"/>
                <w:szCs w:val="21"/>
                <w:lang w:eastAsia="zh-CN"/>
              </w:rPr>
              <w:t>、</w:t>
            </w:r>
            <w:r>
              <w:rPr>
                <w:rFonts w:hint="eastAsia" w:cs="Times New Roman"/>
                <w:sz w:val="21"/>
                <w:szCs w:val="21"/>
                <w:lang w:eastAsia="zh-CN"/>
              </w:rPr>
              <w:t>埋弧焊、氩弧焊</w:t>
            </w:r>
            <w:r>
              <w:rPr>
                <w:rFonts w:hint="default" w:ascii="Times New Roman" w:hAnsi="Times New Roman" w:cs="Times New Roman"/>
                <w:sz w:val="21"/>
                <w:szCs w:val="21"/>
                <w:lang w:eastAsia="zh-CN"/>
              </w:rPr>
              <w:t>等</w:t>
            </w:r>
            <w:r>
              <w:rPr>
                <w:rFonts w:hint="default" w:ascii="Times New Roman" w:hAnsi="Times New Roman" w:cs="Times New Roman"/>
                <w:sz w:val="21"/>
                <w:szCs w:val="21"/>
              </w:rPr>
              <w:t>，</w:t>
            </w:r>
            <w:r>
              <w:rPr>
                <w:rFonts w:hint="eastAsia" w:cs="Times New Roman"/>
                <w:sz w:val="21"/>
                <w:szCs w:val="21"/>
                <w:lang w:eastAsia="zh-CN"/>
              </w:rPr>
              <w:t>焊接过程会产生焊接烟尘（颗粒物）。</w:t>
            </w:r>
          </w:p>
          <w:p w14:paraId="38F5317B">
            <w:pPr>
              <w:pStyle w:val="381"/>
              <w:ind w:firstLine="3168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根据《排放源统计调查产排污核算方法和系数手册-机械行业系数手册》，手工电弧焊和</w:t>
            </w:r>
            <w:r>
              <w:rPr>
                <w:rFonts w:hint="default" w:ascii="Times New Roman" w:hAnsi="Times New Roman" w:cs="Times New Roman"/>
                <w:sz w:val="21"/>
                <w:szCs w:val="21"/>
                <w:highlight w:val="none"/>
                <w:lang w:eastAsia="zh-CN"/>
              </w:rPr>
              <w:t>二氧化碳保护焊</w:t>
            </w:r>
            <w:r>
              <w:rPr>
                <w:rFonts w:hint="eastAsia" w:cs="Times New Roman"/>
                <w:sz w:val="21"/>
                <w:szCs w:val="21"/>
                <w:highlight w:val="none"/>
                <w:lang w:eastAsia="zh-CN"/>
              </w:rPr>
              <w:t>颗粒物</w:t>
            </w:r>
            <w:r>
              <w:rPr>
                <w:rFonts w:hint="default" w:ascii="Times New Roman" w:hAnsi="Times New Roman" w:cs="Times New Roman"/>
                <w:sz w:val="21"/>
                <w:szCs w:val="21"/>
                <w:highlight w:val="none"/>
              </w:rPr>
              <w:t>产污系数见表4-</w:t>
            </w:r>
            <w:r>
              <w:rPr>
                <w:rFonts w:hint="eastAsia" w:cs="Times New Roman"/>
                <w:sz w:val="21"/>
                <w:szCs w:val="21"/>
                <w:highlight w:val="none"/>
                <w:lang w:val="en-US" w:eastAsia="zh-CN"/>
              </w:rPr>
              <w:t>6</w:t>
            </w:r>
            <w:r>
              <w:rPr>
                <w:rFonts w:hint="default" w:ascii="Times New Roman" w:hAnsi="Times New Roman" w:cs="Times New Roman"/>
                <w:sz w:val="21"/>
                <w:szCs w:val="21"/>
                <w:highlight w:val="none"/>
              </w:rPr>
              <w:t>。</w:t>
            </w:r>
          </w:p>
          <w:p w14:paraId="7E05B6D6">
            <w:pPr>
              <w:pStyle w:val="1312"/>
              <w:adjustRightInd w:val="0"/>
              <w:snapToGrid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表4-</w:t>
            </w:r>
            <w:r>
              <w:rPr>
                <w:rFonts w:hint="eastAsia" w:ascii="Times New Roman" w:hAnsi="Times New Roman" w:eastAsia="宋体" w:cs="Times New Roman"/>
                <w:b/>
                <w:bCs/>
                <w:sz w:val="21"/>
                <w:szCs w:val="21"/>
                <w:lang w:val="en-US" w:eastAsia="zh-CN"/>
              </w:rPr>
              <w:t xml:space="preserve">6  </w:t>
            </w:r>
            <w:r>
              <w:rPr>
                <w:rFonts w:hint="default" w:ascii="Times New Roman" w:hAnsi="Times New Roman" w:eastAsia="宋体" w:cs="Times New Roman"/>
                <w:b/>
                <w:bCs/>
                <w:sz w:val="21"/>
                <w:szCs w:val="21"/>
              </w:rPr>
              <w:t>焊接过程产污系数</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3"/>
              <w:gridCol w:w="1095"/>
              <w:gridCol w:w="1095"/>
              <w:gridCol w:w="1405"/>
              <w:gridCol w:w="1887"/>
              <w:gridCol w:w="1873"/>
            </w:tblGrid>
            <w:tr w14:paraId="1101F0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tcBorders>
                    <w:top w:val="single" w:color="auto" w:sz="4" w:space="0"/>
                    <w:left w:val="single" w:color="auto" w:sz="4" w:space="0"/>
                    <w:bottom w:val="single" w:color="auto" w:sz="4" w:space="0"/>
                    <w:right w:val="single" w:color="auto" w:sz="4" w:space="0"/>
                  </w:tcBorders>
                  <w:vAlign w:val="center"/>
                </w:tcPr>
                <w:p w14:paraId="211E8E58">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工段</w:t>
                  </w:r>
                </w:p>
              </w:tc>
              <w:tc>
                <w:tcPr>
                  <w:tcW w:w="1095" w:type="dxa"/>
                  <w:tcBorders>
                    <w:top w:val="single" w:color="auto" w:sz="4" w:space="0"/>
                    <w:left w:val="single" w:color="auto" w:sz="4" w:space="0"/>
                    <w:bottom w:val="single" w:color="auto" w:sz="4" w:space="0"/>
                    <w:right w:val="single" w:color="auto" w:sz="4" w:space="0"/>
                  </w:tcBorders>
                  <w:vAlign w:val="center"/>
                </w:tcPr>
                <w:p w14:paraId="38E65882">
                  <w:pPr>
                    <w:spacing w:line="240" w:lineRule="exact"/>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产品名称</w:t>
                  </w:r>
                </w:p>
              </w:tc>
              <w:tc>
                <w:tcPr>
                  <w:tcW w:w="1095" w:type="dxa"/>
                  <w:tcBorders>
                    <w:top w:val="single" w:color="auto" w:sz="4" w:space="0"/>
                    <w:left w:val="single" w:color="auto" w:sz="4" w:space="0"/>
                    <w:bottom w:val="single" w:color="auto" w:sz="4" w:space="0"/>
                    <w:right w:val="single" w:color="auto" w:sz="4" w:space="0"/>
                  </w:tcBorders>
                  <w:vAlign w:val="center"/>
                </w:tcPr>
                <w:p w14:paraId="21670BB0">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原料名称</w:t>
                  </w:r>
                </w:p>
              </w:tc>
              <w:tc>
                <w:tcPr>
                  <w:tcW w:w="1405" w:type="dxa"/>
                  <w:tcBorders>
                    <w:top w:val="single" w:color="auto" w:sz="4" w:space="0"/>
                    <w:left w:val="single" w:color="auto" w:sz="4" w:space="0"/>
                    <w:bottom w:val="single" w:color="auto" w:sz="4" w:space="0"/>
                    <w:right w:val="single" w:color="auto" w:sz="4" w:space="0"/>
                  </w:tcBorders>
                  <w:vAlign w:val="center"/>
                </w:tcPr>
                <w:p w14:paraId="7D3010E5">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污染物</w:t>
                  </w:r>
                </w:p>
              </w:tc>
              <w:tc>
                <w:tcPr>
                  <w:tcW w:w="1887" w:type="dxa"/>
                  <w:tcBorders>
                    <w:top w:val="single" w:color="auto" w:sz="4" w:space="0"/>
                    <w:left w:val="single" w:color="auto" w:sz="4" w:space="0"/>
                    <w:bottom w:val="single" w:color="auto" w:sz="4" w:space="0"/>
                    <w:right w:val="single" w:color="auto" w:sz="4" w:space="0"/>
                  </w:tcBorders>
                  <w:vAlign w:val="center"/>
                </w:tcPr>
                <w:p w14:paraId="4F7BFD9C">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工艺名称</w:t>
                  </w:r>
                </w:p>
              </w:tc>
              <w:tc>
                <w:tcPr>
                  <w:tcW w:w="1873" w:type="dxa"/>
                  <w:tcBorders>
                    <w:top w:val="single" w:color="auto" w:sz="4" w:space="0"/>
                    <w:left w:val="single" w:color="auto" w:sz="4" w:space="0"/>
                    <w:bottom w:val="single" w:color="auto" w:sz="4" w:space="0"/>
                    <w:right w:val="single" w:color="auto" w:sz="4" w:space="0"/>
                  </w:tcBorders>
                  <w:vAlign w:val="center"/>
                </w:tcPr>
                <w:p w14:paraId="2F25380A">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产污系数</w:t>
                  </w:r>
                </w:p>
              </w:tc>
            </w:tr>
            <w:tr w14:paraId="4FEFE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restart"/>
                  <w:tcBorders>
                    <w:top w:val="single" w:color="auto" w:sz="4" w:space="0"/>
                    <w:left w:val="single" w:color="auto" w:sz="4" w:space="0"/>
                    <w:bottom w:val="single" w:color="auto" w:sz="4" w:space="0"/>
                    <w:right w:val="single" w:color="auto" w:sz="4" w:space="0"/>
                  </w:tcBorders>
                  <w:vAlign w:val="center"/>
                </w:tcPr>
                <w:p w14:paraId="580876E5">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焊接</w:t>
                  </w:r>
                </w:p>
              </w:tc>
              <w:tc>
                <w:tcPr>
                  <w:tcW w:w="1095" w:type="dxa"/>
                  <w:vMerge w:val="restart"/>
                  <w:tcBorders>
                    <w:top w:val="single" w:color="auto" w:sz="4" w:space="0"/>
                    <w:left w:val="single" w:color="auto" w:sz="4" w:space="0"/>
                    <w:right w:val="single" w:color="auto" w:sz="4" w:space="0"/>
                  </w:tcBorders>
                  <w:vAlign w:val="center"/>
                </w:tcPr>
                <w:p w14:paraId="6D7276E4">
                  <w:pPr>
                    <w:spacing w:line="240" w:lineRule="exact"/>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焊接件</w:t>
                  </w:r>
                </w:p>
              </w:tc>
              <w:tc>
                <w:tcPr>
                  <w:tcW w:w="1095" w:type="dxa"/>
                  <w:tcBorders>
                    <w:top w:val="single" w:color="auto" w:sz="4" w:space="0"/>
                    <w:left w:val="single" w:color="auto" w:sz="4" w:space="0"/>
                    <w:bottom w:val="single" w:color="auto" w:sz="4" w:space="0"/>
                    <w:right w:val="single" w:color="auto" w:sz="4" w:space="0"/>
                  </w:tcBorders>
                  <w:vAlign w:val="center"/>
                </w:tcPr>
                <w:p w14:paraId="0A2ED7E0">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焊条</w:t>
                  </w:r>
                </w:p>
              </w:tc>
              <w:tc>
                <w:tcPr>
                  <w:tcW w:w="1405" w:type="dxa"/>
                  <w:vMerge w:val="restart"/>
                  <w:tcBorders>
                    <w:top w:val="single" w:color="auto" w:sz="4" w:space="0"/>
                    <w:left w:val="single" w:color="auto" w:sz="4" w:space="0"/>
                    <w:bottom w:val="single" w:color="auto" w:sz="4" w:space="0"/>
                    <w:right w:val="single" w:color="auto" w:sz="4" w:space="0"/>
                  </w:tcBorders>
                  <w:vAlign w:val="center"/>
                </w:tcPr>
                <w:p w14:paraId="3C7588ED">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颗粒物</w:t>
                  </w:r>
                </w:p>
              </w:tc>
              <w:tc>
                <w:tcPr>
                  <w:tcW w:w="1887" w:type="dxa"/>
                  <w:tcBorders>
                    <w:top w:val="single" w:color="auto" w:sz="4" w:space="0"/>
                    <w:left w:val="single" w:color="auto" w:sz="4" w:space="0"/>
                    <w:bottom w:val="single" w:color="auto" w:sz="4" w:space="0"/>
                    <w:right w:val="single" w:color="auto" w:sz="4" w:space="0"/>
                  </w:tcBorders>
                  <w:vAlign w:val="center"/>
                </w:tcPr>
                <w:p w14:paraId="1C2C9228">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手工电弧焊</w:t>
                  </w:r>
                </w:p>
              </w:tc>
              <w:tc>
                <w:tcPr>
                  <w:tcW w:w="1873" w:type="dxa"/>
                  <w:tcBorders>
                    <w:top w:val="single" w:color="auto" w:sz="4" w:space="0"/>
                    <w:left w:val="single" w:color="auto" w:sz="4" w:space="0"/>
                    <w:bottom w:val="single" w:color="auto" w:sz="4" w:space="0"/>
                    <w:right w:val="single" w:color="auto" w:sz="4" w:space="0"/>
                  </w:tcBorders>
                  <w:vAlign w:val="center"/>
                </w:tcPr>
                <w:p w14:paraId="6E18E66D">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20.2kg/t-原料</w:t>
                  </w:r>
                </w:p>
              </w:tc>
            </w:tr>
            <w:tr w14:paraId="4BD7F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13" w:type="dxa"/>
                  <w:vMerge w:val="continue"/>
                  <w:tcBorders>
                    <w:top w:val="single" w:color="auto" w:sz="4" w:space="0"/>
                    <w:left w:val="single" w:color="auto" w:sz="4" w:space="0"/>
                    <w:bottom w:val="single" w:color="auto" w:sz="4" w:space="0"/>
                    <w:right w:val="single" w:color="auto" w:sz="4" w:space="0"/>
                  </w:tcBorders>
                  <w:vAlign w:val="center"/>
                </w:tcPr>
                <w:p w14:paraId="75136E74">
                  <w:pPr>
                    <w:spacing w:line="240" w:lineRule="exact"/>
                    <w:jc w:val="center"/>
                    <w:rPr>
                      <w:rFonts w:hint="default" w:ascii="Times New Roman" w:hAnsi="Times New Roman" w:cs="Times New Roman"/>
                      <w:sz w:val="18"/>
                      <w:szCs w:val="18"/>
                      <w:highlight w:val="none"/>
                    </w:rPr>
                  </w:pPr>
                </w:p>
              </w:tc>
              <w:tc>
                <w:tcPr>
                  <w:tcW w:w="1095" w:type="dxa"/>
                  <w:vMerge w:val="continue"/>
                  <w:tcBorders>
                    <w:left w:val="single" w:color="auto" w:sz="4" w:space="0"/>
                    <w:bottom w:val="single" w:color="auto" w:sz="4" w:space="0"/>
                    <w:right w:val="single" w:color="auto" w:sz="4" w:space="0"/>
                  </w:tcBorders>
                  <w:vAlign w:val="center"/>
                </w:tcPr>
                <w:p w14:paraId="2B127A8D">
                  <w:pPr>
                    <w:spacing w:line="240" w:lineRule="exact"/>
                    <w:jc w:val="center"/>
                    <w:rPr>
                      <w:rFonts w:hint="default" w:ascii="Times New Roman" w:hAnsi="Times New Roman" w:cs="Times New Roman"/>
                      <w:sz w:val="18"/>
                      <w:szCs w:val="18"/>
                      <w:highlight w:val="none"/>
                      <w:lang w:eastAsia="zh-CN"/>
                    </w:rPr>
                  </w:pPr>
                </w:p>
              </w:tc>
              <w:tc>
                <w:tcPr>
                  <w:tcW w:w="1095" w:type="dxa"/>
                  <w:tcBorders>
                    <w:top w:val="single" w:color="auto" w:sz="4" w:space="0"/>
                    <w:left w:val="single" w:color="auto" w:sz="4" w:space="0"/>
                    <w:bottom w:val="single" w:color="auto" w:sz="4" w:space="0"/>
                    <w:right w:val="single" w:color="auto" w:sz="4" w:space="0"/>
                  </w:tcBorders>
                  <w:vAlign w:val="center"/>
                </w:tcPr>
                <w:p w14:paraId="62D3C909">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lang w:eastAsia="zh-CN"/>
                    </w:rPr>
                    <w:t>药芯</w:t>
                  </w:r>
                  <w:r>
                    <w:rPr>
                      <w:rFonts w:hint="default" w:ascii="Times New Roman" w:hAnsi="Times New Roman" w:cs="Times New Roman"/>
                      <w:sz w:val="18"/>
                      <w:szCs w:val="18"/>
                      <w:highlight w:val="none"/>
                    </w:rPr>
                    <w:t>焊丝</w:t>
                  </w:r>
                </w:p>
              </w:tc>
              <w:tc>
                <w:tcPr>
                  <w:tcW w:w="1405" w:type="dxa"/>
                  <w:vMerge w:val="continue"/>
                  <w:tcBorders>
                    <w:top w:val="single" w:color="auto" w:sz="4" w:space="0"/>
                    <w:left w:val="single" w:color="auto" w:sz="4" w:space="0"/>
                    <w:bottom w:val="single" w:color="auto" w:sz="4" w:space="0"/>
                    <w:right w:val="single" w:color="auto" w:sz="4" w:space="0"/>
                  </w:tcBorders>
                  <w:vAlign w:val="center"/>
                </w:tcPr>
                <w:p w14:paraId="023C8FCE">
                  <w:pPr>
                    <w:spacing w:line="240" w:lineRule="exact"/>
                    <w:jc w:val="center"/>
                    <w:rPr>
                      <w:rFonts w:hint="default" w:ascii="Times New Roman" w:hAnsi="Times New Roman" w:cs="Times New Roman"/>
                      <w:sz w:val="18"/>
                      <w:szCs w:val="18"/>
                      <w:highlight w:val="none"/>
                    </w:rPr>
                  </w:pPr>
                </w:p>
              </w:tc>
              <w:tc>
                <w:tcPr>
                  <w:tcW w:w="1887" w:type="dxa"/>
                  <w:tcBorders>
                    <w:top w:val="single" w:color="auto" w:sz="4" w:space="0"/>
                    <w:left w:val="single" w:color="auto" w:sz="4" w:space="0"/>
                    <w:bottom w:val="single" w:color="auto" w:sz="4" w:space="0"/>
                    <w:right w:val="single" w:color="auto" w:sz="4" w:space="0"/>
                  </w:tcBorders>
                  <w:vAlign w:val="center"/>
                </w:tcPr>
                <w:p w14:paraId="06B094BD">
                  <w:pPr>
                    <w:keepNext w:val="0"/>
                    <w:keepLines w:val="0"/>
                    <w:widowControl/>
                    <w:suppressLineNumbers w:val="0"/>
                    <w:jc w:val="center"/>
                  </w:pPr>
                  <w:r>
                    <w:rPr>
                      <w:rFonts w:hint="eastAsia" w:ascii="宋体" w:hAnsi="宋体" w:eastAsia="宋体" w:cs="宋体"/>
                      <w:color w:val="000000"/>
                      <w:kern w:val="0"/>
                      <w:sz w:val="19"/>
                      <w:szCs w:val="19"/>
                      <w:lang w:val="en-US" w:eastAsia="zh-CN" w:bidi="ar"/>
                    </w:rPr>
                    <w:t>二氧化碳保护焊、</w:t>
                  </w:r>
                </w:p>
                <w:p w14:paraId="5E79947E">
                  <w:pPr>
                    <w:keepNext w:val="0"/>
                    <w:keepLines w:val="0"/>
                    <w:widowControl/>
                    <w:suppressLineNumbers w:val="0"/>
                    <w:jc w:val="center"/>
                    <w:rPr>
                      <w:rFonts w:hint="default" w:ascii="Times New Roman" w:hAnsi="Times New Roman" w:cs="Times New Roman"/>
                      <w:sz w:val="18"/>
                      <w:szCs w:val="18"/>
                      <w:highlight w:val="none"/>
                    </w:rPr>
                  </w:pPr>
                  <w:r>
                    <w:rPr>
                      <w:rFonts w:hint="eastAsia" w:ascii="宋体" w:hAnsi="宋体" w:eastAsia="宋体" w:cs="宋体"/>
                      <w:color w:val="000000"/>
                      <w:kern w:val="0"/>
                      <w:sz w:val="19"/>
                      <w:szCs w:val="19"/>
                      <w:lang w:val="en-US" w:eastAsia="zh-CN" w:bidi="ar"/>
                    </w:rPr>
                    <w:t>埋弧焊、氩弧焊</w:t>
                  </w:r>
                </w:p>
              </w:tc>
              <w:tc>
                <w:tcPr>
                  <w:tcW w:w="1873" w:type="dxa"/>
                  <w:tcBorders>
                    <w:top w:val="single" w:color="auto" w:sz="4" w:space="0"/>
                    <w:left w:val="single" w:color="auto" w:sz="4" w:space="0"/>
                    <w:bottom w:val="single" w:color="auto" w:sz="4" w:space="0"/>
                    <w:right w:val="single" w:color="auto" w:sz="4" w:space="0"/>
                  </w:tcBorders>
                  <w:vAlign w:val="center"/>
                </w:tcPr>
                <w:p w14:paraId="414E6D95">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lang w:val="en-US" w:eastAsia="zh-CN"/>
                    </w:rPr>
                    <w:t>20.5</w:t>
                  </w:r>
                  <w:r>
                    <w:rPr>
                      <w:rFonts w:hint="default" w:ascii="Times New Roman" w:hAnsi="Times New Roman" w:cs="Times New Roman"/>
                      <w:sz w:val="18"/>
                      <w:szCs w:val="18"/>
                      <w:highlight w:val="none"/>
                    </w:rPr>
                    <w:t>kg/t-原料</w:t>
                  </w:r>
                </w:p>
              </w:tc>
            </w:tr>
          </w:tbl>
          <w:p w14:paraId="420122FE">
            <w:pPr>
              <w:pStyle w:val="381"/>
              <w:ind w:firstLine="31680"/>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rPr>
              <w:t>本</w:t>
            </w:r>
            <w:r>
              <w:rPr>
                <w:rFonts w:hint="default" w:ascii="Times New Roman" w:hAnsi="Times New Roman" w:cs="Times New Roman"/>
                <w:sz w:val="21"/>
                <w:szCs w:val="21"/>
                <w:highlight w:val="none"/>
              </w:rPr>
              <w:t>项目使用焊丝</w:t>
            </w:r>
            <w:r>
              <w:rPr>
                <w:rFonts w:hint="eastAsia" w:cs="Times New Roman"/>
                <w:sz w:val="21"/>
                <w:szCs w:val="21"/>
                <w:highlight w:val="none"/>
                <w:lang w:val="en-US" w:eastAsia="zh-CN"/>
              </w:rPr>
              <w:t>6</w:t>
            </w:r>
            <w:r>
              <w:rPr>
                <w:rFonts w:hint="default" w:ascii="Times New Roman" w:hAnsi="Times New Roman" w:cs="Times New Roman"/>
                <w:sz w:val="21"/>
                <w:szCs w:val="21"/>
                <w:highlight w:val="none"/>
              </w:rPr>
              <w:t>t</w:t>
            </w:r>
            <w:r>
              <w:rPr>
                <w:rFonts w:hint="eastAsia" w:cs="Times New Roman"/>
                <w:sz w:val="21"/>
                <w:szCs w:val="21"/>
                <w:highlight w:val="none"/>
                <w:lang w:val="en-US" w:eastAsia="zh-CN"/>
              </w:rPr>
              <w:t>/a</w:t>
            </w:r>
            <w:r>
              <w:rPr>
                <w:rFonts w:hint="default" w:ascii="Times New Roman" w:hAnsi="Times New Roman" w:cs="Times New Roman"/>
                <w:sz w:val="21"/>
                <w:szCs w:val="21"/>
                <w:highlight w:val="none"/>
              </w:rPr>
              <w:t>，焊条</w:t>
            </w:r>
            <w:r>
              <w:rPr>
                <w:rFonts w:hint="default"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t</w:t>
            </w:r>
            <w:r>
              <w:rPr>
                <w:rFonts w:hint="eastAsia" w:cs="Times New Roman"/>
                <w:sz w:val="21"/>
                <w:szCs w:val="21"/>
                <w:highlight w:val="none"/>
                <w:lang w:val="en-US" w:eastAsia="zh-CN"/>
              </w:rPr>
              <w:t>/a</w:t>
            </w:r>
            <w:r>
              <w:rPr>
                <w:rFonts w:hint="eastAsia" w:cs="Times New Roman"/>
                <w:sz w:val="21"/>
                <w:szCs w:val="21"/>
                <w:highlight w:val="none"/>
                <w:lang w:eastAsia="zh-CN"/>
              </w:rPr>
              <w:t>，焊接工序颗粒物产生量为</w:t>
            </w:r>
            <w:r>
              <w:rPr>
                <w:rFonts w:hint="eastAsia" w:cs="Times New Roman"/>
                <w:sz w:val="21"/>
                <w:szCs w:val="21"/>
                <w:highlight w:val="none"/>
                <w:lang w:val="en-US" w:eastAsia="zh-CN"/>
              </w:rPr>
              <w:t>0.224t/a。</w:t>
            </w:r>
          </w:p>
          <w:p w14:paraId="3C09A388">
            <w:pPr>
              <w:pStyle w:val="381"/>
              <w:ind w:firstLine="31680"/>
              <w:rPr>
                <w:rFonts w:hint="default" w:ascii="Times New Roman" w:hAnsi="Times New Roman" w:eastAsia="宋体" w:cs="Times New Roman"/>
                <w:sz w:val="21"/>
                <w:szCs w:val="21"/>
                <w:lang w:val="en-US" w:eastAsia="zh-CN"/>
              </w:rPr>
            </w:pPr>
            <w:r>
              <w:rPr>
                <w:rFonts w:hint="eastAsia" w:cs="Times New Roman"/>
                <w:sz w:val="21"/>
                <w:szCs w:val="21"/>
                <w:lang w:eastAsia="zh-CN"/>
              </w:rPr>
              <w:t>（</w:t>
            </w:r>
            <w:r>
              <w:rPr>
                <w:rFonts w:hint="eastAsia" w:cs="Times New Roman"/>
                <w:sz w:val="21"/>
                <w:szCs w:val="21"/>
                <w:lang w:val="en-US" w:eastAsia="zh-CN"/>
              </w:rPr>
              <w:t>5</w:t>
            </w:r>
            <w:r>
              <w:rPr>
                <w:rFonts w:hint="eastAsia" w:cs="Times New Roman"/>
                <w:sz w:val="21"/>
                <w:szCs w:val="21"/>
                <w:lang w:eastAsia="zh-CN"/>
              </w:rPr>
              <w:t>）</w:t>
            </w:r>
            <w:r>
              <w:rPr>
                <w:rFonts w:hint="eastAsia" w:cs="Times New Roman"/>
                <w:bCs/>
                <w:color w:val="auto"/>
                <w:sz w:val="21"/>
                <w:szCs w:val="21"/>
                <w:lang w:eastAsia="zh-CN"/>
              </w:rPr>
              <w:t>玻璃钢缠绕罐原料投料、缠绕成型、</w:t>
            </w:r>
            <w:r>
              <w:rPr>
                <w:rFonts w:hint="eastAsia" w:cs="Times New Roman"/>
                <w:b w:val="0"/>
                <w:bCs w:val="0"/>
                <w:kern w:val="2"/>
                <w:sz w:val="21"/>
                <w:szCs w:val="21"/>
                <w:lang w:val="en-US" w:eastAsia="zh-CN" w:bidi="ar-SA"/>
              </w:rPr>
              <w:t>常温固化、原料装模、组装、粘接工序产生的</w:t>
            </w:r>
            <w:r>
              <w:rPr>
                <w:rFonts w:hint="eastAsia" w:ascii="Times New Roman" w:hAnsi="Times New Roman" w:cs="Times New Roman"/>
                <w:b w:val="0"/>
                <w:bCs w:val="0"/>
                <w:kern w:val="2"/>
                <w:sz w:val="21"/>
                <w:szCs w:val="21"/>
                <w:lang w:val="en-US" w:eastAsia="zh-CN" w:bidi="ar-SA"/>
              </w:rPr>
              <w:t>VOCs、苯乙烯</w:t>
            </w:r>
            <w:r>
              <w:rPr>
                <w:rFonts w:hint="eastAsia" w:cs="Times New Roman"/>
                <w:b w:val="0"/>
                <w:bCs w:val="0"/>
                <w:kern w:val="2"/>
                <w:sz w:val="21"/>
                <w:szCs w:val="21"/>
                <w:lang w:val="en-US" w:eastAsia="zh-CN" w:bidi="ar-SA"/>
              </w:rPr>
              <w:t>、臭气浓度</w:t>
            </w:r>
            <w:r>
              <w:rPr>
                <w:rFonts w:hint="eastAsia" w:ascii="Times New Roman" w:hAnsi="Times New Roman" w:cs="Times New Roman"/>
                <w:b w:val="0"/>
                <w:bCs w:val="0"/>
                <w:kern w:val="2"/>
                <w:sz w:val="21"/>
                <w:szCs w:val="21"/>
                <w:lang w:val="en-US" w:eastAsia="zh-CN" w:bidi="ar-SA"/>
              </w:rPr>
              <w:t>（</w:t>
            </w:r>
            <w:r>
              <w:rPr>
                <w:rFonts w:hint="eastAsia" w:cs="Times New Roman"/>
                <w:b w:val="0"/>
                <w:bCs w:val="0"/>
                <w:kern w:val="2"/>
                <w:sz w:val="21"/>
                <w:szCs w:val="21"/>
                <w:lang w:val="en-US" w:eastAsia="zh-CN" w:bidi="ar-SA"/>
              </w:rPr>
              <w:t>G5、</w:t>
            </w:r>
            <w:r>
              <w:rPr>
                <w:rFonts w:hint="eastAsia" w:ascii="Times New Roman" w:hAnsi="Times New Roman" w:cs="Times New Roman"/>
                <w:b w:val="0"/>
                <w:bCs w:val="0"/>
                <w:kern w:val="2"/>
                <w:sz w:val="21"/>
                <w:szCs w:val="21"/>
                <w:lang w:val="en-US" w:eastAsia="zh-CN" w:bidi="ar-SA"/>
              </w:rPr>
              <w:t>G6</w:t>
            </w:r>
            <w:r>
              <w:rPr>
                <w:rFonts w:hint="eastAsia" w:cs="Times New Roman"/>
                <w:b w:val="0"/>
                <w:bCs w:val="0"/>
                <w:kern w:val="2"/>
                <w:sz w:val="21"/>
                <w:szCs w:val="21"/>
                <w:lang w:val="en-US" w:eastAsia="zh-CN" w:bidi="ar-SA"/>
              </w:rPr>
              <w:t>、</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7、</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8.1-G8.3、</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9.1、G9.2</w:t>
            </w:r>
            <w:r>
              <w:rPr>
                <w:rFonts w:hint="eastAsia" w:ascii="Times New Roman" w:hAnsi="Times New Roman" w:cs="Times New Roman"/>
                <w:b w:val="0"/>
                <w:bCs w:val="0"/>
                <w:kern w:val="2"/>
                <w:sz w:val="21"/>
                <w:szCs w:val="21"/>
                <w:lang w:val="en-US" w:eastAsia="zh-CN" w:bidi="ar-SA"/>
              </w:rPr>
              <w:t>）</w:t>
            </w:r>
          </w:p>
          <w:p w14:paraId="076E990E">
            <w:pPr>
              <w:adjustRightInd w:val="0"/>
              <w:snapToGrid w:val="0"/>
              <w:spacing w:line="360" w:lineRule="auto"/>
              <w:ind w:firstLine="420" w:firstLineChars="200"/>
              <w:rPr>
                <w:rFonts w:hint="eastAsia"/>
                <w:bCs/>
                <w:szCs w:val="21"/>
              </w:rPr>
            </w:pPr>
            <w:r>
              <w:rPr>
                <w:rFonts w:hint="default" w:ascii="Times New Roman" w:hAnsi="Times New Roman" w:cs="Times New Roman"/>
                <w:sz w:val="21"/>
                <w:szCs w:val="21"/>
              </w:rPr>
              <w:t>本项目</w:t>
            </w:r>
            <w:r>
              <w:rPr>
                <w:rFonts w:hint="eastAsia" w:cs="Times New Roman"/>
                <w:sz w:val="21"/>
                <w:szCs w:val="21"/>
                <w:lang w:eastAsia="zh-CN"/>
              </w:rPr>
              <w:t>玻璃钢缠绕罐生产过程使用玻璃纤维、玻璃丝布及不饱和聚酯树脂</w:t>
            </w:r>
            <w:r>
              <w:rPr>
                <w:rFonts w:hint="default" w:ascii="Times New Roman" w:hAnsi="Times New Roman" w:cs="Times New Roman"/>
                <w:sz w:val="21"/>
                <w:szCs w:val="21"/>
                <w:lang w:eastAsia="zh-CN"/>
              </w:rPr>
              <w:t>，</w:t>
            </w:r>
            <w:r>
              <w:rPr>
                <w:rFonts w:hint="eastAsia" w:cs="Times New Roman"/>
                <w:bCs/>
                <w:color w:val="auto"/>
                <w:sz w:val="21"/>
                <w:szCs w:val="21"/>
                <w:lang w:eastAsia="zh-CN"/>
              </w:rPr>
              <w:t>原料投料、缠绕成型、</w:t>
            </w:r>
            <w:r>
              <w:rPr>
                <w:rFonts w:hint="eastAsia" w:cs="Times New Roman"/>
                <w:b w:val="0"/>
                <w:bCs w:val="0"/>
                <w:kern w:val="2"/>
                <w:sz w:val="21"/>
                <w:szCs w:val="21"/>
                <w:lang w:val="en-US" w:eastAsia="zh-CN" w:bidi="ar-SA"/>
              </w:rPr>
              <w:t>常温固化、原料装模、组装、粘接工序会产生</w:t>
            </w:r>
            <w:r>
              <w:rPr>
                <w:rFonts w:hint="eastAsia" w:ascii="Times New Roman" w:hAnsi="Times New Roman" w:cs="Times New Roman"/>
                <w:b w:val="0"/>
                <w:bCs w:val="0"/>
                <w:kern w:val="2"/>
                <w:sz w:val="21"/>
                <w:szCs w:val="21"/>
                <w:lang w:val="en-US" w:eastAsia="zh-CN" w:bidi="ar-SA"/>
              </w:rPr>
              <w:t>VOCs、苯乙烯</w:t>
            </w:r>
            <w:r>
              <w:rPr>
                <w:rFonts w:hint="eastAsia" w:cs="Times New Roman"/>
                <w:b w:val="0"/>
                <w:bCs w:val="0"/>
                <w:kern w:val="2"/>
                <w:sz w:val="21"/>
                <w:szCs w:val="21"/>
                <w:lang w:val="en-US" w:eastAsia="zh-CN" w:bidi="ar-SA"/>
              </w:rPr>
              <w:t>。</w:t>
            </w:r>
            <w:r>
              <w:rPr>
                <w:rFonts w:hint="eastAsia"/>
                <w:bCs/>
                <w:szCs w:val="21"/>
              </w:rPr>
              <w:t>本项目所用的树脂主要</w:t>
            </w:r>
            <w:r>
              <w:rPr>
                <w:rFonts w:hint="eastAsia"/>
                <w:bCs/>
                <w:szCs w:val="21"/>
                <w:lang w:eastAsia="zh-CN"/>
              </w:rPr>
              <w:t>成分</w:t>
            </w:r>
            <w:r>
              <w:rPr>
                <w:rFonts w:hint="eastAsia"/>
                <w:bCs/>
                <w:szCs w:val="21"/>
              </w:rPr>
              <w:t>为不饱和</w:t>
            </w:r>
            <w:r>
              <w:rPr>
                <w:rFonts w:hint="eastAsia"/>
                <w:bCs/>
                <w:szCs w:val="21"/>
                <w:lang w:eastAsia="zh-CN"/>
              </w:rPr>
              <w:t>聚酯</w:t>
            </w:r>
            <w:r>
              <w:rPr>
                <w:rFonts w:hint="eastAsia"/>
                <w:bCs/>
                <w:szCs w:val="21"/>
              </w:rPr>
              <w:t>树脂和苯乙烯，根据建设单位提供的MSDS，所用不饱和树脂的主要成分：</w:t>
            </w:r>
            <w:r>
              <w:rPr>
                <w:rFonts w:hint="eastAsia"/>
                <w:szCs w:val="21"/>
              </w:rPr>
              <w:t>聚酯树脂含量为70~80%，苯乙烯的含量为20%~30%。</w:t>
            </w:r>
            <w:r>
              <w:rPr>
                <w:rFonts w:hint="eastAsia"/>
                <w:bCs/>
                <w:szCs w:val="21"/>
              </w:rPr>
              <w:t>根据《苯乙烯在玻璃钢行业中的影响》（产业发展，杨文静），苯乙烯在树脂中的作用为稀释剂和交联剂。</w:t>
            </w:r>
          </w:p>
          <w:p w14:paraId="5A1395D9">
            <w:pPr>
              <w:adjustRightInd w:val="0"/>
              <w:snapToGrid w:val="0"/>
              <w:spacing w:line="360" w:lineRule="auto"/>
              <w:ind w:firstLine="420" w:firstLineChars="200"/>
              <w:rPr>
                <w:rFonts w:hint="eastAsia"/>
                <w:bCs/>
                <w:szCs w:val="21"/>
              </w:rPr>
            </w:pPr>
            <w:r>
              <w:rPr>
                <w:rFonts w:hint="eastAsia"/>
                <w:bCs/>
                <w:szCs w:val="21"/>
              </w:rPr>
              <w:t>本项目不饱和</w:t>
            </w:r>
            <w:r>
              <w:rPr>
                <w:rFonts w:hint="eastAsia"/>
                <w:bCs/>
                <w:szCs w:val="21"/>
                <w:lang w:eastAsia="zh-CN"/>
              </w:rPr>
              <w:t>聚酯</w:t>
            </w:r>
            <w:r>
              <w:rPr>
                <w:rFonts w:hint="eastAsia"/>
                <w:bCs/>
                <w:szCs w:val="21"/>
              </w:rPr>
              <w:t>树脂用量为</w:t>
            </w:r>
            <w:r>
              <w:rPr>
                <w:rFonts w:hint="eastAsia"/>
                <w:bCs/>
                <w:szCs w:val="21"/>
                <w:lang w:val="en-US" w:eastAsia="zh-CN"/>
              </w:rPr>
              <w:t>3</w:t>
            </w:r>
            <w:r>
              <w:rPr>
                <w:rFonts w:hint="eastAsia"/>
                <w:bCs/>
                <w:szCs w:val="21"/>
              </w:rPr>
              <w:t>0t/a，苯乙烯含量按照25%计算，则苯乙烯总含量为</w:t>
            </w:r>
            <w:r>
              <w:rPr>
                <w:rFonts w:hint="eastAsia"/>
                <w:bCs/>
                <w:szCs w:val="21"/>
                <w:lang w:val="en-US" w:eastAsia="zh-CN"/>
              </w:rPr>
              <w:t>7.5</w:t>
            </w:r>
            <w:r>
              <w:rPr>
                <w:rFonts w:hint="eastAsia"/>
                <w:bCs/>
                <w:szCs w:val="21"/>
              </w:rPr>
              <w:t>t，根据《新型不饱和树脂苯乙烯挥发性能研究》（张衍，陈锋，刘力，文章编号1003-0999（2010）06-0030-05），普通不饱和树脂在常温下固化过程中苯乙烯挥发量约为5.71%，其余苯乙烯作为交联剂固化时与树脂分子中的不饱和双键共聚进入产品中。计算得到苯乙烯挥发量为</w:t>
            </w:r>
            <w:r>
              <w:rPr>
                <w:rFonts w:hint="eastAsia"/>
                <w:bCs/>
                <w:szCs w:val="21"/>
                <w:lang w:val="en-US" w:eastAsia="zh-CN"/>
              </w:rPr>
              <w:t>0.428t</w:t>
            </w:r>
            <w:r>
              <w:rPr>
                <w:rFonts w:hint="eastAsia"/>
                <w:bCs/>
                <w:szCs w:val="21"/>
              </w:rPr>
              <w:t>/a。类比同类项目，废气中苯乙烯含量约占非甲烷总烃95%，因此非甲烷总烃产生量为</w:t>
            </w:r>
            <w:r>
              <w:rPr>
                <w:rFonts w:hint="eastAsia"/>
                <w:bCs/>
                <w:szCs w:val="21"/>
                <w:lang w:val="en-US" w:eastAsia="zh-CN"/>
              </w:rPr>
              <w:t>0.451</w:t>
            </w:r>
            <w:r>
              <w:rPr>
                <w:rFonts w:hint="eastAsia"/>
                <w:bCs/>
                <w:szCs w:val="21"/>
              </w:rPr>
              <w:t>t/a。</w:t>
            </w:r>
          </w:p>
          <w:p w14:paraId="243FD0A1">
            <w:pPr>
              <w:adjustRightInd w:val="0"/>
              <w:snapToGrid w:val="0"/>
              <w:spacing w:line="360" w:lineRule="auto"/>
              <w:ind w:firstLine="420" w:firstLineChars="200"/>
              <w:rPr>
                <w:rFonts w:hint="eastAsia" w:eastAsia="宋体"/>
                <w:bCs/>
                <w:szCs w:val="21"/>
                <w:lang w:eastAsia="zh-CN"/>
              </w:rPr>
            </w:pPr>
            <w:r>
              <w:rPr>
                <w:rFonts w:hint="eastAsia"/>
                <w:bCs/>
                <w:szCs w:val="21"/>
                <w:lang w:eastAsia="zh-CN"/>
              </w:rPr>
              <w:t>（</w:t>
            </w:r>
            <w:r>
              <w:rPr>
                <w:rFonts w:hint="eastAsia"/>
                <w:bCs/>
                <w:szCs w:val="21"/>
                <w:lang w:val="en-US" w:eastAsia="zh-CN"/>
              </w:rPr>
              <w:t>6</w:t>
            </w:r>
            <w:r>
              <w:rPr>
                <w:rFonts w:hint="eastAsia"/>
                <w:bCs/>
                <w:szCs w:val="21"/>
                <w:lang w:eastAsia="zh-CN"/>
              </w:rPr>
              <w:t>）</w:t>
            </w:r>
            <w:r>
              <w:rPr>
                <w:rFonts w:hint="eastAsia" w:cs="Times New Roman"/>
                <w:b w:val="0"/>
                <w:bCs w:val="0"/>
                <w:kern w:val="2"/>
                <w:sz w:val="21"/>
                <w:szCs w:val="21"/>
                <w:lang w:val="en-US" w:eastAsia="zh-CN" w:bidi="ar-SA"/>
              </w:rPr>
              <w:t>PPH缠绕罐加热熔融、缠绕成型、常温固化、人工装模、组装、粘接工序产生的VOCs（</w:t>
            </w:r>
            <w:r>
              <w:rPr>
                <w:rFonts w:hint="eastAsia" w:ascii="Times New Roman" w:hAnsi="Times New Roman" w:cs="Times New Roman"/>
                <w:b w:val="0"/>
                <w:bCs w:val="0"/>
                <w:kern w:val="2"/>
                <w:sz w:val="21"/>
                <w:szCs w:val="21"/>
                <w:lang w:val="en-US" w:eastAsia="zh-CN" w:bidi="ar-SA"/>
              </w:rPr>
              <w:t>G</w:t>
            </w:r>
            <w:r>
              <w:rPr>
                <w:rFonts w:hint="eastAsia" w:cs="Times New Roman"/>
                <w:b w:val="0"/>
                <w:bCs w:val="0"/>
                <w:kern w:val="2"/>
                <w:sz w:val="21"/>
                <w:szCs w:val="21"/>
                <w:lang w:val="en-US" w:eastAsia="zh-CN" w:bidi="ar-SA"/>
              </w:rPr>
              <w:t>11、G12、G13.1-G13.3、G14.1、G14.2、G15）</w:t>
            </w:r>
          </w:p>
          <w:p w14:paraId="5464D9C5">
            <w:pPr>
              <w:pStyle w:val="381"/>
              <w:ind w:firstLine="422"/>
              <w:rPr>
                <w:rFonts w:hint="eastAsia" w:cs="Times New Roman"/>
                <w:b w:val="0"/>
                <w:bCs w:val="0"/>
                <w:kern w:val="2"/>
                <w:sz w:val="21"/>
                <w:szCs w:val="21"/>
                <w:lang w:val="en-US" w:eastAsia="zh-CN" w:bidi="ar-SA"/>
              </w:rPr>
            </w:pPr>
            <w:r>
              <w:rPr>
                <w:rFonts w:hint="eastAsia" w:cs="Times New Roman"/>
                <w:b w:val="0"/>
                <w:bCs w:val="0"/>
                <w:kern w:val="2"/>
                <w:sz w:val="21"/>
                <w:szCs w:val="21"/>
                <w:lang w:val="en-US" w:eastAsia="zh-CN" w:bidi="ar-SA"/>
              </w:rPr>
              <w:t>PPH缠绕罐生产过程使用PP颗粒作为原料，加热熔融、缠绕成型、常温固化、人工装模、组装、粘接工序会产生VOCs。</w:t>
            </w:r>
          </w:p>
          <w:p w14:paraId="67CB56BB">
            <w:pPr>
              <w:pStyle w:val="381"/>
              <w:ind w:firstLine="422"/>
              <w:rPr>
                <w:rFonts w:hint="default"/>
                <w:b w:val="0"/>
                <w:bCs w:val="0"/>
                <w:sz w:val="21"/>
                <w:lang w:val="en-US" w:eastAsia="zh-CN"/>
              </w:rPr>
            </w:pPr>
            <w:r>
              <w:rPr>
                <w:rFonts w:hint="eastAsia" w:cs="Times New Roman"/>
                <w:sz w:val="21"/>
                <w:szCs w:val="21"/>
                <w:lang w:val="en-US" w:eastAsia="zh-CN"/>
              </w:rPr>
              <w:t>根据《排放源统计调查产排污核算方法和系数手册》“292塑料制品业系数手册”，“塑料包装箱及容器-配料-混合-挤出/注（吹）塑”，VOCs产生量为2.7kg/t产品。PPH缠绕罐年产量约30t/a，</w:t>
            </w:r>
            <w:r>
              <w:rPr>
                <w:rFonts w:hint="eastAsia" w:cs="Times New Roman"/>
                <w:b w:val="0"/>
                <w:bCs w:val="0"/>
                <w:kern w:val="2"/>
                <w:sz w:val="21"/>
                <w:szCs w:val="21"/>
                <w:lang w:val="en-US" w:eastAsia="zh-CN" w:bidi="ar-SA"/>
              </w:rPr>
              <w:t>PH缠绕罐加热熔融、缠绕成型、常温固化、人工装模、组装、粘接工序</w:t>
            </w:r>
            <w:r>
              <w:rPr>
                <w:rFonts w:hint="eastAsia" w:cs="Times New Roman"/>
                <w:sz w:val="21"/>
                <w:szCs w:val="21"/>
                <w:lang w:val="en-US" w:eastAsia="zh-CN"/>
              </w:rPr>
              <w:t>VOCs产生量为0.081t/a。</w:t>
            </w:r>
          </w:p>
          <w:p w14:paraId="073DB291">
            <w:pPr>
              <w:pStyle w:val="381"/>
              <w:ind w:firstLine="422"/>
              <w:rPr>
                <w:rFonts w:hint="eastAsia" w:cs="Times New Roman"/>
                <w:b w:val="0"/>
                <w:bCs w:val="0"/>
                <w:kern w:val="2"/>
                <w:sz w:val="21"/>
                <w:szCs w:val="21"/>
                <w:lang w:val="en-US" w:eastAsia="zh-CN" w:bidi="ar-SA"/>
              </w:rPr>
            </w:pPr>
            <w:r>
              <w:rPr>
                <w:rFonts w:hint="eastAsia"/>
                <w:b w:val="0"/>
                <w:bCs w:val="0"/>
                <w:sz w:val="21"/>
                <w:lang w:val="en-US" w:eastAsia="zh-CN"/>
              </w:rPr>
              <w:t>（7）</w:t>
            </w: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PPH缠绕罐开孔过程产生的颗粒物（G10.1、G10.2）</w:t>
            </w:r>
          </w:p>
          <w:p w14:paraId="20A55B75">
            <w:pPr>
              <w:pStyle w:val="1312"/>
              <w:adjustRightInd w:val="0"/>
              <w:snapToGrid w:val="0"/>
              <w:ind w:firstLine="420" w:firstLineChars="200"/>
              <w:jc w:val="left"/>
              <w:rPr>
                <w:rFonts w:hint="eastAsia" w:ascii="Times New Roman" w:hAnsi="Times New Roman" w:eastAsia="宋体"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玻璃钢缠绕罐、PPH缠绕罐开孔时使用手持式切割机，切割过程会有颗粒物产生。</w:t>
            </w:r>
            <w:r>
              <w:rPr>
                <w:rFonts w:hint="default" w:ascii="Times New Roman" w:hAnsi="Times New Roman" w:eastAsia="宋体" w:cs="Times New Roman"/>
                <w:b w:val="0"/>
                <w:bCs w:val="0"/>
                <w:kern w:val="2"/>
                <w:sz w:val="21"/>
                <w:szCs w:val="21"/>
                <w:lang w:val="en-US" w:eastAsia="zh-CN" w:bidi="ar-SA"/>
              </w:rPr>
              <w:t>根据《排放源统计调查产排污核算方法和系数手册-机械行业系数手册》</w:t>
            </w:r>
            <w:r>
              <w:rPr>
                <w:rFonts w:hint="eastAsia" w:ascii="Times New Roman" w:hAnsi="Times New Roman" w:eastAsia="宋体" w:cs="Times New Roman"/>
                <w:b w:val="0"/>
                <w:bCs w:val="0"/>
                <w:kern w:val="2"/>
                <w:sz w:val="21"/>
                <w:szCs w:val="21"/>
                <w:lang w:val="en-US" w:eastAsia="zh-CN" w:bidi="ar-SA"/>
              </w:rPr>
              <w:t>，开孔过程废气产污系数如下：</w:t>
            </w:r>
          </w:p>
          <w:p w14:paraId="2C6BD7B0">
            <w:pPr>
              <w:pStyle w:val="1312"/>
              <w:adjustRightInd w:val="0"/>
              <w:snapToGrid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表4-</w:t>
            </w:r>
            <w:r>
              <w:rPr>
                <w:rFonts w:hint="eastAsia" w:ascii="Times New Roman" w:hAnsi="Times New Roman" w:eastAsia="宋体" w:cs="Times New Roman"/>
                <w:b/>
                <w:bCs/>
                <w:sz w:val="21"/>
                <w:szCs w:val="21"/>
                <w:lang w:val="en-US" w:eastAsia="zh-CN"/>
              </w:rPr>
              <w:t>7</w:t>
            </w:r>
            <w:r>
              <w:rPr>
                <w:rFonts w:hint="default" w:ascii="Times New Roman" w:hAnsi="Times New Roman" w:eastAsia="宋体" w:cs="Times New Roman"/>
                <w:b/>
                <w:bCs/>
                <w:sz w:val="21"/>
                <w:szCs w:val="21"/>
                <w:lang w:eastAsia="zh-CN"/>
              </w:rPr>
              <w:t xml:space="preserve"> </w:t>
            </w:r>
            <w:r>
              <w:rPr>
                <w:rFonts w:hint="eastAsia" w:ascii="Times New Roman" w:hAnsi="Times New Roman" w:eastAsia="宋体" w:cs="Times New Roman"/>
                <w:b/>
                <w:bCs/>
                <w:sz w:val="21"/>
                <w:szCs w:val="21"/>
                <w:lang w:val="en-US" w:eastAsia="zh-CN"/>
              </w:rPr>
              <w:t>玻璃钢缠绕罐、PPH缠绕罐</w:t>
            </w:r>
            <w:r>
              <w:rPr>
                <w:rFonts w:hint="eastAsia" w:ascii="Times New Roman" w:hAnsi="Times New Roman" w:eastAsia="宋体" w:cs="Times New Roman"/>
                <w:b/>
                <w:bCs/>
                <w:sz w:val="21"/>
                <w:szCs w:val="21"/>
                <w:lang w:eastAsia="zh-CN"/>
              </w:rPr>
              <w:t>开孔</w:t>
            </w:r>
            <w:r>
              <w:rPr>
                <w:rFonts w:hint="default" w:ascii="Times New Roman" w:hAnsi="Times New Roman" w:eastAsia="宋体" w:cs="Times New Roman"/>
                <w:b/>
                <w:bCs/>
                <w:sz w:val="21"/>
                <w:szCs w:val="21"/>
              </w:rPr>
              <w:t>过程</w:t>
            </w:r>
            <w:r>
              <w:rPr>
                <w:rFonts w:hint="eastAsia" w:ascii="Times New Roman" w:hAnsi="Times New Roman" w:eastAsia="宋体" w:cs="Times New Roman"/>
                <w:b/>
                <w:bCs/>
                <w:sz w:val="21"/>
                <w:szCs w:val="21"/>
                <w:lang w:eastAsia="zh-CN"/>
              </w:rPr>
              <w:t>污染物</w:t>
            </w:r>
            <w:r>
              <w:rPr>
                <w:rFonts w:hint="default" w:ascii="Times New Roman" w:hAnsi="Times New Roman" w:eastAsia="宋体" w:cs="Times New Roman"/>
                <w:b/>
                <w:bCs/>
                <w:sz w:val="21"/>
                <w:szCs w:val="21"/>
              </w:rPr>
              <w:t>产污系数</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1193"/>
              <w:gridCol w:w="1193"/>
              <w:gridCol w:w="1327"/>
              <w:gridCol w:w="1532"/>
              <w:gridCol w:w="2014"/>
            </w:tblGrid>
            <w:tr w14:paraId="615B2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tcBorders>
                    <w:top w:val="single" w:color="auto" w:sz="4" w:space="0"/>
                    <w:left w:val="single" w:color="auto" w:sz="4" w:space="0"/>
                    <w:bottom w:val="single" w:color="auto" w:sz="4" w:space="0"/>
                    <w:right w:val="single" w:color="auto" w:sz="4" w:space="0"/>
                  </w:tcBorders>
                  <w:vAlign w:val="center"/>
                </w:tcPr>
                <w:p w14:paraId="0A1112E6">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工段</w:t>
                  </w:r>
                </w:p>
              </w:tc>
              <w:tc>
                <w:tcPr>
                  <w:tcW w:w="1193" w:type="dxa"/>
                  <w:tcBorders>
                    <w:top w:val="single" w:color="auto" w:sz="4" w:space="0"/>
                    <w:left w:val="single" w:color="auto" w:sz="4" w:space="0"/>
                    <w:bottom w:val="single" w:color="auto" w:sz="4" w:space="0"/>
                    <w:right w:val="single" w:color="auto" w:sz="4" w:space="0"/>
                  </w:tcBorders>
                  <w:vAlign w:val="center"/>
                </w:tcPr>
                <w:p w14:paraId="4F47D3A7">
                  <w:pPr>
                    <w:spacing w:line="240" w:lineRule="exact"/>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产品名称</w:t>
                  </w:r>
                </w:p>
              </w:tc>
              <w:tc>
                <w:tcPr>
                  <w:tcW w:w="1193" w:type="dxa"/>
                  <w:tcBorders>
                    <w:top w:val="single" w:color="auto" w:sz="4" w:space="0"/>
                    <w:left w:val="single" w:color="auto" w:sz="4" w:space="0"/>
                    <w:bottom w:val="single" w:color="auto" w:sz="4" w:space="0"/>
                    <w:right w:val="single" w:color="auto" w:sz="4" w:space="0"/>
                  </w:tcBorders>
                  <w:vAlign w:val="center"/>
                </w:tcPr>
                <w:p w14:paraId="1BEF88E0">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原料名称</w:t>
                  </w:r>
                </w:p>
              </w:tc>
              <w:tc>
                <w:tcPr>
                  <w:tcW w:w="1327" w:type="dxa"/>
                  <w:tcBorders>
                    <w:top w:val="single" w:color="auto" w:sz="4" w:space="0"/>
                    <w:left w:val="single" w:color="auto" w:sz="4" w:space="0"/>
                    <w:bottom w:val="single" w:color="auto" w:sz="4" w:space="0"/>
                    <w:right w:val="single" w:color="auto" w:sz="4" w:space="0"/>
                  </w:tcBorders>
                  <w:vAlign w:val="center"/>
                </w:tcPr>
                <w:p w14:paraId="0418715D">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工艺名称</w:t>
                  </w:r>
                </w:p>
              </w:tc>
              <w:tc>
                <w:tcPr>
                  <w:tcW w:w="1532" w:type="dxa"/>
                  <w:tcBorders>
                    <w:top w:val="single" w:color="auto" w:sz="4" w:space="0"/>
                    <w:left w:val="single" w:color="auto" w:sz="4" w:space="0"/>
                    <w:bottom w:val="single" w:color="auto" w:sz="4" w:space="0"/>
                    <w:right w:val="single" w:color="auto" w:sz="4" w:space="0"/>
                  </w:tcBorders>
                  <w:vAlign w:val="center"/>
                </w:tcPr>
                <w:p w14:paraId="2816B03D">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污染物</w:t>
                  </w:r>
                </w:p>
              </w:tc>
              <w:tc>
                <w:tcPr>
                  <w:tcW w:w="2014" w:type="dxa"/>
                  <w:tcBorders>
                    <w:top w:val="single" w:color="auto" w:sz="4" w:space="0"/>
                    <w:left w:val="single" w:color="auto" w:sz="4" w:space="0"/>
                    <w:bottom w:val="single" w:color="auto" w:sz="4" w:space="0"/>
                    <w:right w:val="single" w:color="auto" w:sz="4" w:space="0"/>
                  </w:tcBorders>
                  <w:vAlign w:val="center"/>
                </w:tcPr>
                <w:p w14:paraId="64155D73">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产污系数</w:t>
                  </w:r>
                </w:p>
              </w:tc>
            </w:tr>
            <w:tr w14:paraId="174CC9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tcBorders>
                    <w:top w:val="single" w:color="auto" w:sz="4" w:space="0"/>
                    <w:left w:val="single" w:color="auto" w:sz="4" w:space="0"/>
                    <w:bottom w:val="single" w:color="auto" w:sz="4" w:space="0"/>
                    <w:right w:val="single" w:color="auto" w:sz="4" w:space="0"/>
                  </w:tcBorders>
                  <w:vAlign w:val="center"/>
                </w:tcPr>
                <w:p w14:paraId="0E3271D8">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下料</w:t>
                  </w:r>
                </w:p>
              </w:tc>
              <w:tc>
                <w:tcPr>
                  <w:tcW w:w="1193" w:type="dxa"/>
                  <w:tcBorders>
                    <w:top w:val="single" w:color="auto" w:sz="4" w:space="0"/>
                    <w:left w:val="single" w:color="auto" w:sz="4" w:space="0"/>
                    <w:right w:val="single" w:color="auto" w:sz="4" w:space="0"/>
                  </w:tcBorders>
                  <w:vAlign w:val="center"/>
                </w:tcPr>
                <w:p w14:paraId="53BD135C">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下料件</w:t>
                  </w:r>
                </w:p>
              </w:tc>
              <w:tc>
                <w:tcPr>
                  <w:tcW w:w="1193" w:type="dxa"/>
                  <w:tcBorders>
                    <w:top w:val="single" w:color="auto" w:sz="4" w:space="0"/>
                    <w:left w:val="single" w:color="auto" w:sz="4" w:space="0"/>
                    <w:right w:val="single" w:color="auto" w:sz="4" w:space="0"/>
                  </w:tcBorders>
                  <w:vAlign w:val="center"/>
                </w:tcPr>
                <w:p w14:paraId="2FC2B268">
                  <w:pPr>
                    <w:keepNext w:val="0"/>
                    <w:keepLines w:val="0"/>
                    <w:widowControl/>
                    <w:suppressLineNumbers w:val="0"/>
                    <w:jc w:val="center"/>
                    <w:rPr>
                      <w:rFonts w:hint="eastAsia" w:ascii="Times New Roman" w:hAnsi="Times New Roman" w:eastAsia="宋体" w:cs="Times New Roman"/>
                      <w:sz w:val="18"/>
                      <w:szCs w:val="18"/>
                      <w:highlight w:val="none"/>
                      <w:lang w:eastAsia="zh-CN"/>
                    </w:rPr>
                  </w:pPr>
                  <w:r>
                    <w:rPr>
                      <w:rFonts w:hint="eastAsia" w:ascii="宋体" w:hAnsi="宋体" w:eastAsia="宋体" w:cs="宋体"/>
                      <w:color w:val="000000"/>
                      <w:kern w:val="0"/>
                      <w:sz w:val="19"/>
                      <w:szCs w:val="19"/>
                      <w:lang w:val="en-US" w:eastAsia="zh-CN" w:bidi="ar"/>
                    </w:rPr>
                    <w:t>其它非金属材料</w:t>
                  </w:r>
                </w:p>
              </w:tc>
              <w:tc>
                <w:tcPr>
                  <w:tcW w:w="1327" w:type="dxa"/>
                  <w:tcBorders>
                    <w:top w:val="single" w:color="auto" w:sz="4" w:space="0"/>
                    <w:left w:val="single" w:color="auto" w:sz="4" w:space="0"/>
                    <w:bottom w:val="single" w:color="auto" w:sz="4" w:space="0"/>
                    <w:right w:val="single" w:color="auto" w:sz="4" w:space="0"/>
                  </w:tcBorders>
                  <w:vAlign w:val="center"/>
                </w:tcPr>
                <w:p w14:paraId="140613BB">
                  <w:pPr>
                    <w:keepNext w:val="0"/>
                    <w:keepLines w:val="0"/>
                    <w:widowControl/>
                    <w:suppressLineNumbers w:val="0"/>
                    <w:jc w:val="center"/>
                    <w:rPr>
                      <w:rFonts w:hint="eastAsia" w:ascii="Times New Roman" w:hAnsi="Times New Roman" w:eastAsia="宋体" w:cs="Times New Roman"/>
                      <w:sz w:val="18"/>
                      <w:szCs w:val="18"/>
                      <w:highlight w:val="none"/>
                      <w:lang w:eastAsia="zh-CN"/>
                    </w:rPr>
                  </w:pPr>
                  <w:r>
                    <w:rPr>
                      <w:rFonts w:hint="eastAsia" w:ascii="宋体" w:hAnsi="宋体" w:eastAsia="宋体" w:cs="宋体"/>
                      <w:color w:val="000000"/>
                      <w:kern w:val="0"/>
                      <w:sz w:val="19"/>
                      <w:szCs w:val="19"/>
                      <w:lang w:val="en-US" w:eastAsia="zh-CN" w:bidi="ar"/>
                    </w:rPr>
                    <w:t>锯床、砂轮切割机切割</w:t>
                  </w:r>
                </w:p>
              </w:tc>
              <w:tc>
                <w:tcPr>
                  <w:tcW w:w="1532" w:type="dxa"/>
                  <w:tcBorders>
                    <w:top w:val="single" w:color="auto" w:sz="4" w:space="0"/>
                    <w:left w:val="single" w:color="auto" w:sz="4" w:space="0"/>
                    <w:bottom w:val="single" w:color="auto" w:sz="4" w:space="0"/>
                    <w:right w:val="single" w:color="auto" w:sz="4" w:space="0"/>
                  </w:tcBorders>
                  <w:vAlign w:val="center"/>
                </w:tcPr>
                <w:p w14:paraId="777B851D">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颗粒物</w:t>
                  </w:r>
                </w:p>
              </w:tc>
              <w:tc>
                <w:tcPr>
                  <w:tcW w:w="2014" w:type="dxa"/>
                  <w:tcBorders>
                    <w:top w:val="single" w:color="auto" w:sz="4" w:space="0"/>
                    <w:left w:val="single" w:color="auto" w:sz="4" w:space="0"/>
                    <w:bottom w:val="single" w:color="auto" w:sz="4" w:space="0"/>
                    <w:right w:val="single" w:color="auto" w:sz="4" w:space="0"/>
                  </w:tcBorders>
                  <w:vAlign w:val="center"/>
                </w:tcPr>
                <w:p w14:paraId="271E95D4">
                  <w:pPr>
                    <w:spacing w:line="240" w:lineRule="exact"/>
                    <w:jc w:val="center"/>
                    <w:rPr>
                      <w:rFonts w:hint="default" w:ascii="Times New Roman" w:hAnsi="Times New Roman" w:cs="Times New Roman"/>
                      <w:sz w:val="18"/>
                      <w:szCs w:val="18"/>
                      <w:highlight w:val="none"/>
                    </w:rPr>
                  </w:pPr>
                  <w:r>
                    <w:rPr>
                      <w:rFonts w:hint="eastAsia" w:cs="Times New Roman"/>
                      <w:sz w:val="18"/>
                      <w:szCs w:val="18"/>
                      <w:highlight w:val="none"/>
                      <w:lang w:val="en-US" w:eastAsia="zh-CN"/>
                    </w:rPr>
                    <w:t>5.3</w:t>
                  </w:r>
                  <w:r>
                    <w:rPr>
                      <w:rFonts w:hint="default" w:ascii="Times New Roman" w:hAnsi="Times New Roman" w:cs="Times New Roman"/>
                      <w:sz w:val="18"/>
                      <w:szCs w:val="18"/>
                      <w:highlight w:val="none"/>
                    </w:rPr>
                    <w:t>kg/t-原料</w:t>
                  </w:r>
                </w:p>
              </w:tc>
            </w:tr>
          </w:tbl>
          <w:p w14:paraId="7899FCE0">
            <w:pPr>
              <w:pStyle w:val="381"/>
              <w:ind w:firstLine="31680"/>
              <w:rPr>
                <w:rFonts w:hint="default" w:ascii="Times New Roman" w:hAnsi="Times New Roman" w:eastAsia="宋体" w:cs="Times New Roman"/>
                <w:sz w:val="21"/>
                <w:szCs w:val="21"/>
                <w:lang w:val="en-US" w:eastAsia="zh-CN"/>
              </w:rPr>
            </w:pPr>
            <w:r>
              <w:rPr>
                <w:rFonts w:hint="eastAsia" w:cs="Times New Roman"/>
                <w:sz w:val="21"/>
                <w:szCs w:val="21"/>
                <w:lang w:val="en-US" w:eastAsia="zh-CN"/>
              </w:rPr>
              <w:t>根据企业提供数据，</w:t>
            </w:r>
            <w:r>
              <w:rPr>
                <w:rFonts w:hint="eastAsia" w:cs="Times New Roman"/>
                <w:sz w:val="21"/>
                <w:szCs w:val="21"/>
                <w:lang w:eastAsia="zh-CN"/>
              </w:rPr>
              <w:t>本项目</w:t>
            </w: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PPH缠绕罐开孔过程</w:t>
            </w:r>
            <w:r>
              <w:rPr>
                <w:rFonts w:hint="eastAsia" w:eastAsia="宋体" w:cs="Times New Roman"/>
                <w:b w:val="0"/>
                <w:bCs w:val="0"/>
                <w:kern w:val="2"/>
                <w:sz w:val="21"/>
                <w:szCs w:val="21"/>
                <w:lang w:val="en-US" w:eastAsia="zh-CN" w:bidi="ar-SA"/>
              </w:rPr>
              <w:t>开孔区域所需的</w:t>
            </w: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PPH缠绕罐用量约5t/a，</w:t>
            </w: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PPH缠绕罐开孔过程颗粒物产生量为0.027t/a。</w:t>
            </w:r>
          </w:p>
          <w:p w14:paraId="018F0CDD">
            <w:pPr>
              <w:pStyle w:val="381"/>
              <w:numPr>
                <w:ilvl w:val="0"/>
                <w:numId w:val="0"/>
              </w:numPr>
              <w:ind w:firstLine="420" w:firstLineChars="200"/>
              <w:rPr>
                <w:rFonts w:hint="eastAsia"/>
                <w:b w:val="0"/>
                <w:bCs w:val="0"/>
                <w:sz w:val="21"/>
                <w:lang w:val="en-US" w:eastAsia="zh-CN"/>
              </w:rPr>
            </w:pPr>
            <w:r>
              <w:rPr>
                <w:rFonts w:hint="eastAsia" w:ascii="Times New Roman" w:hAnsi="Times New Roman" w:eastAsia="宋体" w:cs="Times New Roman"/>
                <w:b w:val="0"/>
                <w:bCs w:val="0"/>
                <w:kern w:val="2"/>
                <w:sz w:val="21"/>
                <w:szCs w:val="21"/>
                <w:lang w:val="en-US" w:eastAsia="zh-CN" w:bidi="ar-SA"/>
              </w:rPr>
              <w:t>（</w:t>
            </w:r>
            <w:r>
              <w:rPr>
                <w:rFonts w:hint="eastAsia" w:cs="Times New Roman"/>
                <w:b w:val="0"/>
                <w:bCs w:val="0"/>
                <w:kern w:val="2"/>
                <w:sz w:val="21"/>
                <w:szCs w:val="21"/>
                <w:lang w:val="en-US" w:eastAsia="zh-CN" w:bidi="ar-SA"/>
              </w:rPr>
              <w:t>8</w:t>
            </w:r>
            <w:r>
              <w:rPr>
                <w:rFonts w:hint="eastAsia" w:ascii="Times New Roman" w:hAnsi="Times New Roman" w:eastAsia="宋体" w:cs="Times New Roman"/>
                <w:b w:val="0"/>
                <w:bCs w:val="0"/>
                <w:kern w:val="2"/>
                <w:sz w:val="21"/>
                <w:szCs w:val="21"/>
                <w:lang w:val="en-US" w:eastAsia="zh-CN" w:bidi="ar-SA"/>
              </w:rPr>
              <w:t>）</w:t>
            </w:r>
            <w:r>
              <w:rPr>
                <w:rFonts w:hint="eastAsia"/>
                <w:b w:val="0"/>
                <w:bCs w:val="0"/>
                <w:sz w:val="21"/>
                <w:lang w:val="en-US" w:eastAsia="zh-CN"/>
              </w:rPr>
              <w:t>浸漆、烘干过程产生的VOCs、苯乙烯、臭气浓度（G16）</w:t>
            </w:r>
          </w:p>
          <w:p w14:paraId="7A848BC6">
            <w:pPr>
              <w:pStyle w:val="381"/>
              <w:ind w:firstLine="422"/>
              <w:rPr>
                <w:color w:val="000000" w:themeColor="text1"/>
                <w:sz w:val="21"/>
                <w:szCs w:val="21"/>
                <w14:textFill>
                  <w14:solidFill>
                    <w14:schemeClr w14:val="tx1"/>
                  </w14:solidFill>
                </w14:textFill>
              </w:rPr>
            </w:pPr>
            <w:r>
              <w:rPr>
                <w:rFonts w:hint="eastAsia"/>
                <w:sz w:val="21"/>
                <w:szCs w:val="21"/>
              </w:rPr>
              <w:t>本项目所用绝缘漆为无溶剂沉浸树脂，主要成分为环氧树脂、不饱和树脂和苯乙烯组成。浸漆、烘干时有VOCs和苯乙烯产生</w:t>
            </w:r>
            <w:r>
              <w:rPr>
                <w:rFonts w:hint="eastAsia"/>
                <w:sz w:val="21"/>
                <w:szCs w:val="21"/>
                <w:lang w:eastAsia="zh-CN"/>
              </w:rPr>
              <w:t>。</w:t>
            </w:r>
            <w:r>
              <w:rPr>
                <w:sz w:val="21"/>
                <w:szCs w:val="21"/>
              </w:rPr>
              <w:t>根据机械工业电</w:t>
            </w:r>
            <w:r>
              <w:rPr>
                <w:rFonts w:hint="eastAsia"/>
                <w:sz w:val="21"/>
                <w:szCs w:val="21"/>
              </w:rPr>
              <w:t>工</w:t>
            </w:r>
            <w:r>
              <w:rPr>
                <w:sz w:val="21"/>
                <w:szCs w:val="21"/>
              </w:rPr>
              <w:t>材料产品质量监督检测中心出具的检测报告</w:t>
            </w:r>
            <w:r>
              <w:rPr>
                <w:rFonts w:hint="eastAsia"/>
                <w:sz w:val="21"/>
                <w:szCs w:val="21"/>
              </w:rPr>
              <w:t>（见附件</w:t>
            </w:r>
            <w:r>
              <w:rPr>
                <w:rFonts w:hint="eastAsia"/>
                <w:sz w:val="21"/>
                <w:szCs w:val="21"/>
                <w:lang w:eastAsia="zh-CN"/>
              </w:rPr>
              <w:t>）</w:t>
            </w:r>
            <w:r>
              <w:rPr>
                <w:sz w:val="21"/>
                <w:szCs w:val="21"/>
              </w:rPr>
              <w:t>，</w:t>
            </w:r>
            <w:r>
              <w:rPr>
                <w:rFonts w:hint="eastAsia"/>
                <w:sz w:val="21"/>
                <w:szCs w:val="21"/>
              </w:rPr>
              <w:t>根据企业提供数据，绝缘漆中苯乙烯含量为30~50%，本项目按照苯乙烯平均含量</w:t>
            </w:r>
            <w:r>
              <w:rPr>
                <w:rFonts w:hint="eastAsia"/>
                <w:sz w:val="21"/>
                <w:szCs w:val="21"/>
                <w:lang w:val="en-US"/>
              </w:rPr>
              <w:t>40</w:t>
            </w:r>
            <w:r>
              <w:rPr>
                <w:rFonts w:hint="eastAsia"/>
                <w:sz w:val="21"/>
                <w:szCs w:val="21"/>
              </w:rPr>
              <w:t>%计算，</w:t>
            </w:r>
            <w:r>
              <w:rPr>
                <w:sz w:val="21"/>
                <w:szCs w:val="21"/>
              </w:rPr>
              <w:t>本项目使用</w:t>
            </w:r>
            <w:r>
              <w:rPr>
                <w:color w:val="000000" w:themeColor="text1"/>
                <w:sz w:val="21"/>
                <w:szCs w:val="21"/>
                <w14:textFill>
                  <w14:solidFill>
                    <w14:schemeClr w14:val="tx1"/>
                  </w14:solidFill>
                </w14:textFill>
              </w:rPr>
              <w:t>无溶剂沉浸树脂</w:t>
            </w:r>
            <w:r>
              <w:rPr>
                <w:rFonts w:hint="eastAsia"/>
                <w:color w:val="000000" w:themeColor="text1"/>
                <w:sz w:val="21"/>
                <w:szCs w:val="21"/>
                <w:lang w:val="en-US"/>
                <w14:textFill>
                  <w14:solidFill>
                    <w14:schemeClr w14:val="tx1"/>
                  </w14:solidFill>
                </w14:textFill>
              </w:rPr>
              <w:t>VOCs</w:t>
            </w:r>
            <w:r>
              <w:rPr>
                <w:color w:val="000000" w:themeColor="text1"/>
                <w:sz w:val="21"/>
                <w:szCs w:val="21"/>
                <w14:textFill>
                  <w14:solidFill>
                    <w14:schemeClr w14:val="tx1"/>
                  </w14:solidFill>
                </w14:textFill>
              </w:rPr>
              <w:t>挥发份</w:t>
            </w:r>
            <w:r>
              <w:rPr>
                <w:sz w:val="21"/>
                <w:szCs w:val="21"/>
              </w:rPr>
              <w:t>为13.2%，本项目按照挥发份全挥发进行计算，</w:t>
            </w:r>
            <w:r>
              <w:rPr>
                <w:color w:val="000000" w:themeColor="text1"/>
                <w:sz w:val="21"/>
                <w:szCs w:val="21"/>
                <w14:textFill>
                  <w14:solidFill>
                    <w14:schemeClr w14:val="tx1"/>
                  </w14:solidFill>
                </w14:textFill>
              </w:rPr>
              <w:t>无溶剂沉浸树脂</w:t>
            </w:r>
            <w:r>
              <w:rPr>
                <w:rFonts w:hint="eastAsia"/>
                <w:color w:val="000000" w:themeColor="text1"/>
                <w:sz w:val="21"/>
                <w:szCs w:val="21"/>
                <w:lang w:eastAsia="zh-CN"/>
                <w14:textFill>
                  <w14:solidFill>
                    <w14:schemeClr w14:val="tx1"/>
                  </w14:solidFill>
                </w14:textFill>
              </w:rPr>
              <w:t>用量为</w:t>
            </w:r>
            <w:r>
              <w:rPr>
                <w:rFonts w:hint="eastAsia"/>
                <w:color w:val="000000" w:themeColor="text1"/>
                <w:sz w:val="21"/>
                <w:szCs w:val="21"/>
                <w:lang w:val="en-US" w:eastAsia="zh-CN"/>
                <w14:textFill>
                  <w14:solidFill>
                    <w14:schemeClr w14:val="tx1"/>
                  </w14:solidFill>
                </w14:textFill>
              </w:rPr>
              <w:t>0.1t/a，</w:t>
            </w:r>
            <w:r>
              <w:rPr>
                <w:color w:val="000000" w:themeColor="text1"/>
                <w:sz w:val="21"/>
                <w:szCs w:val="21"/>
                <w14:textFill>
                  <w14:solidFill>
                    <w14:schemeClr w14:val="tx1"/>
                  </w14:solidFill>
                </w14:textFill>
              </w:rPr>
              <w:t>项目浸漆</w:t>
            </w:r>
            <w:r>
              <w:rPr>
                <w:rFonts w:hint="eastAsia"/>
                <w:color w:val="000000" w:themeColor="text1"/>
                <w:sz w:val="21"/>
                <w:szCs w:val="21"/>
                <w:lang w:eastAsia="zh-CN"/>
                <w14:textFill>
                  <w14:solidFill>
                    <w14:schemeClr w14:val="tx1"/>
                  </w14:solidFill>
                </w14:textFill>
              </w:rPr>
              <w:t>、</w:t>
            </w:r>
            <w:r>
              <w:rPr>
                <w:color w:val="000000" w:themeColor="text1"/>
                <w:sz w:val="21"/>
                <w:szCs w:val="21"/>
                <w14:textFill>
                  <w14:solidFill>
                    <w14:schemeClr w14:val="tx1"/>
                  </w14:solidFill>
                </w14:textFill>
              </w:rPr>
              <w:t>烘干工序VOC</w:t>
            </w:r>
            <w:r>
              <w:rPr>
                <w:color w:val="000000" w:themeColor="text1"/>
                <w:sz w:val="21"/>
                <w:szCs w:val="21"/>
                <w:vertAlign w:val="subscript"/>
                <w14:textFill>
                  <w14:solidFill>
                    <w14:schemeClr w14:val="tx1"/>
                  </w14:solidFill>
                </w14:textFill>
              </w:rPr>
              <w:t>S</w:t>
            </w:r>
            <w:r>
              <w:rPr>
                <w:color w:val="000000" w:themeColor="text1"/>
                <w:sz w:val="21"/>
                <w:szCs w:val="21"/>
                <w14:textFill>
                  <w14:solidFill>
                    <w14:schemeClr w14:val="tx1"/>
                  </w14:solidFill>
                </w14:textFill>
              </w:rPr>
              <w:t>产生量</w:t>
            </w:r>
            <w:r>
              <w:rPr>
                <w:sz w:val="21"/>
                <w:szCs w:val="21"/>
              </w:rPr>
              <w:t>为0.</w:t>
            </w:r>
            <w:r>
              <w:rPr>
                <w:rFonts w:hint="eastAsia"/>
                <w:sz w:val="21"/>
                <w:szCs w:val="21"/>
                <w:lang w:val="en-US" w:eastAsia="zh-CN"/>
              </w:rPr>
              <w:t>0</w:t>
            </w:r>
            <w:r>
              <w:rPr>
                <w:sz w:val="21"/>
                <w:szCs w:val="21"/>
              </w:rPr>
              <w:t>1</w:t>
            </w:r>
            <w:r>
              <w:rPr>
                <w:rFonts w:hint="eastAsia"/>
                <w:sz w:val="21"/>
                <w:szCs w:val="21"/>
                <w:lang w:val="en-US" w:eastAsia="zh-CN"/>
              </w:rPr>
              <w:t>32</w:t>
            </w:r>
            <w:r>
              <w:rPr>
                <w:sz w:val="21"/>
                <w:szCs w:val="21"/>
              </w:rPr>
              <w:t>t/a</w:t>
            </w:r>
            <w:r>
              <w:rPr>
                <w:rFonts w:hint="eastAsia"/>
                <w:sz w:val="21"/>
                <w:szCs w:val="21"/>
                <w:lang w:eastAsia="zh-CN"/>
              </w:rPr>
              <w:t>，苯乙烯产生量为</w:t>
            </w:r>
            <w:r>
              <w:rPr>
                <w:rFonts w:hint="eastAsia"/>
                <w:sz w:val="21"/>
                <w:szCs w:val="21"/>
                <w:lang w:val="en-US" w:eastAsia="zh-CN"/>
              </w:rPr>
              <w:t>0.0053t/a</w:t>
            </w:r>
            <w:r>
              <w:rPr>
                <w:color w:val="000000" w:themeColor="text1"/>
                <w:sz w:val="21"/>
                <w:szCs w:val="21"/>
                <w14:textFill>
                  <w14:solidFill>
                    <w14:schemeClr w14:val="tx1"/>
                  </w14:solidFill>
                </w14:textFill>
              </w:rPr>
              <w:t>。</w:t>
            </w:r>
          </w:p>
          <w:p w14:paraId="1A1CAEA1">
            <w:pPr>
              <w:pStyle w:val="381"/>
              <w:numPr>
                <w:ilvl w:val="0"/>
                <w:numId w:val="0"/>
              </w:numPr>
              <w:ind w:firstLine="420" w:firstLineChars="200"/>
              <w:rPr>
                <w:rFonts w:hint="default"/>
                <w:b w:val="0"/>
                <w:bCs w:val="0"/>
                <w:sz w:val="21"/>
                <w:lang w:val="en-US" w:eastAsia="zh-CN"/>
              </w:rPr>
            </w:pPr>
            <w:r>
              <w:rPr>
                <w:rFonts w:hint="eastAsia"/>
                <w:b w:val="0"/>
                <w:bCs w:val="0"/>
                <w:sz w:val="21"/>
                <w:lang w:val="en-US" w:eastAsia="zh-CN"/>
              </w:rPr>
              <w:t>（8）静电喷塑工序产生的颗粒物（G2.6）</w:t>
            </w:r>
          </w:p>
          <w:p w14:paraId="5EECB0DB">
            <w:pPr>
              <w:pStyle w:val="381"/>
              <w:numPr>
                <w:ilvl w:val="0"/>
                <w:numId w:val="0"/>
              </w:numPr>
              <w:ind w:firstLine="420" w:firstLineChars="200"/>
              <w:rPr>
                <w:rFonts w:hint="eastAsia" w:cs="Times New Roman"/>
                <w:b w:val="0"/>
                <w:bCs w:val="0"/>
                <w:kern w:val="2"/>
                <w:sz w:val="21"/>
                <w:szCs w:val="21"/>
                <w:lang w:val="en-US" w:eastAsia="zh-CN" w:bidi="ar-SA"/>
              </w:rPr>
            </w:pPr>
            <w:r>
              <w:rPr>
                <w:rFonts w:hint="eastAsia" w:cs="Times New Roman"/>
                <w:b w:val="0"/>
                <w:bCs w:val="0"/>
                <w:kern w:val="2"/>
                <w:sz w:val="21"/>
                <w:szCs w:val="21"/>
                <w:lang w:val="en-US" w:eastAsia="zh-CN" w:bidi="ar-SA"/>
              </w:rPr>
              <w:t>喷塑工序使用塑粉，属于粉末涂料，喷塑工序会有颗粒物产生。本项目</w:t>
            </w:r>
            <w:r>
              <w:rPr>
                <w:rFonts w:hint="eastAsia" w:ascii="Times New Roman" w:hAnsi="Times New Roman" w:eastAsia="宋体" w:cs="Times New Roman"/>
                <w:b w:val="0"/>
                <w:bCs w:val="0"/>
                <w:kern w:val="2"/>
                <w:sz w:val="21"/>
                <w:szCs w:val="21"/>
                <w:lang w:val="en-US" w:eastAsia="zh-CN" w:bidi="ar-SA"/>
              </w:rPr>
              <w:t>塑粉用量为4.98t/a，喷塑房采用底部集气罩收集，配套设置塑粉回收装置。根据</w:t>
            </w:r>
            <w:r>
              <w:rPr>
                <w:rFonts w:hint="default" w:ascii="Times New Roman" w:hAnsi="Times New Roman" w:eastAsia="宋体" w:cs="Times New Roman"/>
                <w:b w:val="0"/>
                <w:bCs w:val="0"/>
                <w:kern w:val="2"/>
                <w:sz w:val="21"/>
                <w:szCs w:val="21"/>
                <w:lang w:val="en-US" w:eastAsia="zh-CN" w:bidi="ar-SA"/>
              </w:rPr>
              <w:t>《排放源统计调查产排污核算方法和系数手册-机械行业系数手册》</w:t>
            </w:r>
            <w:r>
              <w:rPr>
                <w:rFonts w:hint="eastAsia" w:ascii="Times New Roman" w:hAnsi="Times New Roman" w:eastAsia="宋体" w:cs="Times New Roman"/>
                <w:b w:val="0"/>
                <w:bCs w:val="0"/>
                <w:kern w:val="2"/>
                <w:sz w:val="21"/>
                <w:szCs w:val="21"/>
                <w:lang w:val="en-US" w:eastAsia="zh-CN" w:bidi="ar-SA"/>
              </w:rPr>
              <w:t>，喷塑工序废气产污系数如下：</w:t>
            </w:r>
          </w:p>
          <w:p w14:paraId="68A476BB">
            <w:pPr>
              <w:pStyle w:val="1312"/>
              <w:adjustRightInd w:val="0"/>
              <w:snapToGrid w:val="0"/>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表4-</w:t>
            </w:r>
            <w:r>
              <w:rPr>
                <w:rFonts w:hint="eastAsia" w:ascii="Times New Roman" w:hAnsi="Times New Roman" w:eastAsia="宋体" w:cs="Times New Roman"/>
                <w:b/>
                <w:bCs/>
                <w:sz w:val="21"/>
                <w:szCs w:val="21"/>
                <w:lang w:val="en-US" w:eastAsia="zh-CN"/>
              </w:rPr>
              <w:t>8</w:t>
            </w:r>
            <w:r>
              <w:rPr>
                <w:rFonts w:hint="default" w:ascii="Times New Roman" w:hAnsi="Times New Roman" w:eastAsia="宋体" w:cs="Times New Roman"/>
                <w:b/>
                <w:bCs/>
                <w:sz w:val="21"/>
                <w:szCs w:val="21"/>
              </w:rPr>
              <w:t xml:space="preserve"> </w:t>
            </w:r>
            <w:r>
              <w:rPr>
                <w:rFonts w:hint="eastAsia" w:ascii="Times New Roman" w:hAnsi="Times New Roman" w:eastAsia="宋体" w:cs="Times New Roman"/>
                <w:b/>
                <w:bCs/>
                <w:sz w:val="21"/>
                <w:szCs w:val="21"/>
                <w:lang w:eastAsia="zh-CN"/>
              </w:rPr>
              <w:t>喷塑工序污染物</w:t>
            </w:r>
            <w:r>
              <w:rPr>
                <w:rFonts w:hint="default" w:ascii="Times New Roman" w:hAnsi="Times New Roman" w:eastAsia="宋体" w:cs="Times New Roman"/>
                <w:b/>
                <w:bCs/>
                <w:sz w:val="21"/>
                <w:szCs w:val="21"/>
              </w:rPr>
              <w:t>产污系数</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1193"/>
              <w:gridCol w:w="1193"/>
              <w:gridCol w:w="1326"/>
              <w:gridCol w:w="1532"/>
              <w:gridCol w:w="2014"/>
            </w:tblGrid>
            <w:tr w14:paraId="645C8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09" w:type="dxa"/>
                  <w:tcBorders>
                    <w:top w:val="single" w:color="auto" w:sz="4" w:space="0"/>
                    <w:left w:val="single" w:color="auto" w:sz="4" w:space="0"/>
                    <w:bottom w:val="single" w:color="auto" w:sz="4" w:space="0"/>
                    <w:right w:val="single" w:color="auto" w:sz="4" w:space="0"/>
                  </w:tcBorders>
                  <w:noWrap w:val="0"/>
                  <w:vAlign w:val="center"/>
                </w:tcPr>
                <w:p w14:paraId="2CB4A75C">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工段</w:t>
                  </w:r>
                </w:p>
              </w:tc>
              <w:tc>
                <w:tcPr>
                  <w:tcW w:w="1193" w:type="dxa"/>
                  <w:tcBorders>
                    <w:top w:val="single" w:color="auto" w:sz="4" w:space="0"/>
                    <w:left w:val="single" w:color="auto" w:sz="4" w:space="0"/>
                    <w:bottom w:val="single" w:color="auto" w:sz="4" w:space="0"/>
                    <w:right w:val="single" w:color="auto" w:sz="4" w:space="0"/>
                  </w:tcBorders>
                  <w:noWrap w:val="0"/>
                  <w:vAlign w:val="center"/>
                </w:tcPr>
                <w:p w14:paraId="6CC49894">
                  <w:pPr>
                    <w:spacing w:line="240" w:lineRule="exact"/>
                    <w:jc w:val="center"/>
                    <w:rPr>
                      <w:rFonts w:hint="default" w:ascii="Times New Roman" w:hAnsi="Times New Roman" w:eastAsia="宋体" w:cs="Times New Roman"/>
                      <w:kern w:val="2"/>
                      <w:sz w:val="18"/>
                      <w:szCs w:val="18"/>
                      <w:highlight w:val="none"/>
                      <w:lang w:val="en-US" w:eastAsia="zh-CN" w:bidi="ar-SA"/>
                    </w:rPr>
                  </w:pPr>
                  <w:r>
                    <w:rPr>
                      <w:rFonts w:hint="default" w:ascii="Times New Roman" w:hAnsi="Times New Roman" w:cs="Times New Roman"/>
                      <w:sz w:val="18"/>
                      <w:szCs w:val="18"/>
                      <w:highlight w:val="none"/>
                    </w:rPr>
                    <w:t>产品名称</w:t>
                  </w:r>
                </w:p>
              </w:tc>
              <w:tc>
                <w:tcPr>
                  <w:tcW w:w="1193" w:type="dxa"/>
                  <w:tcBorders>
                    <w:top w:val="single" w:color="auto" w:sz="4" w:space="0"/>
                    <w:left w:val="single" w:color="auto" w:sz="4" w:space="0"/>
                    <w:bottom w:val="single" w:color="auto" w:sz="4" w:space="0"/>
                    <w:right w:val="single" w:color="auto" w:sz="4" w:space="0"/>
                  </w:tcBorders>
                  <w:noWrap w:val="0"/>
                  <w:vAlign w:val="center"/>
                </w:tcPr>
                <w:p w14:paraId="58632B3C">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原料名称</w:t>
                  </w:r>
                </w:p>
              </w:tc>
              <w:tc>
                <w:tcPr>
                  <w:tcW w:w="1327" w:type="dxa"/>
                  <w:tcBorders>
                    <w:top w:val="single" w:color="auto" w:sz="4" w:space="0"/>
                    <w:left w:val="single" w:color="auto" w:sz="4" w:space="0"/>
                    <w:bottom w:val="single" w:color="auto" w:sz="4" w:space="0"/>
                    <w:right w:val="single" w:color="auto" w:sz="4" w:space="0"/>
                  </w:tcBorders>
                  <w:noWrap w:val="0"/>
                  <w:vAlign w:val="center"/>
                </w:tcPr>
                <w:p w14:paraId="2323A7FB">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工艺名称</w:t>
                  </w:r>
                </w:p>
              </w:tc>
              <w:tc>
                <w:tcPr>
                  <w:tcW w:w="1532" w:type="dxa"/>
                  <w:tcBorders>
                    <w:top w:val="single" w:color="auto" w:sz="4" w:space="0"/>
                    <w:left w:val="single" w:color="auto" w:sz="4" w:space="0"/>
                    <w:bottom w:val="single" w:color="auto" w:sz="4" w:space="0"/>
                    <w:right w:val="single" w:color="auto" w:sz="4" w:space="0"/>
                  </w:tcBorders>
                  <w:noWrap w:val="0"/>
                  <w:vAlign w:val="center"/>
                </w:tcPr>
                <w:p w14:paraId="7C83D379">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污染物</w:t>
                  </w:r>
                </w:p>
              </w:tc>
              <w:tc>
                <w:tcPr>
                  <w:tcW w:w="2014" w:type="dxa"/>
                  <w:tcBorders>
                    <w:top w:val="single" w:color="auto" w:sz="4" w:space="0"/>
                    <w:left w:val="single" w:color="auto" w:sz="4" w:space="0"/>
                    <w:bottom w:val="single" w:color="auto" w:sz="4" w:space="0"/>
                    <w:right w:val="single" w:color="auto" w:sz="4" w:space="0"/>
                  </w:tcBorders>
                  <w:noWrap w:val="0"/>
                  <w:vAlign w:val="center"/>
                </w:tcPr>
                <w:p w14:paraId="327DC6A0">
                  <w:pPr>
                    <w:spacing w:line="240" w:lineRule="exact"/>
                    <w:jc w:val="center"/>
                    <w:rPr>
                      <w:rFonts w:hint="default" w:ascii="Times New Roman" w:hAnsi="Times New Roman" w:cs="Times New Roman"/>
                      <w:sz w:val="18"/>
                      <w:szCs w:val="18"/>
                      <w:highlight w:val="none"/>
                    </w:rPr>
                  </w:pPr>
                  <w:r>
                    <w:rPr>
                      <w:rFonts w:hint="default" w:ascii="Times New Roman" w:hAnsi="Times New Roman" w:cs="Times New Roman"/>
                      <w:sz w:val="18"/>
                      <w:szCs w:val="18"/>
                      <w:highlight w:val="none"/>
                    </w:rPr>
                    <w:t>产污系数</w:t>
                  </w:r>
                </w:p>
              </w:tc>
            </w:tr>
            <w:tr w14:paraId="32FD7B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2" w:hRule="atLeast"/>
                <w:jc w:val="center"/>
              </w:trPr>
              <w:tc>
                <w:tcPr>
                  <w:tcW w:w="1109" w:type="dxa"/>
                  <w:tcBorders>
                    <w:top w:val="single" w:color="auto" w:sz="4" w:space="0"/>
                    <w:left w:val="single" w:color="auto" w:sz="4" w:space="0"/>
                    <w:bottom w:val="single" w:color="auto" w:sz="4" w:space="0"/>
                    <w:right w:val="single" w:color="auto" w:sz="4" w:space="0"/>
                  </w:tcBorders>
                  <w:noWrap w:val="0"/>
                  <w:vAlign w:val="center"/>
                </w:tcPr>
                <w:p w14:paraId="14F71C02">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涂装</w:t>
                  </w:r>
                </w:p>
              </w:tc>
              <w:tc>
                <w:tcPr>
                  <w:tcW w:w="1193" w:type="dxa"/>
                  <w:tcBorders>
                    <w:top w:val="single" w:color="auto" w:sz="4" w:space="0"/>
                    <w:left w:val="single" w:color="auto" w:sz="4" w:space="0"/>
                    <w:right w:val="single" w:color="auto" w:sz="4" w:space="0"/>
                  </w:tcBorders>
                  <w:noWrap w:val="0"/>
                  <w:vAlign w:val="center"/>
                </w:tcPr>
                <w:p w14:paraId="626E6C3A">
                  <w:pPr>
                    <w:spacing w:line="240" w:lineRule="exact"/>
                    <w:jc w:val="center"/>
                    <w:rPr>
                      <w:rFonts w:hint="eastAsia" w:ascii="Times New Roman" w:hAnsi="Times New Roman" w:eastAsia="宋体" w:cs="Times New Roman"/>
                      <w:sz w:val="18"/>
                      <w:szCs w:val="18"/>
                      <w:highlight w:val="none"/>
                      <w:lang w:eastAsia="zh-CN"/>
                    </w:rPr>
                  </w:pPr>
                  <w:r>
                    <w:rPr>
                      <w:rFonts w:hint="eastAsia" w:cs="Times New Roman"/>
                      <w:sz w:val="18"/>
                      <w:szCs w:val="18"/>
                      <w:highlight w:val="none"/>
                      <w:lang w:eastAsia="zh-CN"/>
                    </w:rPr>
                    <w:t>涂装件</w:t>
                  </w:r>
                </w:p>
              </w:tc>
              <w:tc>
                <w:tcPr>
                  <w:tcW w:w="1193" w:type="dxa"/>
                  <w:tcBorders>
                    <w:top w:val="single" w:color="auto" w:sz="4" w:space="0"/>
                    <w:left w:val="single" w:color="auto" w:sz="4" w:space="0"/>
                    <w:right w:val="single" w:color="auto" w:sz="4" w:space="0"/>
                  </w:tcBorders>
                  <w:noWrap w:val="0"/>
                  <w:vAlign w:val="center"/>
                </w:tcPr>
                <w:p w14:paraId="5AEF56D7">
                  <w:pPr>
                    <w:keepNext w:val="0"/>
                    <w:keepLines w:val="0"/>
                    <w:widowControl/>
                    <w:suppressLineNumbers w:val="0"/>
                    <w:jc w:val="center"/>
                    <w:rPr>
                      <w:rFonts w:hint="eastAsia" w:ascii="Times New Roman" w:hAnsi="Times New Roman" w:eastAsia="宋体" w:cs="Times New Roman"/>
                      <w:sz w:val="18"/>
                      <w:szCs w:val="18"/>
                      <w:highlight w:val="none"/>
                      <w:lang w:eastAsia="zh-CN"/>
                    </w:rPr>
                  </w:pPr>
                  <w:r>
                    <w:rPr>
                      <w:rFonts w:hint="eastAsia" w:ascii="宋体" w:hAnsi="宋体" w:eastAsia="宋体" w:cs="宋体"/>
                      <w:color w:val="000000"/>
                      <w:kern w:val="0"/>
                      <w:sz w:val="18"/>
                      <w:szCs w:val="18"/>
                      <w:lang w:val="en-US" w:eastAsia="zh-CN" w:bidi="ar"/>
                    </w:rPr>
                    <w:t>粉末涂料</w:t>
                  </w:r>
                </w:p>
              </w:tc>
              <w:tc>
                <w:tcPr>
                  <w:tcW w:w="1327" w:type="dxa"/>
                  <w:tcBorders>
                    <w:top w:val="single" w:color="auto" w:sz="4" w:space="0"/>
                    <w:left w:val="single" w:color="auto" w:sz="4" w:space="0"/>
                    <w:right w:val="single" w:color="auto" w:sz="4" w:space="0"/>
                  </w:tcBorders>
                  <w:noWrap w:val="0"/>
                  <w:vAlign w:val="center"/>
                </w:tcPr>
                <w:p w14:paraId="47BE27E0">
                  <w:pPr>
                    <w:keepNext w:val="0"/>
                    <w:keepLines w:val="0"/>
                    <w:widowControl/>
                    <w:suppressLineNumbers w:val="0"/>
                    <w:jc w:val="center"/>
                    <w:rPr>
                      <w:rFonts w:hint="eastAsia" w:ascii="Times New Roman" w:hAnsi="Times New Roman" w:eastAsia="宋体" w:cs="Times New Roman"/>
                      <w:sz w:val="18"/>
                      <w:szCs w:val="18"/>
                      <w:highlight w:val="none"/>
                      <w:lang w:eastAsia="zh-CN"/>
                    </w:rPr>
                  </w:pPr>
                  <w:r>
                    <w:rPr>
                      <w:rFonts w:hint="eastAsia" w:ascii="宋体" w:hAnsi="宋体" w:eastAsia="宋体" w:cs="宋体"/>
                      <w:color w:val="000000"/>
                      <w:kern w:val="0"/>
                      <w:sz w:val="18"/>
                      <w:szCs w:val="18"/>
                      <w:lang w:val="en-US" w:eastAsia="zh-CN" w:bidi="ar"/>
                    </w:rPr>
                    <w:t>喷塑</w:t>
                  </w:r>
                </w:p>
              </w:tc>
              <w:tc>
                <w:tcPr>
                  <w:tcW w:w="1532" w:type="dxa"/>
                  <w:tcBorders>
                    <w:top w:val="single" w:color="auto" w:sz="4" w:space="0"/>
                    <w:left w:val="single" w:color="auto" w:sz="4" w:space="0"/>
                    <w:right w:val="single" w:color="auto" w:sz="4" w:space="0"/>
                  </w:tcBorders>
                  <w:noWrap w:val="0"/>
                  <w:vAlign w:val="center"/>
                </w:tcPr>
                <w:p w14:paraId="582A735F">
                  <w:pPr>
                    <w:spacing w:line="240" w:lineRule="exact"/>
                    <w:jc w:val="center"/>
                    <w:rPr>
                      <w:rFonts w:hint="eastAsia" w:ascii="Times New Roman" w:hAnsi="Times New Roman" w:eastAsia="宋体" w:cs="Times New Roman"/>
                      <w:sz w:val="18"/>
                      <w:szCs w:val="18"/>
                      <w:highlight w:val="none"/>
                      <w:lang w:eastAsia="zh-CN"/>
                    </w:rPr>
                  </w:pPr>
                  <w:r>
                    <w:rPr>
                      <w:rFonts w:hint="default" w:ascii="Times New Roman" w:hAnsi="Times New Roman" w:cs="Times New Roman"/>
                      <w:sz w:val="18"/>
                      <w:szCs w:val="18"/>
                      <w:highlight w:val="none"/>
                    </w:rPr>
                    <w:t>颗粒物</w:t>
                  </w:r>
                </w:p>
              </w:tc>
              <w:tc>
                <w:tcPr>
                  <w:tcW w:w="2014" w:type="dxa"/>
                  <w:tcBorders>
                    <w:top w:val="single" w:color="auto" w:sz="4" w:space="0"/>
                    <w:left w:val="single" w:color="auto" w:sz="4" w:space="0"/>
                    <w:bottom w:val="single" w:color="auto" w:sz="4" w:space="0"/>
                    <w:right w:val="single" w:color="auto" w:sz="4" w:space="0"/>
                  </w:tcBorders>
                  <w:noWrap w:val="0"/>
                  <w:vAlign w:val="center"/>
                </w:tcPr>
                <w:p w14:paraId="74067E0C">
                  <w:pPr>
                    <w:spacing w:line="240" w:lineRule="exact"/>
                    <w:jc w:val="center"/>
                    <w:rPr>
                      <w:rFonts w:hint="default" w:ascii="Times New Roman" w:hAnsi="Times New Roman" w:cs="Times New Roman"/>
                      <w:sz w:val="18"/>
                      <w:szCs w:val="18"/>
                      <w:highlight w:val="none"/>
                    </w:rPr>
                  </w:pPr>
                  <w:r>
                    <w:rPr>
                      <w:rFonts w:hint="eastAsia" w:ascii="Times New Roman" w:hAnsi="Times New Roman" w:cs="Times New Roman"/>
                      <w:sz w:val="18"/>
                      <w:szCs w:val="18"/>
                      <w:highlight w:val="none"/>
                      <w:lang w:val="en-US" w:eastAsia="zh-CN"/>
                    </w:rPr>
                    <w:t>300</w:t>
                  </w:r>
                  <w:r>
                    <w:rPr>
                      <w:rFonts w:hint="default" w:ascii="Times New Roman" w:hAnsi="Times New Roman" w:cs="Times New Roman"/>
                      <w:sz w:val="18"/>
                      <w:szCs w:val="18"/>
                      <w:highlight w:val="none"/>
                    </w:rPr>
                    <w:t>kg/t-原料</w:t>
                  </w:r>
                </w:p>
              </w:tc>
            </w:tr>
          </w:tbl>
          <w:p w14:paraId="22A0CCFD">
            <w:pPr>
              <w:pStyle w:val="381"/>
              <w:ind w:firstLine="31680"/>
              <w:rPr>
                <w:rFonts w:hint="default" w:eastAsia="宋体" w:cs="Times New Roman"/>
                <w:b w:val="0"/>
                <w:bCs w:val="0"/>
                <w:kern w:val="2"/>
                <w:sz w:val="21"/>
                <w:szCs w:val="21"/>
                <w:lang w:val="en-US" w:eastAsia="zh-CN" w:bidi="ar-SA"/>
              </w:rPr>
            </w:pPr>
            <w:r>
              <w:rPr>
                <w:rFonts w:hint="eastAsia" w:cs="Times New Roman"/>
                <w:b w:val="0"/>
                <w:bCs w:val="0"/>
                <w:kern w:val="2"/>
                <w:sz w:val="21"/>
                <w:szCs w:val="21"/>
                <w:lang w:val="en-US" w:eastAsia="zh-CN" w:bidi="ar-SA"/>
              </w:rPr>
              <w:t>本项目静电喷塑工序颗粒物产生量为1.494t/a。</w:t>
            </w:r>
          </w:p>
          <w:p w14:paraId="36B1F9CC">
            <w:pPr>
              <w:pStyle w:val="381"/>
              <w:ind w:firstLine="422"/>
              <w:rPr>
                <w:b/>
                <w:bCs/>
                <w:sz w:val="21"/>
              </w:rPr>
            </w:pPr>
            <w:r>
              <w:rPr>
                <w:rFonts w:hint="eastAsia"/>
                <w:b/>
                <w:bCs/>
                <w:sz w:val="21"/>
                <w:lang w:val="en-US" w:eastAsia="zh-CN"/>
              </w:rPr>
              <w:t>2</w:t>
            </w:r>
            <w:r>
              <w:rPr>
                <w:b/>
                <w:bCs/>
                <w:sz w:val="21"/>
                <w:lang w:val="en-US"/>
              </w:rPr>
              <w:t>、</w:t>
            </w:r>
            <w:r>
              <w:rPr>
                <w:b/>
                <w:bCs/>
                <w:sz w:val="21"/>
              </w:rPr>
              <w:t>污染物排放情况核算</w:t>
            </w:r>
          </w:p>
          <w:p w14:paraId="65A808E5">
            <w:pPr>
              <w:spacing w:line="360" w:lineRule="auto"/>
              <w:ind w:firstLine="420" w:firstLineChars="200"/>
              <w:jc w:val="both"/>
              <w:rPr>
                <w:rFonts w:hint="eastAsia"/>
                <w:bCs/>
                <w:color w:val="auto"/>
                <w:sz w:val="21"/>
                <w:szCs w:val="21"/>
                <w:lang w:eastAsia="zh-CN"/>
              </w:rPr>
            </w:pPr>
            <w:r>
              <w:rPr>
                <w:rFonts w:hint="eastAsia"/>
                <w:bCs/>
                <w:color w:val="auto"/>
                <w:sz w:val="21"/>
                <w:szCs w:val="21"/>
                <w:lang w:eastAsia="zh-CN"/>
              </w:rPr>
              <w:t>（</w:t>
            </w:r>
            <w:r>
              <w:rPr>
                <w:rFonts w:hint="eastAsia"/>
                <w:bCs/>
                <w:color w:val="auto"/>
                <w:sz w:val="21"/>
                <w:szCs w:val="21"/>
                <w:lang w:val="en-US" w:eastAsia="zh-CN"/>
              </w:rPr>
              <w:t>1</w:t>
            </w:r>
            <w:r>
              <w:rPr>
                <w:rFonts w:hint="eastAsia"/>
                <w:bCs/>
                <w:color w:val="auto"/>
                <w:sz w:val="21"/>
                <w:szCs w:val="21"/>
                <w:lang w:eastAsia="zh-CN"/>
              </w:rPr>
              <w:t>）有组织废气</w:t>
            </w:r>
          </w:p>
          <w:p w14:paraId="1B7B27DF">
            <w:pPr>
              <w:spacing w:line="360" w:lineRule="auto"/>
              <w:ind w:firstLine="420" w:firstLineChars="200"/>
              <w:jc w:val="both"/>
              <w:rPr>
                <w:rFonts w:hint="default" w:cs="Times New Roman"/>
                <w:bCs/>
                <w:color w:val="000000"/>
                <w:sz w:val="21"/>
                <w:szCs w:val="21"/>
                <w:lang w:val="en-US" w:eastAsia="zh-CN"/>
              </w:rPr>
            </w:pPr>
            <w:r>
              <w:rPr>
                <w:rFonts w:hint="eastAsia" w:cs="Times New Roman"/>
                <w:bCs/>
                <w:color w:val="000000"/>
                <w:sz w:val="21"/>
                <w:szCs w:val="21"/>
                <w:lang w:val="en-US" w:eastAsia="zh-CN"/>
              </w:rPr>
              <w:t>1）DA001两级活性炭吸附排气筒</w:t>
            </w:r>
          </w:p>
          <w:p w14:paraId="6510F995">
            <w:pPr>
              <w:spacing w:line="360" w:lineRule="auto"/>
              <w:ind w:firstLine="420" w:firstLineChars="200"/>
              <w:jc w:val="both"/>
              <w:rPr>
                <w:rFonts w:hint="eastAsia" w:ascii="Times New Roman" w:hAnsi="Times New Roman" w:cs="Times New Roman"/>
                <w:bCs/>
                <w:color w:val="000000"/>
                <w:sz w:val="21"/>
                <w:szCs w:val="21"/>
                <w:lang w:val="en-US" w:eastAsia="zh-CN"/>
              </w:rPr>
            </w:pPr>
            <w:r>
              <w:rPr>
                <w:rFonts w:hint="default" w:ascii="Times New Roman" w:hAnsi="Times New Roman" w:cs="Times New Roman"/>
                <w:sz w:val="21"/>
                <w:szCs w:val="21"/>
                <w:lang w:eastAsia="zh-CN"/>
              </w:rPr>
              <w:t>喷漆房</w:t>
            </w:r>
            <w:r>
              <w:rPr>
                <w:rFonts w:hint="default" w:ascii="Times New Roman" w:hAnsi="Times New Roman" w:cs="Times New Roman"/>
                <w:sz w:val="21"/>
                <w:szCs w:val="21"/>
              </w:rPr>
              <w:t>涂装过程</w:t>
            </w:r>
            <w:r>
              <w:rPr>
                <w:rFonts w:hint="default" w:ascii="Times New Roman" w:hAnsi="Times New Roman" w:cs="Times New Roman"/>
                <w:sz w:val="21"/>
                <w:szCs w:val="21"/>
                <w:lang w:eastAsia="zh-CN"/>
              </w:rPr>
              <w:t>产生的漆雾颗粒、</w:t>
            </w:r>
            <w:r>
              <w:rPr>
                <w:rFonts w:hint="default" w:ascii="Times New Roman" w:hAnsi="Times New Roman" w:cs="Times New Roman"/>
                <w:sz w:val="21"/>
                <w:szCs w:val="21"/>
                <w:lang w:val="en-US" w:eastAsia="zh-CN"/>
              </w:rPr>
              <w:t>VOCs</w:t>
            </w:r>
            <w:r>
              <w:rPr>
                <w:rFonts w:hint="default" w:ascii="Times New Roman" w:hAnsi="Times New Roman" w:cs="Times New Roman"/>
                <w:sz w:val="21"/>
                <w:szCs w:val="21"/>
                <w:lang w:eastAsia="zh-CN"/>
              </w:rPr>
              <w:t>经</w:t>
            </w:r>
            <w:r>
              <w:rPr>
                <w:rFonts w:hint="eastAsia" w:cs="Times New Roman"/>
                <w:sz w:val="21"/>
                <w:szCs w:val="21"/>
                <w:lang w:eastAsia="zh-CN"/>
              </w:rPr>
              <w:t>迷宫式过滤箱</w:t>
            </w:r>
            <w:r>
              <w:rPr>
                <w:rFonts w:hint="default" w:ascii="Times New Roman" w:hAnsi="Times New Roman" w:cs="Times New Roman"/>
                <w:sz w:val="21"/>
                <w:szCs w:val="21"/>
                <w:lang w:eastAsia="zh-CN"/>
              </w:rPr>
              <w:t>处理漆雾颗粒</w:t>
            </w:r>
            <w:r>
              <w:rPr>
                <w:rFonts w:hint="eastAsia" w:ascii="Times New Roman" w:hAnsi="Times New Roman" w:cs="Times New Roman"/>
                <w:sz w:val="21"/>
                <w:szCs w:val="21"/>
                <w:lang w:eastAsia="zh-CN"/>
              </w:rPr>
              <w:t>后</w:t>
            </w:r>
            <w:r>
              <w:rPr>
                <w:rFonts w:hint="eastAsia" w:cs="Times New Roman"/>
                <w:sz w:val="21"/>
                <w:szCs w:val="21"/>
                <w:lang w:val="en-US" w:eastAsia="zh-CN"/>
              </w:rPr>
              <w:t>；</w:t>
            </w:r>
            <w:r>
              <w:rPr>
                <w:rFonts w:hint="eastAsia" w:cs="Times New Roman"/>
                <w:sz w:val="21"/>
                <w:szCs w:val="21"/>
                <w:lang w:eastAsia="zh-CN"/>
              </w:rPr>
              <w:t>静电喷塑固化过程</w:t>
            </w:r>
            <w:r>
              <w:rPr>
                <w:rFonts w:hint="eastAsia" w:cs="Times New Roman"/>
                <w:sz w:val="21"/>
                <w:szCs w:val="21"/>
                <w:lang w:val="en-US" w:eastAsia="zh-CN"/>
              </w:rPr>
              <w:t>收集</w:t>
            </w:r>
            <w:r>
              <w:rPr>
                <w:rFonts w:hint="eastAsia" w:cs="Times New Roman"/>
                <w:sz w:val="21"/>
                <w:szCs w:val="21"/>
                <w:lang w:eastAsia="zh-CN"/>
              </w:rPr>
              <w:t>的</w:t>
            </w:r>
            <w:r>
              <w:rPr>
                <w:rFonts w:hint="eastAsia" w:cs="Times New Roman"/>
                <w:sz w:val="21"/>
                <w:szCs w:val="21"/>
                <w:lang w:val="en-US" w:eastAsia="zh-CN"/>
              </w:rPr>
              <w:t>VOCs；</w:t>
            </w:r>
            <w:r>
              <w:rPr>
                <w:rFonts w:hint="eastAsia" w:ascii="Times New Roman" w:hAnsi="Times New Roman" w:cs="Times New Roman"/>
                <w:sz w:val="21"/>
                <w:szCs w:val="21"/>
                <w:lang w:val="en-US" w:eastAsia="zh-CN"/>
              </w:rPr>
              <w:t>与电机浸漆、烘干工序负压收集的VOCs</w:t>
            </w:r>
            <w:r>
              <w:rPr>
                <w:rFonts w:hint="eastAsia" w:cs="Times New Roman"/>
                <w:sz w:val="21"/>
                <w:szCs w:val="21"/>
                <w:lang w:val="en-US" w:eastAsia="zh-CN"/>
              </w:rPr>
              <w:t>、苯乙烯</w:t>
            </w:r>
            <w:r>
              <w:rPr>
                <w:rFonts w:hint="eastAsia" w:ascii="Times New Roman" w:hAnsi="Times New Roman" w:cs="Times New Roman"/>
                <w:sz w:val="21"/>
                <w:szCs w:val="21"/>
                <w:lang w:val="en-US" w:eastAsia="zh-CN"/>
              </w:rPr>
              <w:t>，及</w:t>
            </w:r>
            <w:r>
              <w:rPr>
                <w:rFonts w:hint="default" w:ascii="Times New Roman" w:hAnsi="Times New Roman" w:cs="Times New Roman"/>
                <w:bCs/>
                <w:color w:val="auto"/>
                <w:sz w:val="21"/>
                <w:szCs w:val="21"/>
                <w:lang w:eastAsia="zh-CN"/>
              </w:rPr>
              <w:t>玻璃钢缠绕罐原料投料、缠绕成型、</w:t>
            </w:r>
            <w:r>
              <w:rPr>
                <w:rFonts w:hint="default" w:ascii="Times New Roman" w:hAnsi="Times New Roman" w:cs="Times New Roman"/>
                <w:b w:val="0"/>
                <w:bCs w:val="0"/>
                <w:kern w:val="2"/>
                <w:sz w:val="21"/>
                <w:szCs w:val="21"/>
                <w:lang w:val="en-US" w:eastAsia="zh-CN" w:bidi="ar-SA"/>
              </w:rPr>
              <w:t>常温固化、原料装模、组装、粘接工序集气罩收集的VOCs、苯乙烯</w:t>
            </w:r>
            <w:r>
              <w:rPr>
                <w:rFonts w:hint="eastAsia" w:cs="Times New Roman"/>
                <w:b w:val="0"/>
                <w:bCs w:val="0"/>
                <w:kern w:val="2"/>
                <w:sz w:val="21"/>
                <w:szCs w:val="21"/>
                <w:lang w:val="en-US" w:eastAsia="zh-CN" w:bidi="ar-SA"/>
              </w:rPr>
              <w:t>、臭气浓度</w:t>
            </w:r>
            <w:r>
              <w:rPr>
                <w:rFonts w:hint="eastAsia" w:ascii="Times New Roman" w:hAnsi="Times New Roman" w:cs="Times New Roman"/>
                <w:b w:val="0"/>
                <w:bCs w:val="0"/>
                <w:kern w:val="2"/>
                <w:sz w:val="21"/>
                <w:szCs w:val="21"/>
                <w:lang w:val="en-US" w:eastAsia="zh-CN" w:bidi="ar-SA"/>
              </w:rPr>
              <w:t>，</w:t>
            </w:r>
            <w:r>
              <w:rPr>
                <w:rFonts w:hint="default" w:ascii="Times New Roman" w:hAnsi="Times New Roman" w:cs="Times New Roman"/>
                <w:b w:val="0"/>
                <w:bCs w:val="0"/>
                <w:kern w:val="2"/>
                <w:sz w:val="21"/>
                <w:szCs w:val="21"/>
                <w:lang w:val="en-US" w:eastAsia="zh-CN" w:bidi="ar-SA"/>
              </w:rPr>
              <w:t>PPH缠绕罐加热熔融、缠绕成型、常温固化、人工装模、组装、粘接工序集气罩收集的VOCs，一同汇入</w:t>
            </w:r>
            <w:r>
              <w:rPr>
                <w:rFonts w:hint="default" w:ascii="Times New Roman" w:hAnsi="Times New Roman" w:cs="Times New Roman"/>
                <w:sz w:val="21"/>
                <w:szCs w:val="21"/>
                <w:lang w:eastAsia="zh-CN"/>
              </w:rPr>
              <w:t>两级活性炭吸附装置处理，最后经</w:t>
            </w:r>
            <w:r>
              <w:rPr>
                <w:rFonts w:hint="default" w:ascii="Times New Roman" w:hAnsi="Times New Roman" w:cs="Times New Roman"/>
                <w:sz w:val="21"/>
                <w:szCs w:val="21"/>
                <w:lang w:val="en-US" w:eastAsia="zh-CN"/>
              </w:rPr>
              <w:t>15mDA001排气筒有组织排放</w:t>
            </w:r>
            <w:r>
              <w:rPr>
                <w:rFonts w:hint="eastAsia" w:ascii="Times New Roman" w:hAnsi="Times New Roman" w:cs="Times New Roman"/>
                <w:bCs/>
                <w:color w:val="000000"/>
                <w:sz w:val="21"/>
                <w:szCs w:val="21"/>
                <w:lang w:val="en-US" w:eastAsia="zh-CN"/>
              </w:rPr>
              <w:t>；</w:t>
            </w:r>
          </w:p>
          <w:p w14:paraId="14D66A83">
            <w:pPr>
              <w:spacing w:line="360" w:lineRule="auto"/>
              <w:ind w:firstLine="420" w:firstLineChars="200"/>
              <w:jc w:val="both"/>
              <w:rPr>
                <w:rFonts w:hint="eastAsia" w:cs="Times New Roman"/>
                <w:bCs/>
                <w:color w:val="000000"/>
                <w:sz w:val="21"/>
                <w:szCs w:val="21"/>
                <w:vertAlign w:val="baseline"/>
                <w:lang w:val="en-US" w:eastAsia="zh-CN"/>
              </w:rPr>
            </w:pPr>
            <w:r>
              <w:rPr>
                <w:rFonts w:hint="eastAsia" w:cs="Times New Roman"/>
                <w:bCs/>
                <w:color w:val="000000"/>
                <w:sz w:val="21"/>
                <w:szCs w:val="21"/>
                <w:lang w:val="en-US" w:eastAsia="zh-CN"/>
              </w:rPr>
              <w:t>喷漆房内为负压，涂装过程调漆、喷漆、晾干可同时进行，VOCs收集率按98%计，产生的漆雾颗粒有粘性，不会散落到喷漆房外，漆雾颗粒按全部收集计，浸漆烘干工序VOCs收集效率按98%计，</w:t>
            </w:r>
            <w:r>
              <w:rPr>
                <w:rFonts w:hint="eastAsia" w:cs="Times New Roman"/>
                <w:bCs/>
                <w:color w:val="auto"/>
                <w:sz w:val="21"/>
                <w:szCs w:val="21"/>
                <w:lang w:eastAsia="zh-CN"/>
              </w:rPr>
              <w:t>玻璃钢缠绕罐及</w:t>
            </w:r>
            <w:r>
              <w:rPr>
                <w:rFonts w:hint="eastAsia" w:cs="Times New Roman"/>
                <w:bCs/>
                <w:color w:val="auto"/>
                <w:sz w:val="21"/>
                <w:szCs w:val="21"/>
                <w:lang w:val="en-US" w:eastAsia="zh-CN"/>
              </w:rPr>
              <w:t>PPH缠绕罐生产过程集气罩废气收集效率按90%计，</w:t>
            </w:r>
            <w:r>
              <w:rPr>
                <w:rFonts w:hint="eastAsia" w:cs="Times New Roman"/>
                <w:bCs/>
                <w:color w:val="000000"/>
                <w:sz w:val="21"/>
                <w:szCs w:val="21"/>
                <w:lang w:val="en-US" w:eastAsia="zh-CN"/>
              </w:rPr>
              <w:t>静电喷塑固化产生的VOCs在密闭电烘干箱内按全部收集计，</w:t>
            </w:r>
            <w:r>
              <w:rPr>
                <w:rFonts w:hint="eastAsia" w:cs="Times New Roman"/>
                <w:bCs/>
                <w:color w:val="auto"/>
                <w:sz w:val="21"/>
                <w:szCs w:val="21"/>
                <w:lang w:val="en-US" w:eastAsia="zh-CN"/>
              </w:rPr>
              <w:t>迷宫式过滤箱内设置纸盒及过滤棉吸附过滤箱，漆雾颗粒处理效率为90%，两级活性炭吸附装置对VOCs、苯乙烯处理效率按70%计，DA001排气筒风机风量为10000</w:t>
            </w:r>
            <w:r>
              <w:rPr>
                <w:rFonts w:hint="eastAsia" w:cs="Times New Roman"/>
                <w:bCs/>
                <w:color w:val="000000"/>
                <w:sz w:val="21"/>
                <w:szCs w:val="21"/>
                <w:lang w:val="en-US" w:eastAsia="zh-CN"/>
              </w:rPr>
              <w:t>m</w:t>
            </w:r>
            <w:r>
              <w:rPr>
                <w:rFonts w:hint="eastAsia" w:cs="Times New Roman"/>
                <w:bCs/>
                <w:color w:val="000000"/>
                <w:sz w:val="21"/>
                <w:szCs w:val="21"/>
                <w:vertAlign w:val="superscript"/>
                <w:lang w:val="en-US" w:eastAsia="zh-CN"/>
              </w:rPr>
              <w:t>3</w:t>
            </w:r>
            <w:r>
              <w:rPr>
                <w:rFonts w:hint="eastAsia" w:cs="Times New Roman"/>
                <w:bCs/>
                <w:color w:val="000000"/>
                <w:sz w:val="21"/>
                <w:szCs w:val="21"/>
                <w:vertAlign w:val="baseline"/>
                <w:lang w:val="en-US" w:eastAsia="zh-CN"/>
              </w:rPr>
              <w:t>/h，喷漆房涂装工序工作时间1200h/a，</w:t>
            </w:r>
            <w:r>
              <w:rPr>
                <w:rFonts w:hint="eastAsia" w:cs="Times New Roman"/>
                <w:bCs/>
                <w:color w:val="auto"/>
                <w:sz w:val="21"/>
                <w:szCs w:val="21"/>
                <w:lang w:eastAsia="zh-CN"/>
              </w:rPr>
              <w:t>玻璃钢缠绕罐及</w:t>
            </w:r>
            <w:r>
              <w:rPr>
                <w:rFonts w:hint="eastAsia" w:cs="Times New Roman"/>
                <w:bCs/>
                <w:color w:val="auto"/>
                <w:sz w:val="21"/>
                <w:szCs w:val="21"/>
                <w:lang w:val="en-US" w:eastAsia="zh-CN"/>
              </w:rPr>
              <w:t>PPH缠绕罐工作时间约1200h/a，浸漆、烘干工序工作时间约1200h/a，静电喷塑后固化工序工作时间约1200h/a，各工序可分别生产，互不影响，本次环评考虑最不利影响，即以上工序同时生产时，各工序污染物</w:t>
            </w:r>
            <w:r>
              <w:rPr>
                <w:rFonts w:hint="eastAsia" w:cs="Times New Roman"/>
                <w:bCs/>
                <w:color w:val="000000"/>
                <w:sz w:val="21"/>
                <w:szCs w:val="21"/>
                <w:vertAlign w:val="baseline"/>
                <w:lang w:val="en-US" w:eastAsia="zh-CN"/>
              </w:rPr>
              <w:t>产生及排放情况见下表。</w:t>
            </w:r>
          </w:p>
          <w:p w14:paraId="6163A7CE">
            <w:pPr>
              <w:pStyle w:val="2"/>
              <w:ind w:left="0" w:leftChars="0" w:firstLine="0" w:firstLineChars="0"/>
              <w:jc w:val="center"/>
              <w:rPr>
                <w:rFonts w:hint="default"/>
                <w:b/>
                <w:bCs w:val="0"/>
                <w:lang w:val="en-US" w:eastAsia="zh-CN"/>
              </w:rPr>
            </w:pPr>
            <w:r>
              <w:rPr>
                <w:rFonts w:hint="eastAsia" w:cs="Times New Roman"/>
                <w:b/>
                <w:bCs w:val="0"/>
                <w:color w:val="000000"/>
                <w:sz w:val="21"/>
                <w:szCs w:val="21"/>
                <w:vertAlign w:val="baseline"/>
                <w:lang w:val="en-US" w:eastAsia="zh-CN"/>
              </w:rPr>
              <w:t>表4-9 DA001排气筒各工序污染物产生及排放情况一览表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84"/>
              <w:gridCol w:w="560"/>
              <w:gridCol w:w="630"/>
              <w:gridCol w:w="735"/>
              <w:gridCol w:w="645"/>
              <w:gridCol w:w="660"/>
              <w:gridCol w:w="600"/>
              <w:gridCol w:w="495"/>
              <w:gridCol w:w="525"/>
              <w:gridCol w:w="375"/>
              <w:gridCol w:w="465"/>
              <w:gridCol w:w="598"/>
              <w:gridCol w:w="490"/>
              <w:gridCol w:w="500"/>
              <w:gridCol w:w="365"/>
              <w:gridCol w:w="341"/>
            </w:tblGrid>
            <w:tr w14:paraId="4919C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1" w:hRule="atLeast"/>
                <w:jc w:val="center"/>
              </w:trPr>
              <w:tc>
                <w:tcPr>
                  <w:tcW w:w="384" w:type="dxa"/>
                  <w:vMerge w:val="restart"/>
                  <w:tcBorders>
                    <w:top w:val="single" w:color="auto" w:sz="4" w:space="0"/>
                    <w:left w:val="single" w:color="auto" w:sz="4" w:space="0"/>
                    <w:bottom w:val="single" w:color="auto" w:sz="4" w:space="0"/>
                    <w:right w:val="single" w:color="auto" w:sz="4" w:space="0"/>
                  </w:tcBorders>
                  <w:vAlign w:val="center"/>
                </w:tcPr>
                <w:p w14:paraId="2EF84968">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产污环节</w:t>
                  </w:r>
                </w:p>
              </w:tc>
              <w:tc>
                <w:tcPr>
                  <w:tcW w:w="560" w:type="dxa"/>
                  <w:vMerge w:val="restart"/>
                  <w:tcBorders>
                    <w:top w:val="single" w:color="auto" w:sz="4" w:space="0"/>
                    <w:left w:val="single" w:color="auto" w:sz="4" w:space="0"/>
                    <w:bottom w:val="single" w:color="auto" w:sz="4" w:space="0"/>
                    <w:right w:val="single" w:color="auto" w:sz="4" w:space="0"/>
                  </w:tcBorders>
                  <w:vAlign w:val="center"/>
                </w:tcPr>
                <w:p w14:paraId="4E58D4FF">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污染物</w:t>
                  </w:r>
                </w:p>
                <w:p w14:paraId="5C55EE0D">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种类</w:t>
                  </w:r>
                </w:p>
              </w:tc>
              <w:tc>
                <w:tcPr>
                  <w:tcW w:w="2670" w:type="dxa"/>
                  <w:gridSpan w:val="4"/>
                  <w:tcBorders>
                    <w:top w:val="single" w:color="auto" w:sz="4" w:space="0"/>
                    <w:left w:val="single" w:color="auto" w:sz="4" w:space="0"/>
                    <w:bottom w:val="single" w:color="auto" w:sz="4" w:space="0"/>
                    <w:right w:val="single" w:color="auto" w:sz="4" w:space="0"/>
                  </w:tcBorders>
                  <w:vAlign w:val="center"/>
                </w:tcPr>
                <w:p w14:paraId="68477313">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污染物产生</w:t>
                  </w:r>
                </w:p>
              </w:tc>
              <w:tc>
                <w:tcPr>
                  <w:tcW w:w="2460" w:type="dxa"/>
                  <w:gridSpan w:val="5"/>
                  <w:tcBorders>
                    <w:top w:val="single" w:color="auto" w:sz="4" w:space="0"/>
                    <w:left w:val="single" w:color="auto" w:sz="4" w:space="0"/>
                    <w:bottom w:val="single" w:color="auto" w:sz="4" w:space="0"/>
                    <w:right w:val="single" w:color="auto" w:sz="4" w:space="0"/>
                  </w:tcBorders>
                  <w:vAlign w:val="center"/>
                </w:tcPr>
                <w:p w14:paraId="71103AD9">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治理设施</w:t>
                  </w:r>
                </w:p>
              </w:tc>
              <w:tc>
                <w:tcPr>
                  <w:tcW w:w="2294" w:type="dxa"/>
                  <w:gridSpan w:val="5"/>
                  <w:tcBorders>
                    <w:top w:val="single" w:color="auto" w:sz="4" w:space="0"/>
                    <w:left w:val="single" w:color="auto" w:sz="4" w:space="0"/>
                    <w:bottom w:val="single" w:color="auto" w:sz="4" w:space="0"/>
                    <w:right w:val="single" w:color="auto" w:sz="4" w:space="0"/>
                  </w:tcBorders>
                  <w:vAlign w:val="center"/>
                </w:tcPr>
                <w:p w14:paraId="1D58BB9A">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rPr>
                    <w:t>污染物排放</w:t>
                  </w:r>
                </w:p>
              </w:tc>
            </w:tr>
            <w:tr w14:paraId="160DD1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28" w:hRule="atLeast"/>
                <w:jc w:val="center"/>
              </w:trPr>
              <w:tc>
                <w:tcPr>
                  <w:tcW w:w="384" w:type="dxa"/>
                  <w:vMerge w:val="continue"/>
                  <w:tcBorders>
                    <w:top w:val="single" w:color="auto" w:sz="4" w:space="0"/>
                    <w:left w:val="single" w:color="auto" w:sz="4" w:space="0"/>
                    <w:bottom w:val="single" w:color="auto" w:sz="4" w:space="0"/>
                    <w:right w:val="single" w:color="auto" w:sz="4" w:space="0"/>
                  </w:tcBorders>
                  <w:vAlign w:val="center"/>
                </w:tcPr>
                <w:p w14:paraId="764C2516">
                  <w:pPr>
                    <w:spacing w:line="240" w:lineRule="auto"/>
                    <w:jc w:val="center"/>
                    <w:rPr>
                      <w:rFonts w:hint="default" w:ascii="Times New Roman" w:hAnsi="Times New Roman" w:eastAsia="宋体" w:cs="Times New Roman"/>
                      <w:sz w:val="18"/>
                      <w:szCs w:val="18"/>
                    </w:rPr>
                  </w:pPr>
                </w:p>
              </w:tc>
              <w:tc>
                <w:tcPr>
                  <w:tcW w:w="560" w:type="dxa"/>
                  <w:vMerge w:val="continue"/>
                  <w:tcBorders>
                    <w:top w:val="single" w:color="auto" w:sz="4" w:space="0"/>
                    <w:left w:val="single" w:color="auto" w:sz="4" w:space="0"/>
                    <w:bottom w:val="single" w:color="auto" w:sz="4" w:space="0"/>
                    <w:right w:val="single" w:color="auto" w:sz="4" w:space="0"/>
                  </w:tcBorders>
                  <w:vAlign w:val="center"/>
                </w:tcPr>
                <w:p w14:paraId="250705B3">
                  <w:pPr>
                    <w:spacing w:line="240" w:lineRule="auto"/>
                    <w:jc w:val="center"/>
                    <w:rPr>
                      <w:rFonts w:hint="default" w:ascii="Times New Roman" w:hAnsi="Times New Roman" w:eastAsia="宋体" w:cs="Times New Roman"/>
                      <w:sz w:val="18"/>
                      <w:szCs w:val="18"/>
                    </w:rPr>
                  </w:pPr>
                </w:p>
              </w:tc>
              <w:tc>
                <w:tcPr>
                  <w:tcW w:w="630" w:type="dxa"/>
                  <w:tcBorders>
                    <w:top w:val="single" w:color="auto" w:sz="4" w:space="0"/>
                    <w:left w:val="single" w:color="auto" w:sz="4" w:space="0"/>
                    <w:bottom w:val="single" w:color="auto" w:sz="4" w:space="0"/>
                    <w:right w:val="single" w:color="auto" w:sz="4" w:space="0"/>
                  </w:tcBorders>
                  <w:vAlign w:val="center"/>
                </w:tcPr>
                <w:p w14:paraId="3EAABE7F">
                  <w:pPr>
                    <w:spacing w:line="240" w:lineRule="auto"/>
                    <w:jc w:val="center"/>
                    <w:rPr>
                      <w:rFonts w:hint="eastAsia" w:cs="Times New Roman"/>
                      <w:sz w:val="18"/>
                      <w:szCs w:val="18"/>
                      <w:lang w:eastAsia="zh-CN"/>
                    </w:rPr>
                  </w:pPr>
                  <w:r>
                    <w:rPr>
                      <w:rFonts w:hint="eastAsia" w:cs="Times New Roman"/>
                      <w:sz w:val="18"/>
                      <w:szCs w:val="18"/>
                      <w:lang w:eastAsia="zh-CN"/>
                    </w:rPr>
                    <w:t>产生量</w:t>
                  </w:r>
                  <w:r>
                    <w:rPr>
                      <w:rFonts w:hint="default" w:ascii="Times New Roman" w:hAnsi="Times New Roman" w:eastAsia="宋体" w:cs="Times New Roman"/>
                      <w:sz w:val="18"/>
                      <w:szCs w:val="18"/>
                    </w:rPr>
                    <w:t>t/a</w:t>
                  </w:r>
                </w:p>
              </w:tc>
              <w:tc>
                <w:tcPr>
                  <w:tcW w:w="735" w:type="dxa"/>
                  <w:tcBorders>
                    <w:top w:val="single" w:color="auto" w:sz="4" w:space="0"/>
                    <w:left w:val="single" w:color="auto" w:sz="4" w:space="0"/>
                    <w:bottom w:val="single" w:color="auto" w:sz="4" w:space="0"/>
                    <w:right w:val="single" w:color="auto" w:sz="4" w:space="0"/>
                  </w:tcBorders>
                  <w:vAlign w:val="center"/>
                </w:tcPr>
                <w:p w14:paraId="7956A763">
                  <w:pPr>
                    <w:spacing w:line="240" w:lineRule="auto"/>
                    <w:jc w:val="center"/>
                    <w:rPr>
                      <w:rFonts w:hint="default" w:ascii="Times New Roman" w:hAnsi="Times New Roman" w:eastAsia="宋体" w:cs="Times New Roman"/>
                      <w:sz w:val="18"/>
                      <w:szCs w:val="18"/>
                    </w:rPr>
                  </w:pPr>
                  <w:r>
                    <w:rPr>
                      <w:rFonts w:hint="eastAsia" w:cs="Times New Roman"/>
                      <w:sz w:val="18"/>
                      <w:szCs w:val="18"/>
                      <w:lang w:eastAsia="zh-CN"/>
                    </w:rPr>
                    <w:t>有组织收集</w:t>
                  </w:r>
                  <w:r>
                    <w:rPr>
                      <w:rFonts w:hint="default" w:ascii="Times New Roman" w:hAnsi="Times New Roman" w:eastAsia="宋体" w:cs="Times New Roman"/>
                      <w:sz w:val="18"/>
                      <w:szCs w:val="18"/>
                    </w:rPr>
                    <w:t>量t/a</w:t>
                  </w:r>
                </w:p>
              </w:tc>
              <w:tc>
                <w:tcPr>
                  <w:tcW w:w="645" w:type="dxa"/>
                  <w:tcBorders>
                    <w:top w:val="single" w:color="auto" w:sz="4" w:space="0"/>
                    <w:left w:val="single" w:color="auto" w:sz="4" w:space="0"/>
                    <w:bottom w:val="single" w:color="auto" w:sz="4" w:space="0"/>
                    <w:right w:val="single" w:color="auto" w:sz="4" w:space="0"/>
                  </w:tcBorders>
                  <w:vAlign w:val="center"/>
                </w:tcPr>
                <w:p w14:paraId="1FC5B596">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产生浓度mg/m</w:t>
                  </w:r>
                  <w:r>
                    <w:rPr>
                      <w:rFonts w:hint="default" w:ascii="Times New Roman" w:hAnsi="Times New Roman" w:eastAsia="宋体" w:cs="Times New Roman"/>
                      <w:sz w:val="18"/>
                      <w:szCs w:val="18"/>
                      <w:vertAlign w:val="superscript"/>
                    </w:rPr>
                    <w:t>3</w:t>
                  </w:r>
                </w:p>
              </w:tc>
              <w:tc>
                <w:tcPr>
                  <w:tcW w:w="660" w:type="dxa"/>
                  <w:tcBorders>
                    <w:top w:val="single" w:color="auto" w:sz="4" w:space="0"/>
                    <w:left w:val="single" w:color="auto" w:sz="4" w:space="0"/>
                    <w:bottom w:val="single" w:color="auto" w:sz="4" w:space="0"/>
                    <w:right w:val="single" w:color="auto" w:sz="4" w:space="0"/>
                  </w:tcBorders>
                  <w:vAlign w:val="center"/>
                </w:tcPr>
                <w:p w14:paraId="03DB1A87">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eastAsia="zh-CN"/>
                    </w:rPr>
                    <w:t>产生速率</w:t>
                  </w:r>
                  <w:r>
                    <w:rPr>
                      <w:rFonts w:hint="default" w:ascii="Times New Roman" w:hAnsi="Times New Roman" w:eastAsia="宋体" w:cs="Times New Roman"/>
                      <w:sz w:val="18"/>
                      <w:szCs w:val="18"/>
                      <w:lang w:val="en-US" w:eastAsia="zh-CN"/>
                    </w:rPr>
                    <w:t>kg/h</w:t>
                  </w:r>
                </w:p>
              </w:tc>
              <w:tc>
                <w:tcPr>
                  <w:tcW w:w="600" w:type="dxa"/>
                  <w:tcBorders>
                    <w:top w:val="single" w:color="auto" w:sz="4" w:space="0"/>
                    <w:left w:val="single" w:color="auto" w:sz="4" w:space="0"/>
                    <w:bottom w:val="single" w:color="auto" w:sz="4" w:space="0"/>
                    <w:right w:val="single" w:color="auto" w:sz="4" w:space="0"/>
                  </w:tcBorders>
                  <w:vAlign w:val="center"/>
                </w:tcPr>
                <w:p w14:paraId="7A20A5C8">
                  <w:pPr>
                    <w:spacing w:line="240" w:lineRule="auto"/>
                    <w:jc w:val="center"/>
                    <w:rPr>
                      <w:rFonts w:hint="eastAsia" w:ascii="Times New Roman" w:hAnsi="Times New Roman" w:eastAsia="宋体" w:cs="Times New Roman"/>
                      <w:sz w:val="18"/>
                      <w:szCs w:val="18"/>
                      <w:lang w:eastAsia="zh-CN"/>
                    </w:rPr>
                  </w:pPr>
                  <w:r>
                    <w:rPr>
                      <w:rFonts w:hint="default" w:ascii="Times New Roman" w:hAnsi="Times New Roman" w:eastAsia="宋体" w:cs="Times New Roman"/>
                      <w:sz w:val="18"/>
                      <w:szCs w:val="18"/>
                    </w:rPr>
                    <w:t>处理能力m</w:t>
                  </w:r>
                  <w:r>
                    <w:rPr>
                      <w:rFonts w:hint="default" w:ascii="Times New Roman" w:hAnsi="Times New Roman" w:eastAsia="宋体" w:cs="Times New Roman"/>
                      <w:sz w:val="18"/>
                      <w:szCs w:val="18"/>
                      <w:vertAlign w:val="superscript"/>
                    </w:rPr>
                    <w:t>3</w:t>
                  </w:r>
                  <w:r>
                    <w:rPr>
                      <w:rFonts w:hint="default" w:ascii="Times New Roman" w:hAnsi="Times New Roman" w:eastAsia="宋体" w:cs="Times New Roman"/>
                      <w:sz w:val="18"/>
                      <w:szCs w:val="18"/>
                    </w:rPr>
                    <w:t>/</w:t>
                  </w:r>
                  <w:r>
                    <w:rPr>
                      <w:rFonts w:hint="eastAsia" w:ascii="Times New Roman" w:hAnsi="Times New Roman" w:eastAsia="宋体" w:cs="Times New Roman"/>
                      <w:sz w:val="18"/>
                      <w:szCs w:val="18"/>
                      <w:lang w:val="en-US" w:eastAsia="zh-CN"/>
                    </w:rPr>
                    <w:t>h</w:t>
                  </w:r>
                </w:p>
              </w:tc>
              <w:tc>
                <w:tcPr>
                  <w:tcW w:w="495" w:type="dxa"/>
                  <w:tcBorders>
                    <w:top w:val="single" w:color="auto" w:sz="4" w:space="0"/>
                    <w:left w:val="single" w:color="auto" w:sz="4" w:space="0"/>
                    <w:bottom w:val="single" w:color="auto" w:sz="4" w:space="0"/>
                    <w:right w:val="single" w:color="auto" w:sz="4" w:space="0"/>
                  </w:tcBorders>
                  <w:vAlign w:val="center"/>
                </w:tcPr>
                <w:p w14:paraId="0B86F0C3">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收集率%</w:t>
                  </w:r>
                </w:p>
              </w:tc>
              <w:tc>
                <w:tcPr>
                  <w:tcW w:w="525" w:type="dxa"/>
                  <w:tcBorders>
                    <w:top w:val="single" w:color="auto" w:sz="4" w:space="0"/>
                    <w:left w:val="single" w:color="auto" w:sz="4" w:space="0"/>
                    <w:bottom w:val="single" w:color="auto" w:sz="4" w:space="0"/>
                    <w:right w:val="single" w:color="auto" w:sz="4" w:space="0"/>
                  </w:tcBorders>
                  <w:vAlign w:val="center"/>
                </w:tcPr>
                <w:p w14:paraId="2DDCF0C5">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治理工艺</w:t>
                  </w:r>
                </w:p>
              </w:tc>
              <w:tc>
                <w:tcPr>
                  <w:tcW w:w="375" w:type="dxa"/>
                  <w:tcBorders>
                    <w:top w:val="single" w:color="auto" w:sz="4" w:space="0"/>
                    <w:left w:val="single" w:color="auto" w:sz="4" w:space="0"/>
                    <w:bottom w:val="single" w:color="auto" w:sz="4" w:space="0"/>
                    <w:right w:val="single" w:color="auto" w:sz="4" w:space="0"/>
                  </w:tcBorders>
                  <w:vAlign w:val="center"/>
                </w:tcPr>
                <w:p w14:paraId="0B52224F">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去除率%</w:t>
                  </w:r>
                </w:p>
              </w:tc>
              <w:tc>
                <w:tcPr>
                  <w:tcW w:w="465" w:type="dxa"/>
                  <w:tcBorders>
                    <w:top w:val="single" w:color="auto" w:sz="4" w:space="0"/>
                    <w:left w:val="single" w:color="auto" w:sz="4" w:space="0"/>
                    <w:bottom w:val="single" w:color="auto" w:sz="4" w:space="0"/>
                    <w:right w:val="single" w:color="auto" w:sz="4" w:space="0"/>
                  </w:tcBorders>
                  <w:vAlign w:val="center"/>
                </w:tcPr>
                <w:p w14:paraId="6E9878C5">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是否为可行技术</w:t>
                  </w:r>
                </w:p>
              </w:tc>
              <w:tc>
                <w:tcPr>
                  <w:tcW w:w="598" w:type="dxa"/>
                  <w:tcBorders>
                    <w:top w:val="single" w:color="auto" w:sz="4" w:space="0"/>
                    <w:left w:val="single" w:color="auto" w:sz="4" w:space="0"/>
                    <w:bottom w:val="single" w:color="auto" w:sz="4" w:space="0"/>
                    <w:right w:val="single" w:color="auto" w:sz="4" w:space="0"/>
                  </w:tcBorders>
                  <w:vAlign w:val="center"/>
                </w:tcPr>
                <w:p w14:paraId="6F495DE2">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排放量t/a</w:t>
                  </w:r>
                </w:p>
              </w:tc>
              <w:tc>
                <w:tcPr>
                  <w:tcW w:w="490" w:type="dxa"/>
                  <w:tcBorders>
                    <w:top w:val="single" w:color="auto" w:sz="4" w:space="0"/>
                    <w:left w:val="single" w:color="auto" w:sz="4" w:space="0"/>
                    <w:bottom w:val="single" w:color="auto" w:sz="4" w:space="0"/>
                    <w:right w:val="single" w:color="auto" w:sz="4" w:space="0"/>
                  </w:tcBorders>
                  <w:vAlign w:val="center"/>
                </w:tcPr>
                <w:p w14:paraId="1C63A4C9">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排放浓度mg/m</w:t>
                  </w:r>
                  <w:r>
                    <w:rPr>
                      <w:rFonts w:hint="default" w:ascii="Times New Roman" w:hAnsi="Times New Roman" w:eastAsia="宋体" w:cs="Times New Roman"/>
                      <w:sz w:val="18"/>
                      <w:szCs w:val="18"/>
                      <w:vertAlign w:val="superscript"/>
                    </w:rPr>
                    <w:t>3</w:t>
                  </w:r>
                </w:p>
              </w:tc>
              <w:tc>
                <w:tcPr>
                  <w:tcW w:w="500" w:type="dxa"/>
                  <w:tcBorders>
                    <w:top w:val="single" w:color="auto" w:sz="4" w:space="0"/>
                    <w:left w:val="single" w:color="auto" w:sz="4" w:space="0"/>
                    <w:bottom w:val="single" w:color="auto" w:sz="4" w:space="0"/>
                    <w:right w:val="single" w:color="auto" w:sz="4" w:space="0"/>
                  </w:tcBorders>
                  <w:vAlign w:val="center"/>
                </w:tcPr>
                <w:p w14:paraId="5899D6C4">
                  <w:pPr>
                    <w:spacing w:line="240" w:lineRule="auto"/>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rPr>
                    <w:t>排放速率kg/h</w:t>
                  </w:r>
                </w:p>
              </w:tc>
              <w:tc>
                <w:tcPr>
                  <w:tcW w:w="365" w:type="dxa"/>
                  <w:tcBorders>
                    <w:top w:val="single" w:color="auto" w:sz="4" w:space="0"/>
                    <w:left w:val="single" w:color="auto" w:sz="4" w:space="0"/>
                    <w:bottom w:val="single" w:color="auto" w:sz="4" w:space="0"/>
                    <w:right w:val="single" w:color="auto" w:sz="4" w:space="0"/>
                  </w:tcBorders>
                  <w:vAlign w:val="center"/>
                </w:tcPr>
                <w:p w14:paraId="561F1D06">
                  <w:pPr>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持续时间</w:t>
                  </w:r>
                </w:p>
                <w:p w14:paraId="43B6F8C3">
                  <w:pPr>
                    <w:pStyle w:val="2"/>
                    <w:spacing w:line="240" w:lineRule="auto"/>
                    <w:ind w:left="0" w:leftChars="0" w:firstLine="0" w:firstLineChars="0"/>
                    <w:jc w:val="center"/>
                    <w:rPr>
                      <w:rFonts w:hint="default" w:ascii="Times New Roman" w:hAnsi="Times New Roman" w:eastAsia="宋体" w:cs="Times New Roman"/>
                      <w:sz w:val="18"/>
                      <w:szCs w:val="18"/>
                    </w:rPr>
                  </w:pPr>
                  <w:r>
                    <w:rPr>
                      <w:rFonts w:hint="default" w:ascii="Times New Roman" w:hAnsi="Times New Roman" w:eastAsia="宋体" w:cs="Times New Roman"/>
                      <w:sz w:val="18"/>
                      <w:szCs w:val="18"/>
                      <w:lang w:val="en-US" w:eastAsia="zh-CN"/>
                    </w:rPr>
                    <w:t>h/a</w:t>
                  </w:r>
                </w:p>
              </w:tc>
              <w:tc>
                <w:tcPr>
                  <w:tcW w:w="341" w:type="dxa"/>
                  <w:tcBorders>
                    <w:top w:val="single" w:color="auto" w:sz="4" w:space="0"/>
                    <w:left w:val="single" w:color="auto" w:sz="4" w:space="0"/>
                    <w:bottom w:val="single" w:color="auto" w:sz="4" w:space="0"/>
                    <w:right w:val="single" w:color="auto" w:sz="4" w:space="0"/>
                  </w:tcBorders>
                  <w:vAlign w:val="center"/>
                </w:tcPr>
                <w:p w14:paraId="7A586967">
                  <w:pPr>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eastAsia="宋体" w:cs="Times New Roman"/>
                      <w:sz w:val="18"/>
                      <w:szCs w:val="18"/>
                      <w:lang w:eastAsia="zh-CN"/>
                    </w:rPr>
                    <w:t>排放形式</w:t>
                  </w:r>
                </w:p>
              </w:tc>
            </w:tr>
            <w:tr w14:paraId="4E480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restart"/>
                  <w:tcBorders>
                    <w:top w:val="single" w:color="auto" w:sz="2" w:space="0"/>
                    <w:left w:val="single" w:color="auto" w:sz="4" w:space="0"/>
                    <w:right w:val="single" w:color="auto" w:sz="4" w:space="0"/>
                  </w:tcBorders>
                  <w:vAlign w:val="center"/>
                </w:tcPr>
                <w:p w14:paraId="0A2BECDE">
                  <w:pPr>
                    <w:spacing w:line="240" w:lineRule="auto"/>
                    <w:jc w:val="center"/>
                    <w:rPr>
                      <w:rFonts w:hint="default" w:ascii="Times New Roman" w:hAnsi="Times New Roman" w:eastAsia="宋体" w:cs="Times New Roman"/>
                      <w:sz w:val="18"/>
                      <w:szCs w:val="18"/>
                      <w:lang w:val="en-US" w:eastAsia="zh-CN"/>
                    </w:rPr>
                  </w:pPr>
                  <w:r>
                    <w:rPr>
                      <w:rFonts w:hint="eastAsia" w:cs="Times New Roman"/>
                      <w:bCs/>
                      <w:sz w:val="18"/>
                      <w:szCs w:val="18"/>
                      <w:lang w:eastAsia="zh-CN"/>
                    </w:rPr>
                    <w:t>喷漆房涂装</w:t>
                  </w:r>
                  <w:r>
                    <w:rPr>
                      <w:rFonts w:hint="eastAsia" w:ascii="Times New Roman" w:hAnsi="Times New Roman" w:eastAsia="宋体" w:cs="Times New Roman"/>
                      <w:bCs/>
                      <w:sz w:val="18"/>
                      <w:szCs w:val="18"/>
                      <w:lang w:eastAsia="zh-CN"/>
                    </w:rPr>
                    <w:t>工序</w:t>
                  </w:r>
                </w:p>
              </w:tc>
              <w:tc>
                <w:tcPr>
                  <w:tcW w:w="560" w:type="dxa"/>
                  <w:tcBorders>
                    <w:top w:val="single" w:color="auto" w:sz="4" w:space="0"/>
                    <w:left w:val="single" w:color="auto" w:sz="4" w:space="0"/>
                    <w:bottom w:val="single" w:color="auto" w:sz="4" w:space="0"/>
                    <w:right w:val="single" w:color="auto" w:sz="4" w:space="0"/>
                  </w:tcBorders>
                  <w:vAlign w:val="center"/>
                </w:tcPr>
                <w:p w14:paraId="25184AD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default" w:ascii="Times New Roman" w:hAnsi="Times New Roman" w:cs="Times New Roman"/>
                      <w:bCs/>
                      <w:color w:val="000000"/>
                      <w:sz w:val="18"/>
                      <w:szCs w:val="18"/>
                      <w:vertAlign w:val="baseline"/>
                      <w:lang w:val="en-US" w:eastAsia="zh-CN"/>
                    </w:rPr>
                    <w:t>颗粒物</w:t>
                  </w:r>
                </w:p>
              </w:tc>
              <w:tc>
                <w:tcPr>
                  <w:tcW w:w="630" w:type="dxa"/>
                  <w:tcBorders>
                    <w:top w:val="single" w:color="auto" w:sz="4" w:space="0"/>
                    <w:left w:val="single" w:color="auto" w:sz="4" w:space="0"/>
                    <w:bottom w:val="single" w:color="auto" w:sz="4" w:space="0"/>
                    <w:right w:val="single" w:color="auto" w:sz="4" w:space="0"/>
                  </w:tcBorders>
                  <w:vAlign w:val="center"/>
                </w:tcPr>
                <w:p w14:paraId="5163C1D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0.5031</w:t>
                  </w:r>
                </w:p>
              </w:tc>
              <w:tc>
                <w:tcPr>
                  <w:tcW w:w="735" w:type="dxa"/>
                  <w:tcBorders>
                    <w:top w:val="single" w:color="auto" w:sz="4" w:space="0"/>
                    <w:left w:val="single" w:color="auto" w:sz="4" w:space="0"/>
                    <w:bottom w:val="single" w:color="auto" w:sz="4" w:space="0"/>
                    <w:right w:val="single" w:color="auto" w:sz="4" w:space="0"/>
                  </w:tcBorders>
                  <w:vAlign w:val="center"/>
                </w:tcPr>
                <w:p w14:paraId="34D401AD">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0.5031</w:t>
                  </w:r>
                </w:p>
              </w:tc>
              <w:tc>
                <w:tcPr>
                  <w:tcW w:w="645" w:type="dxa"/>
                  <w:tcBorders>
                    <w:top w:val="single" w:color="auto" w:sz="4" w:space="0"/>
                    <w:left w:val="single" w:color="auto" w:sz="4" w:space="0"/>
                    <w:bottom w:val="single" w:color="auto" w:sz="4" w:space="0"/>
                    <w:right w:val="single" w:color="auto" w:sz="4" w:space="0"/>
                  </w:tcBorders>
                  <w:vAlign w:val="center"/>
                </w:tcPr>
                <w:p w14:paraId="6E6CB175">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21.0</w:t>
                  </w:r>
                </w:p>
              </w:tc>
              <w:tc>
                <w:tcPr>
                  <w:tcW w:w="660" w:type="dxa"/>
                  <w:tcBorders>
                    <w:top w:val="single" w:color="auto" w:sz="4" w:space="0"/>
                    <w:left w:val="single" w:color="auto" w:sz="4" w:space="0"/>
                    <w:bottom w:val="single" w:color="auto" w:sz="4" w:space="0"/>
                    <w:right w:val="single" w:color="auto" w:sz="4" w:space="0"/>
                  </w:tcBorders>
                  <w:vAlign w:val="center"/>
                </w:tcPr>
                <w:p w14:paraId="02E6DF9D">
                  <w:pPr>
                    <w:keepNext w:val="0"/>
                    <w:keepLines w:val="0"/>
                    <w:widowControl/>
                    <w:suppressLineNumbers w:val="0"/>
                    <w:jc w:val="center"/>
                    <w:textAlignment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0.419</w:t>
                  </w:r>
                  <w:r>
                    <w:rPr>
                      <w:rFonts w:hint="eastAsia" w:eastAsia="宋体" w:cs="Times New Roman"/>
                      <w:i w:val="0"/>
                      <w:iCs w:val="0"/>
                      <w:color w:val="000000"/>
                      <w:kern w:val="0"/>
                      <w:sz w:val="18"/>
                      <w:szCs w:val="18"/>
                      <w:u w:val="none"/>
                      <w:lang w:val="en-US" w:eastAsia="zh-CN" w:bidi="ar"/>
                    </w:rPr>
                    <w:t>3</w:t>
                  </w:r>
                </w:p>
              </w:tc>
              <w:tc>
                <w:tcPr>
                  <w:tcW w:w="600" w:type="dxa"/>
                  <w:vMerge w:val="restart"/>
                  <w:tcBorders>
                    <w:top w:val="single" w:color="auto" w:sz="4" w:space="0"/>
                    <w:left w:val="single" w:color="auto" w:sz="4" w:space="0"/>
                    <w:right w:val="single" w:color="auto" w:sz="4" w:space="0"/>
                  </w:tcBorders>
                  <w:vAlign w:val="center"/>
                </w:tcPr>
                <w:p w14:paraId="18F618B2">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10000</w:t>
                  </w:r>
                </w:p>
              </w:tc>
              <w:tc>
                <w:tcPr>
                  <w:tcW w:w="495" w:type="dxa"/>
                  <w:tcBorders>
                    <w:top w:val="single" w:color="auto" w:sz="4" w:space="0"/>
                    <w:left w:val="single" w:color="auto" w:sz="4" w:space="0"/>
                    <w:bottom w:val="single" w:color="auto" w:sz="4" w:space="0"/>
                    <w:right w:val="single" w:color="auto" w:sz="4" w:space="0"/>
                  </w:tcBorders>
                  <w:vAlign w:val="center"/>
                </w:tcPr>
                <w:p w14:paraId="005DB523">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100</w:t>
                  </w:r>
                </w:p>
              </w:tc>
              <w:tc>
                <w:tcPr>
                  <w:tcW w:w="525" w:type="dxa"/>
                  <w:tcBorders>
                    <w:top w:val="single" w:color="auto" w:sz="4" w:space="0"/>
                    <w:left w:val="single" w:color="auto" w:sz="4" w:space="0"/>
                    <w:bottom w:val="single" w:color="auto" w:sz="4" w:space="0"/>
                    <w:right w:val="single" w:color="auto" w:sz="4" w:space="0"/>
                  </w:tcBorders>
                  <w:vAlign w:val="center"/>
                </w:tcPr>
                <w:p w14:paraId="3725ED48">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cs="宋体"/>
                      <w:i w:val="0"/>
                      <w:iCs w:val="0"/>
                      <w:color w:val="000000"/>
                      <w:kern w:val="0"/>
                      <w:sz w:val="18"/>
                      <w:szCs w:val="18"/>
                      <w:u w:val="none"/>
                      <w:lang w:val="en-US" w:eastAsia="zh-CN" w:bidi="ar"/>
                    </w:rPr>
                    <w:t>迷宫式过滤箱</w:t>
                  </w:r>
                  <w:r>
                    <w:rPr>
                      <w:rFonts w:hint="eastAsia" w:ascii="宋体" w:hAnsi="宋体" w:eastAsia="宋体" w:cs="宋体"/>
                      <w:i w:val="0"/>
                      <w:iCs w:val="0"/>
                      <w:color w:val="000000"/>
                      <w:kern w:val="0"/>
                      <w:sz w:val="18"/>
                      <w:szCs w:val="18"/>
                      <w:u w:val="none"/>
                      <w:lang w:val="en-US" w:eastAsia="zh-CN" w:bidi="ar"/>
                    </w:rPr>
                    <w:t>（吸附过滤）</w:t>
                  </w:r>
                </w:p>
              </w:tc>
              <w:tc>
                <w:tcPr>
                  <w:tcW w:w="375" w:type="dxa"/>
                  <w:tcBorders>
                    <w:top w:val="single" w:color="auto" w:sz="4" w:space="0"/>
                    <w:left w:val="single" w:color="auto" w:sz="4" w:space="0"/>
                    <w:bottom w:val="single" w:color="auto" w:sz="4" w:space="0"/>
                    <w:right w:val="single" w:color="auto" w:sz="4" w:space="0"/>
                  </w:tcBorders>
                  <w:vAlign w:val="center"/>
                </w:tcPr>
                <w:p w14:paraId="2338FE72">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w:t>
                  </w:r>
                  <w:r>
                    <w:rPr>
                      <w:rFonts w:hint="eastAsia" w:cs="Times New Roman"/>
                      <w:i w:val="0"/>
                      <w:iCs w:val="0"/>
                      <w:color w:val="000000"/>
                      <w:kern w:val="0"/>
                      <w:sz w:val="18"/>
                      <w:szCs w:val="18"/>
                      <w:u w:val="none"/>
                      <w:lang w:val="en-US" w:eastAsia="zh-CN" w:bidi="ar"/>
                    </w:rPr>
                    <w:t>0</w:t>
                  </w:r>
                </w:p>
              </w:tc>
              <w:tc>
                <w:tcPr>
                  <w:tcW w:w="465" w:type="dxa"/>
                  <w:tcBorders>
                    <w:top w:val="single" w:color="auto" w:sz="4" w:space="0"/>
                    <w:left w:val="single" w:color="auto" w:sz="4" w:space="0"/>
                    <w:bottom w:val="single" w:color="auto" w:sz="4" w:space="0"/>
                    <w:right w:val="single" w:color="auto" w:sz="4" w:space="0"/>
                  </w:tcBorders>
                  <w:vAlign w:val="center"/>
                </w:tcPr>
                <w:p w14:paraId="663EDEBE">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598" w:type="dxa"/>
                  <w:tcBorders>
                    <w:top w:val="single" w:color="auto" w:sz="4" w:space="0"/>
                    <w:left w:val="single" w:color="auto" w:sz="4" w:space="0"/>
                    <w:bottom w:val="single" w:color="auto" w:sz="4" w:space="0"/>
                    <w:right w:val="single" w:color="auto" w:sz="4" w:space="0"/>
                  </w:tcBorders>
                  <w:vAlign w:val="center"/>
                </w:tcPr>
                <w:p w14:paraId="67068738">
                  <w:pPr>
                    <w:keepNext w:val="0"/>
                    <w:keepLines w:val="0"/>
                    <w:widowControl/>
                    <w:suppressLineNumbers w:val="0"/>
                    <w:jc w:val="center"/>
                    <w:textAlignment w:val="center"/>
                    <w:rPr>
                      <w:rFonts w:hint="default" w:ascii="Times New Roman" w:hAnsi="Times New Roman" w:eastAsia="宋体" w:cs="Times New Roman"/>
                      <w:kern w:val="0"/>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0.0503</w:t>
                  </w:r>
                </w:p>
              </w:tc>
              <w:tc>
                <w:tcPr>
                  <w:tcW w:w="490" w:type="dxa"/>
                  <w:tcBorders>
                    <w:top w:val="single" w:color="auto" w:sz="4" w:space="0"/>
                    <w:left w:val="single" w:color="auto" w:sz="4" w:space="0"/>
                    <w:bottom w:val="single" w:color="auto" w:sz="4" w:space="0"/>
                    <w:right w:val="single" w:color="auto" w:sz="4" w:space="0"/>
                  </w:tcBorders>
                  <w:vAlign w:val="center"/>
                </w:tcPr>
                <w:p w14:paraId="18C46940">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2.1</w:t>
                  </w:r>
                </w:p>
              </w:tc>
              <w:tc>
                <w:tcPr>
                  <w:tcW w:w="500" w:type="dxa"/>
                  <w:tcBorders>
                    <w:top w:val="single" w:color="auto" w:sz="4" w:space="0"/>
                    <w:left w:val="single" w:color="auto" w:sz="4" w:space="0"/>
                    <w:bottom w:val="single" w:color="auto" w:sz="4" w:space="0"/>
                    <w:right w:val="single" w:color="auto" w:sz="4" w:space="0"/>
                  </w:tcBorders>
                  <w:vAlign w:val="center"/>
                </w:tcPr>
                <w:p w14:paraId="2BA659CE">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0.0419</w:t>
                  </w:r>
                </w:p>
              </w:tc>
              <w:tc>
                <w:tcPr>
                  <w:tcW w:w="365" w:type="dxa"/>
                  <w:vMerge w:val="restart"/>
                  <w:tcBorders>
                    <w:top w:val="single" w:color="auto" w:sz="4" w:space="0"/>
                    <w:left w:val="single" w:color="auto" w:sz="4" w:space="0"/>
                    <w:right w:val="single" w:color="auto" w:sz="4" w:space="0"/>
                  </w:tcBorders>
                  <w:vAlign w:val="center"/>
                </w:tcPr>
                <w:p w14:paraId="09947D00">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1200</w:t>
                  </w:r>
                </w:p>
              </w:tc>
              <w:tc>
                <w:tcPr>
                  <w:tcW w:w="341" w:type="dxa"/>
                  <w:vMerge w:val="restart"/>
                  <w:tcBorders>
                    <w:top w:val="single" w:color="auto" w:sz="4" w:space="0"/>
                    <w:left w:val="single" w:color="auto" w:sz="4" w:space="0"/>
                    <w:right w:val="single" w:color="auto" w:sz="4" w:space="0"/>
                  </w:tcBorders>
                  <w:vAlign w:val="center"/>
                </w:tcPr>
                <w:p w14:paraId="7A9F9165">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491830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45632A10">
                  <w:pPr>
                    <w:spacing w:line="240" w:lineRule="auto"/>
                    <w:jc w:val="center"/>
                    <w:rPr>
                      <w:rFonts w:hint="eastAsia" w:ascii="Times New Roman" w:hAnsi="Times New Roman" w:eastAsia="宋体" w:cs="Times New Roman"/>
                      <w:bCs/>
                      <w:sz w:val="18"/>
                      <w:szCs w:val="18"/>
                      <w:lang w:eastAsia="zh-CN"/>
                    </w:rPr>
                  </w:pPr>
                </w:p>
              </w:tc>
              <w:tc>
                <w:tcPr>
                  <w:tcW w:w="560" w:type="dxa"/>
                  <w:vMerge w:val="restart"/>
                  <w:tcBorders>
                    <w:top w:val="single" w:color="auto" w:sz="4" w:space="0"/>
                    <w:left w:val="single" w:color="auto" w:sz="4" w:space="0"/>
                    <w:right w:val="single" w:color="auto" w:sz="4" w:space="0"/>
                  </w:tcBorders>
                  <w:vAlign w:val="center"/>
                </w:tcPr>
                <w:p w14:paraId="121D8AD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630" w:type="dxa"/>
                  <w:vMerge w:val="restart"/>
                  <w:tcBorders>
                    <w:top w:val="single" w:color="auto" w:sz="4" w:space="0"/>
                    <w:left w:val="single" w:color="auto" w:sz="4" w:space="0"/>
                    <w:right w:val="single" w:color="auto" w:sz="4" w:space="0"/>
                  </w:tcBorders>
                  <w:vAlign w:val="center"/>
                </w:tcPr>
                <w:p w14:paraId="065FFA87">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0.843</w:t>
                  </w:r>
                </w:p>
              </w:tc>
              <w:tc>
                <w:tcPr>
                  <w:tcW w:w="735" w:type="dxa"/>
                  <w:tcBorders>
                    <w:top w:val="single" w:color="auto" w:sz="4" w:space="0"/>
                    <w:left w:val="single" w:color="auto" w:sz="4" w:space="0"/>
                    <w:bottom w:val="single" w:color="auto" w:sz="4" w:space="0"/>
                    <w:right w:val="single" w:color="auto" w:sz="4" w:space="0"/>
                  </w:tcBorders>
                  <w:vAlign w:val="center"/>
                </w:tcPr>
                <w:p w14:paraId="50B652BA">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0.8262</w:t>
                  </w:r>
                </w:p>
              </w:tc>
              <w:tc>
                <w:tcPr>
                  <w:tcW w:w="645" w:type="dxa"/>
                  <w:tcBorders>
                    <w:top w:val="single" w:color="auto" w:sz="4" w:space="0"/>
                    <w:left w:val="single" w:color="auto" w:sz="4" w:space="0"/>
                    <w:bottom w:val="single" w:color="auto" w:sz="4" w:space="0"/>
                    <w:right w:val="single" w:color="auto" w:sz="4" w:space="0"/>
                  </w:tcBorders>
                  <w:vAlign w:val="center"/>
                </w:tcPr>
                <w:p w14:paraId="49C5562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34.4</w:t>
                  </w:r>
                </w:p>
              </w:tc>
              <w:tc>
                <w:tcPr>
                  <w:tcW w:w="660" w:type="dxa"/>
                  <w:tcBorders>
                    <w:top w:val="single" w:color="auto" w:sz="4" w:space="0"/>
                    <w:left w:val="single" w:color="auto" w:sz="4" w:space="0"/>
                    <w:bottom w:val="single" w:color="auto" w:sz="4" w:space="0"/>
                    <w:right w:val="single" w:color="auto" w:sz="4" w:space="0"/>
                  </w:tcBorders>
                  <w:vAlign w:val="center"/>
                </w:tcPr>
                <w:p w14:paraId="22FA111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0.6885</w:t>
                  </w:r>
                </w:p>
              </w:tc>
              <w:tc>
                <w:tcPr>
                  <w:tcW w:w="600" w:type="dxa"/>
                  <w:vMerge w:val="continue"/>
                  <w:tcBorders>
                    <w:left w:val="single" w:color="auto" w:sz="4" w:space="0"/>
                    <w:bottom w:val="single" w:color="auto" w:sz="4" w:space="0"/>
                    <w:right w:val="single" w:color="auto" w:sz="4" w:space="0"/>
                  </w:tcBorders>
                  <w:vAlign w:val="center"/>
                </w:tcPr>
                <w:p w14:paraId="15FE6645">
                  <w:pPr>
                    <w:jc w:val="center"/>
                    <w:rPr>
                      <w:rFonts w:hint="eastAsia" w:cs="Times New Roman"/>
                      <w:sz w:val="18"/>
                      <w:szCs w:val="18"/>
                      <w:lang w:val="en-US" w:eastAsia="zh-CN"/>
                    </w:rPr>
                  </w:pPr>
                </w:p>
              </w:tc>
              <w:tc>
                <w:tcPr>
                  <w:tcW w:w="495" w:type="dxa"/>
                  <w:tcBorders>
                    <w:top w:val="single" w:color="auto" w:sz="4" w:space="0"/>
                    <w:left w:val="single" w:color="auto" w:sz="4" w:space="0"/>
                    <w:bottom w:val="single" w:color="auto" w:sz="4" w:space="0"/>
                    <w:right w:val="single" w:color="auto" w:sz="4" w:space="0"/>
                  </w:tcBorders>
                  <w:vAlign w:val="center"/>
                </w:tcPr>
                <w:p w14:paraId="15474889">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98</w:t>
                  </w:r>
                </w:p>
              </w:tc>
              <w:tc>
                <w:tcPr>
                  <w:tcW w:w="525" w:type="dxa"/>
                  <w:tcBorders>
                    <w:top w:val="single" w:color="auto" w:sz="4" w:space="0"/>
                    <w:left w:val="single" w:color="auto" w:sz="4" w:space="0"/>
                    <w:bottom w:val="single" w:color="auto" w:sz="4" w:space="0"/>
                    <w:right w:val="single" w:color="auto" w:sz="4" w:space="0"/>
                  </w:tcBorders>
                  <w:vAlign w:val="center"/>
                </w:tcPr>
                <w:p w14:paraId="20767EFA">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375" w:type="dxa"/>
                  <w:tcBorders>
                    <w:top w:val="single" w:color="auto" w:sz="4" w:space="0"/>
                    <w:left w:val="single" w:color="auto" w:sz="4" w:space="0"/>
                    <w:bottom w:val="single" w:color="auto" w:sz="4" w:space="0"/>
                    <w:right w:val="single" w:color="auto" w:sz="4" w:space="0"/>
                  </w:tcBorders>
                  <w:vAlign w:val="center"/>
                </w:tcPr>
                <w:p w14:paraId="2D9DEA81">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465" w:type="dxa"/>
                  <w:tcBorders>
                    <w:top w:val="single" w:color="auto" w:sz="4" w:space="0"/>
                    <w:left w:val="single" w:color="auto" w:sz="4" w:space="0"/>
                    <w:bottom w:val="single" w:color="auto" w:sz="4" w:space="0"/>
                    <w:right w:val="single" w:color="auto" w:sz="4" w:space="0"/>
                  </w:tcBorders>
                  <w:vAlign w:val="center"/>
                </w:tcPr>
                <w:p w14:paraId="09DB028C">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598" w:type="dxa"/>
                  <w:tcBorders>
                    <w:top w:val="single" w:color="auto" w:sz="4" w:space="0"/>
                    <w:left w:val="single" w:color="auto" w:sz="4" w:space="0"/>
                    <w:bottom w:val="single" w:color="auto" w:sz="4" w:space="0"/>
                    <w:right w:val="single" w:color="auto" w:sz="4" w:space="0"/>
                  </w:tcBorders>
                  <w:vAlign w:val="center"/>
                </w:tcPr>
                <w:p w14:paraId="318121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0.2353</w:t>
                  </w:r>
                </w:p>
              </w:tc>
              <w:tc>
                <w:tcPr>
                  <w:tcW w:w="490" w:type="dxa"/>
                  <w:tcBorders>
                    <w:top w:val="single" w:color="auto" w:sz="4" w:space="0"/>
                    <w:left w:val="single" w:color="auto" w:sz="4" w:space="0"/>
                    <w:bottom w:val="single" w:color="auto" w:sz="4" w:space="0"/>
                    <w:right w:val="single" w:color="auto" w:sz="4" w:space="0"/>
                  </w:tcBorders>
                  <w:vAlign w:val="center"/>
                </w:tcPr>
                <w:p w14:paraId="49441D3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9.8</w:t>
                  </w:r>
                </w:p>
              </w:tc>
              <w:tc>
                <w:tcPr>
                  <w:tcW w:w="500" w:type="dxa"/>
                  <w:tcBorders>
                    <w:top w:val="single" w:color="auto" w:sz="4" w:space="0"/>
                    <w:left w:val="single" w:color="auto" w:sz="4" w:space="0"/>
                    <w:bottom w:val="single" w:color="auto" w:sz="4" w:space="0"/>
                    <w:right w:val="single" w:color="auto" w:sz="4" w:space="0"/>
                  </w:tcBorders>
                  <w:vAlign w:val="center"/>
                </w:tcPr>
                <w:p w14:paraId="30E1B15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0.196</w:t>
                  </w:r>
                  <w:r>
                    <w:rPr>
                      <w:rFonts w:hint="eastAsia" w:eastAsia="宋体" w:cs="Times New Roman"/>
                      <w:i w:val="0"/>
                      <w:iCs w:val="0"/>
                      <w:color w:val="000000"/>
                      <w:kern w:val="0"/>
                      <w:sz w:val="18"/>
                      <w:szCs w:val="18"/>
                      <w:u w:val="none"/>
                      <w:lang w:val="en-US" w:eastAsia="zh-CN" w:bidi="ar"/>
                    </w:rPr>
                    <w:t>1</w:t>
                  </w:r>
                </w:p>
              </w:tc>
              <w:tc>
                <w:tcPr>
                  <w:tcW w:w="365" w:type="dxa"/>
                  <w:vMerge w:val="continue"/>
                  <w:tcBorders>
                    <w:left w:val="single" w:color="auto" w:sz="4" w:space="0"/>
                    <w:right w:val="single" w:color="auto" w:sz="4" w:space="0"/>
                  </w:tcBorders>
                  <w:vAlign w:val="center"/>
                </w:tcPr>
                <w:p w14:paraId="3FCA06F7">
                  <w:pPr>
                    <w:spacing w:line="240" w:lineRule="auto"/>
                    <w:jc w:val="center"/>
                    <w:rPr>
                      <w:rFonts w:hint="default" w:ascii="Times New Roman" w:hAnsi="Times New Roman" w:eastAsia="宋体" w:cs="Times New Roman"/>
                      <w:sz w:val="18"/>
                      <w:szCs w:val="18"/>
                      <w:lang w:val="en-US" w:eastAsia="zh-CN"/>
                    </w:rPr>
                  </w:pPr>
                </w:p>
              </w:tc>
              <w:tc>
                <w:tcPr>
                  <w:tcW w:w="341" w:type="dxa"/>
                  <w:vMerge w:val="continue"/>
                  <w:tcBorders>
                    <w:left w:val="single" w:color="auto" w:sz="4" w:space="0"/>
                    <w:bottom w:val="single" w:color="auto" w:sz="4" w:space="0"/>
                    <w:right w:val="single" w:color="auto" w:sz="4" w:space="0"/>
                  </w:tcBorders>
                  <w:vAlign w:val="center"/>
                </w:tcPr>
                <w:p w14:paraId="2D9B3BE0">
                  <w:pPr>
                    <w:spacing w:line="240" w:lineRule="auto"/>
                    <w:jc w:val="center"/>
                    <w:rPr>
                      <w:rFonts w:hint="default" w:ascii="Times New Roman" w:hAnsi="Times New Roman" w:eastAsia="宋体" w:cs="Times New Roman"/>
                      <w:sz w:val="18"/>
                      <w:szCs w:val="18"/>
                      <w:lang w:val="en-US" w:eastAsia="zh-CN"/>
                    </w:rPr>
                  </w:pPr>
                </w:p>
              </w:tc>
            </w:tr>
            <w:tr w14:paraId="34A6E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bottom w:val="single" w:color="auto" w:sz="2" w:space="0"/>
                    <w:right w:val="single" w:color="auto" w:sz="4" w:space="0"/>
                  </w:tcBorders>
                  <w:vAlign w:val="center"/>
                </w:tcPr>
                <w:p w14:paraId="2BBD9286">
                  <w:pPr>
                    <w:spacing w:line="240" w:lineRule="auto"/>
                    <w:jc w:val="center"/>
                    <w:rPr>
                      <w:rFonts w:hint="eastAsia" w:ascii="Times New Roman" w:hAnsi="Times New Roman" w:eastAsia="宋体" w:cs="Times New Roman"/>
                      <w:bCs/>
                      <w:sz w:val="18"/>
                      <w:szCs w:val="18"/>
                      <w:lang w:eastAsia="zh-CN"/>
                    </w:rPr>
                  </w:pPr>
                </w:p>
              </w:tc>
              <w:tc>
                <w:tcPr>
                  <w:tcW w:w="560" w:type="dxa"/>
                  <w:vMerge w:val="continue"/>
                  <w:tcBorders>
                    <w:left w:val="single" w:color="auto" w:sz="4" w:space="0"/>
                    <w:bottom w:val="single" w:color="auto" w:sz="4" w:space="0"/>
                    <w:right w:val="single" w:color="auto" w:sz="4" w:space="0"/>
                  </w:tcBorders>
                  <w:vAlign w:val="center"/>
                </w:tcPr>
                <w:p w14:paraId="488C81A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p>
              </w:tc>
              <w:tc>
                <w:tcPr>
                  <w:tcW w:w="630" w:type="dxa"/>
                  <w:vMerge w:val="continue"/>
                  <w:tcBorders>
                    <w:left w:val="single" w:color="auto" w:sz="4" w:space="0"/>
                    <w:bottom w:val="single" w:color="auto" w:sz="4" w:space="0"/>
                    <w:right w:val="single" w:color="auto" w:sz="4" w:space="0"/>
                  </w:tcBorders>
                  <w:vAlign w:val="center"/>
                </w:tcPr>
                <w:p w14:paraId="23B8BD7A">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735" w:type="dxa"/>
                  <w:tcBorders>
                    <w:top w:val="single" w:color="auto" w:sz="4" w:space="0"/>
                    <w:left w:val="single" w:color="auto" w:sz="4" w:space="0"/>
                    <w:bottom w:val="single" w:color="auto" w:sz="4" w:space="0"/>
                    <w:right w:val="single" w:color="auto" w:sz="4" w:space="0"/>
                  </w:tcBorders>
                  <w:vAlign w:val="center"/>
                </w:tcPr>
                <w:p w14:paraId="6CB78B95">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0.0168</w:t>
                  </w:r>
                </w:p>
              </w:tc>
              <w:tc>
                <w:tcPr>
                  <w:tcW w:w="645" w:type="dxa"/>
                  <w:tcBorders>
                    <w:top w:val="single" w:color="auto" w:sz="4" w:space="0"/>
                    <w:left w:val="single" w:color="auto" w:sz="4" w:space="0"/>
                    <w:bottom w:val="single" w:color="auto" w:sz="4" w:space="0"/>
                    <w:right w:val="single" w:color="auto" w:sz="4" w:space="0"/>
                  </w:tcBorders>
                  <w:vAlign w:val="center"/>
                </w:tcPr>
                <w:p w14:paraId="6DF4EAE1">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72AE6CF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0.014</w:t>
                  </w:r>
                </w:p>
              </w:tc>
              <w:tc>
                <w:tcPr>
                  <w:tcW w:w="600" w:type="dxa"/>
                  <w:tcBorders>
                    <w:top w:val="single" w:color="auto" w:sz="4" w:space="0"/>
                    <w:left w:val="single" w:color="auto" w:sz="4" w:space="0"/>
                    <w:bottom w:val="single" w:color="auto" w:sz="4" w:space="0"/>
                    <w:right w:val="single" w:color="auto" w:sz="4" w:space="0"/>
                  </w:tcBorders>
                  <w:vAlign w:val="center"/>
                </w:tcPr>
                <w:p w14:paraId="230DE2CE">
                  <w:pPr>
                    <w:jc w:val="center"/>
                    <w:rPr>
                      <w:rFonts w:hint="default" w:cs="Times New Roman"/>
                      <w:sz w:val="18"/>
                      <w:szCs w:val="18"/>
                      <w:lang w:val="en-US" w:eastAsia="zh-CN"/>
                    </w:rPr>
                  </w:pPr>
                  <w:r>
                    <w:rPr>
                      <w:rFonts w:hint="eastAsia"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0256A82E">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525" w:type="dxa"/>
                  <w:tcBorders>
                    <w:top w:val="single" w:color="auto" w:sz="4" w:space="0"/>
                    <w:left w:val="single" w:color="auto" w:sz="4" w:space="0"/>
                    <w:bottom w:val="single" w:color="auto" w:sz="4" w:space="0"/>
                    <w:right w:val="single" w:color="auto" w:sz="4" w:space="0"/>
                  </w:tcBorders>
                  <w:vAlign w:val="center"/>
                </w:tcPr>
                <w:p w14:paraId="1CDCEDC9">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730CF7A7">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5A0621BD">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2C5EFCF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0.0168</w:t>
                  </w:r>
                </w:p>
              </w:tc>
              <w:tc>
                <w:tcPr>
                  <w:tcW w:w="490" w:type="dxa"/>
                  <w:tcBorders>
                    <w:top w:val="single" w:color="auto" w:sz="4" w:space="0"/>
                    <w:left w:val="single" w:color="auto" w:sz="4" w:space="0"/>
                    <w:bottom w:val="single" w:color="auto" w:sz="4" w:space="0"/>
                    <w:right w:val="single" w:color="auto" w:sz="4" w:space="0"/>
                  </w:tcBorders>
                  <w:vAlign w:val="center"/>
                </w:tcPr>
                <w:p w14:paraId="09F8BCF0">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00" w:type="dxa"/>
                  <w:tcBorders>
                    <w:top w:val="single" w:color="auto" w:sz="4" w:space="0"/>
                    <w:left w:val="single" w:color="auto" w:sz="4" w:space="0"/>
                    <w:bottom w:val="single" w:color="auto" w:sz="4" w:space="0"/>
                    <w:right w:val="single" w:color="auto" w:sz="4" w:space="0"/>
                  </w:tcBorders>
                  <w:vAlign w:val="center"/>
                </w:tcPr>
                <w:p w14:paraId="76894DE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0.014</w:t>
                  </w:r>
                </w:p>
              </w:tc>
              <w:tc>
                <w:tcPr>
                  <w:tcW w:w="365" w:type="dxa"/>
                  <w:vMerge w:val="continue"/>
                  <w:tcBorders>
                    <w:left w:val="single" w:color="auto" w:sz="4" w:space="0"/>
                    <w:right w:val="single" w:color="auto" w:sz="4" w:space="0"/>
                  </w:tcBorders>
                  <w:vAlign w:val="center"/>
                </w:tcPr>
                <w:p w14:paraId="2161DDEB">
                  <w:pPr>
                    <w:spacing w:line="240" w:lineRule="auto"/>
                    <w:jc w:val="center"/>
                    <w:rPr>
                      <w:rFonts w:hint="default" w:ascii="Times New Roman" w:hAnsi="Times New Roman" w:eastAsia="宋体" w:cs="Times New Roman"/>
                      <w:sz w:val="18"/>
                      <w:szCs w:val="18"/>
                      <w:lang w:val="en-US" w:eastAsia="zh-CN"/>
                    </w:rPr>
                  </w:pPr>
                </w:p>
              </w:tc>
              <w:tc>
                <w:tcPr>
                  <w:tcW w:w="341" w:type="dxa"/>
                  <w:tcBorders>
                    <w:top w:val="single" w:color="auto" w:sz="4" w:space="0"/>
                    <w:left w:val="single" w:color="auto" w:sz="4" w:space="0"/>
                    <w:bottom w:val="single" w:color="auto" w:sz="4" w:space="0"/>
                    <w:right w:val="single" w:color="auto" w:sz="4" w:space="0"/>
                  </w:tcBorders>
                  <w:vAlign w:val="center"/>
                </w:tcPr>
                <w:p w14:paraId="29BB5AF0">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无组织</w:t>
                  </w:r>
                </w:p>
              </w:tc>
            </w:tr>
            <w:tr w14:paraId="2C0F3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tcBorders>
                    <w:left w:val="single" w:color="auto" w:sz="4" w:space="0"/>
                    <w:bottom w:val="single" w:color="auto" w:sz="2" w:space="0"/>
                    <w:right w:val="single" w:color="auto" w:sz="4" w:space="0"/>
                  </w:tcBorders>
                  <w:vAlign w:val="center"/>
                </w:tcPr>
                <w:p w14:paraId="43B19F14">
                  <w:pPr>
                    <w:spacing w:line="240" w:lineRule="auto"/>
                    <w:jc w:val="center"/>
                    <w:rPr>
                      <w:rFonts w:hint="default" w:ascii="Times New Roman" w:hAnsi="Times New Roman" w:eastAsia="宋体" w:cs="Times New Roman"/>
                      <w:bCs/>
                      <w:sz w:val="18"/>
                      <w:szCs w:val="18"/>
                      <w:lang w:val="en-US" w:eastAsia="zh-CN"/>
                    </w:rPr>
                  </w:pPr>
                  <w:r>
                    <w:rPr>
                      <w:rFonts w:hint="eastAsia" w:cs="Times New Roman"/>
                      <w:bCs/>
                      <w:sz w:val="18"/>
                      <w:szCs w:val="18"/>
                      <w:lang w:val="en-US" w:eastAsia="zh-CN"/>
                    </w:rPr>
                    <w:t>静电喷塑后固化</w:t>
                  </w:r>
                </w:p>
              </w:tc>
              <w:tc>
                <w:tcPr>
                  <w:tcW w:w="560" w:type="dxa"/>
                  <w:tcBorders>
                    <w:left w:val="single" w:color="auto" w:sz="4" w:space="0"/>
                    <w:bottom w:val="single" w:color="auto" w:sz="4" w:space="0"/>
                    <w:right w:val="single" w:color="auto" w:sz="4" w:space="0"/>
                  </w:tcBorders>
                  <w:vAlign w:val="center"/>
                </w:tcPr>
                <w:p w14:paraId="3181925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630" w:type="dxa"/>
                  <w:tcBorders>
                    <w:left w:val="single" w:color="auto" w:sz="4" w:space="0"/>
                    <w:bottom w:val="single" w:color="auto" w:sz="4" w:space="0"/>
                    <w:right w:val="single" w:color="auto" w:sz="4" w:space="0"/>
                  </w:tcBorders>
                  <w:vAlign w:val="center"/>
                </w:tcPr>
                <w:p w14:paraId="0466E852">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0.03</w:t>
                  </w:r>
                </w:p>
              </w:tc>
              <w:tc>
                <w:tcPr>
                  <w:tcW w:w="735" w:type="dxa"/>
                  <w:tcBorders>
                    <w:top w:val="single" w:color="auto" w:sz="4" w:space="0"/>
                    <w:left w:val="single" w:color="auto" w:sz="4" w:space="0"/>
                    <w:bottom w:val="single" w:color="auto" w:sz="4" w:space="0"/>
                    <w:right w:val="single" w:color="auto" w:sz="4" w:space="0"/>
                  </w:tcBorders>
                  <w:vAlign w:val="center"/>
                </w:tcPr>
                <w:p w14:paraId="1DAE716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0.03</w:t>
                  </w:r>
                </w:p>
              </w:tc>
              <w:tc>
                <w:tcPr>
                  <w:tcW w:w="645" w:type="dxa"/>
                  <w:tcBorders>
                    <w:top w:val="single" w:color="auto" w:sz="4" w:space="0"/>
                    <w:left w:val="single" w:color="auto" w:sz="4" w:space="0"/>
                    <w:bottom w:val="single" w:color="auto" w:sz="4" w:space="0"/>
                    <w:right w:val="single" w:color="auto" w:sz="4" w:space="0"/>
                  </w:tcBorders>
                  <w:vAlign w:val="center"/>
                </w:tcPr>
                <w:p w14:paraId="15A6F82A">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1.3</w:t>
                  </w:r>
                </w:p>
              </w:tc>
              <w:tc>
                <w:tcPr>
                  <w:tcW w:w="660" w:type="dxa"/>
                  <w:tcBorders>
                    <w:top w:val="single" w:color="auto" w:sz="4" w:space="0"/>
                    <w:left w:val="single" w:color="auto" w:sz="4" w:space="0"/>
                    <w:bottom w:val="single" w:color="auto" w:sz="4" w:space="0"/>
                    <w:right w:val="single" w:color="auto" w:sz="4" w:space="0"/>
                  </w:tcBorders>
                  <w:vAlign w:val="center"/>
                </w:tcPr>
                <w:p w14:paraId="16A8B02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0.025</w:t>
                  </w:r>
                </w:p>
              </w:tc>
              <w:tc>
                <w:tcPr>
                  <w:tcW w:w="600" w:type="dxa"/>
                  <w:tcBorders>
                    <w:top w:val="single" w:color="auto" w:sz="4" w:space="0"/>
                    <w:left w:val="single" w:color="auto" w:sz="4" w:space="0"/>
                    <w:bottom w:val="single" w:color="auto" w:sz="4" w:space="0"/>
                    <w:right w:val="single" w:color="auto" w:sz="4" w:space="0"/>
                  </w:tcBorders>
                  <w:vAlign w:val="center"/>
                </w:tcPr>
                <w:p w14:paraId="739AA30E">
                  <w:pPr>
                    <w:jc w:val="center"/>
                    <w:rPr>
                      <w:rFonts w:hint="default" w:cs="Times New Roman"/>
                      <w:sz w:val="18"/>
                      <w:szCs w:val="18"/>
                      <w:lang w:val="en-US" w:eastAsia="zh-CN"/>
                    </w:rPr>
                  </w:pPr>
                  <w:r>
                    <w:rPr>
                      <w:rFonts w:hint="eastAsia" w:cs="Times New Roman"/>
                      <w:sz w:val="18"/>
                      <w:szCs w:val="18"/>
                      <w:lang w:val="en-US" w:eastAsia="zh-CN"/>
                    </w:rPr>
                    <w:t>10000</w:t>
                  </w:r>
                </w:p>
              </w:tc>
              <w:tc>
                <w:tcPr>
                  <w:tcW w:w="495" w:type="dxa"/>
                  <w:tcBorders>
                    <w:top w:val="single" w:color="auto" w:sz="4" w:space="0"/>
                    <w:left w:val="single" w:color="auto" w:sz="4" w:space="0"/>
                    <w:bottom w:val="single" w:color="auto" w:sz="4" w:space="0"/>
                    <w:right w:val="single" w:color="auto" w:sz="4" w:space="0"/>
                  </w:tcBorders>
                  <w:vAlign w:val="center"/>
                </w:tcPr>
                <w:p w14:paraId="35AD881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100</w:t>
                  </w:r>
                </w:p>
              </w:tc>
              <w:tc>
                <w:tcPr>
                  <w:tcW w:w="525" w:type="dxa"/>
                  <w:tcBorders>
                    <w:top w:val="single" w:color="auto" w:sz="4" w:space="0"/>
                    <w:left w:val="single" w:color="auto" w:sz="4" w:space="0"/>
                    <w:bottom w:val="single" w:color="auto" w:sz="4" w:space="0"/>
                    <w:right w:val="single" w:color="auto" w:sz="4" w:space="0"/>
                  </w:tcBorders>
                  <w:vAlign w:val="center"/>
                </w:tcPr>
                <w:p w14:paraId="75BDC520">
                  <w:pPr>
                    <w:jc w:val="center"/>
                    <w:rPr>
                      <w:rFonts w:hint="eastAsia"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375" w:type="dxa"/>
                  <w:tcBorders>
                    <w:top w:val="single" w:color="auto" w:sz="4" w:space="0"/>
                    <w:left w:val="single" w:color="auto" w:sz="4" w:space="0"/>
                    <w:bottom w:val="single" w:color="auto" w:sz="4" w:space="0"/>
                    <w:right w:val="single" w:color="auto" w:sz="4" w:space="0"/>
                  </w:tcBorders>
                  <w:vAlign w:val="center"/>
                </w:tcPr>
                <w:p w14:paraId="49340C17">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70</w:t>
                  </w:r>
                </w:p>
              </w:tc>
              <w:tc>
                <w:tcPr>
                  <w:tcW w:w="465" w:type="dxa"/>
                  <w:tcBorders>
                    <w:top w:val="single" w:color="auto" w:sz="4" w:space="0"/>
                    <w:left w:val="single" w:color="auto" w:sz="4" w:space="0"/>
                    <w:bottom w:val="single" w:color="auto" w:sz="4" w:space="0"/>
                    <w:right w:val="single" w:color="auto" w:sz="4" w:space="0"/>
                  </w:tcBorders>
                  <w:vAlign w:val="center"/>
                </w:tcPr>
                <w:p w14:paraId="404B3D58">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598" w:type="dxa"/>
                  <w:tcBorders>
                    <w:top w:val="single" w:color="auto" w:sz="4" w:space="0"/>
                    <w:left w:val="single" w:color="auto" w:sz="4" w:space="0"/>
                    <w:bottom w:val="single" w:color="auto" w:sz="4" w:space="0"/>
                    <w:right w:val="single" w:color="auto" w:sz="4" w:space="0"/>
                  </w:tcBorders>
                  <w:vAlign w:val="center"/>
                </w:tcPr>
                <w:p w14:paraId="2EDD4AB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0.009</w:t>
                  </w:r>
                </w:p>
              </w:tc>
              <w:tc>
                <w:tcPr>
                  <w:tcW w:w="490" w:type="dxa"/>
                  <w:tcBorders>
                    <w:top w:val="single" w:color="auto" w:sz="4" w:space="0"/>
                    <w:left w:val="single" w:color="auto" w:sz="4" w:space="0"/>
                    <w:bottom w:val="single" w:color="auto" w:sz="4" w:space="0"/>
                    <w:right w:val="single" w:color="auto" w:sz="4" w:space="0"/>
                  </w:tcBorders>
                  <w:vAlign w:val="center"/>
                </w:tcPr>
                <w:p w14:paraId="12A347A3">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0.4</w:t>
                  </w:r>
                </w:p>
              </w:tc>
              <w:tc>
                <w:tcPr>
                  <w:tcW w:w="500" w:type="dxa"/>
                  <w:tcBorders>
                    <w:top w:val="single" w:color="auto" w:sz="4" w:space="0"/>
                    <w:left w:val="single" w:color="auto" w:sz="4" w:space="0"/>
                    <w:bottom w:val="single" w:color="auto" w:sz="4" w:space="0"/>
                    <w:right w:val="single" w:color="auto" w:sz="4" w:space="0"/>
                  </w:tcBorders>
                  <w:vAlign w:val="center"/>
                </w:tcPr>
                <w:p w14:paraId="30F5BBA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0.0075</w:t>
                  </w:r>
                </w:p>
              </w:tc>
              <w:tc>
                <w:tcPr>
                  <w:tcW w:w="365" w:type="dxa"/>
                  <w:vMerge w:val="continue"/>
                  <w:tcBorders>
                    <w:left w:val="single" w:color="auto" w:sz="4" w:space="0"/>
                    <w:right w:val="single" w:color="auto" w:sz="4" w:space="0"/>
                  </w:tcBorders>
                  <w:vAlign w:val="center"/>
                </w:tcPr>
                <w:p w14:paraId="70AC1432">
                  <w:pPr>
                    <w:spacing w:line="240" w:lineRule="auto"/>
                    <w:jc w:val="center"/>
                    <w:rPr>
                      <w:rFonts w:hint="default" w:ascii="Times New Roman" w:hAnsi="Times New Roman" w:eastAsia="宋体" w:cs="Times New Roman"/>
                      <w:sz w:val="18"/>
                      <w:szCs w:val="18"/>
                      <w:lang w:val="en-US" w:eastAsia="zh-CN"/>
                    </w:rPr>
                  </w:pPr>
                </w:p>
              </w:tc>
              <w:tc>
                <w:tcPr>
                  <w:tcW w:w="341" w:type="dxa"/>
                  <w:tcBorders>
                    <w:top w:val="single" w:color="auto" w:sz="4" w:space="0"/>
                    <w:left w:val="single" w:color="auto" w:sz="4" w:space="0"/>
                    <w:bottom w:val="single" w:color="auto" w:sz="4" w:space="0"/>
                    <w:right w:val="single" w:color="auto" w:sz="4" w:space="0"/>
                  </w:tcBorders>
                  <w:vAlign w:val="center"/>
                </w:tcPr>
                <w:p w14:paraId="3F0E54F6">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08F291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restart"/>
                  <w:tcBorders>
                    <w:top w:val="single" w:color="auto" w:sz="2" w:space="0"/>
                    <w:left w:val="single" w:color="auto" w:sz="4" w:space="0"/>
                    <w:right w:val="single" w:color="auto" w:sz="4" w:space="0"/>
                  </w:tcBorders>
                  <w:vAlign w:val="center"/>
                </w:tcPr>
                <w:p w14:paraId="18CA964D">
                  <w:pPr>
                    <w:spacing w:line="240" w:lineRule="auto"/>
                    <w:jc w:val="center"/>
                    <w:rPr>
                      <w:rFonts w:hint="eastAsia" w:ascii="Times New Roman" w:hAnsi="Times New Roman" w:eastAsia="宋体" w:cs="Times New Roman"/>
                      <w:bCs/>
                      <w:sz w:val="18"/>
                      <w:szCs w:val="18"/>
                      <w:lang w:eastAsia="zh-CN"/>
                    </w:rPr>
                  </w:pPr>
                  <w:r>
                    <w:rPr>
                      <w:rFonts w:hint="eastAsia" w:cs="Times New Roman"/>
                      <w:bCs/>
                      <w:color w:val="auto"/>
                      <w:sz w:val="18"/>
                      <w:szCs w:val="18"/>
                      <w:lang w:eastAsia="zh-CN"/>
                    </w:rPr>
                    <w:t>玻璃钢缠绕罐生产</w:t>
                  </w:r>
                </w:p>
              </w:tc>
              <w:tc>
                <w:tcPr>
                  <w:tcW w:w="560" w:type="dxa"/>
                  <w:vMerge w:val="restart"/>
                  <w:tcBorders>
                    <w:top w:val="single" w:color="auto" w:sz="4" w:space="0"/>
                    <w:left w:val="single" w:color="auto" w:sz="4" w:space="0"/>
                    <w:right w:val="single" w:color="auto" w:sz="4" w:space="0"/>
                  </w:tcBorders>
                  <w:vAlign w:val="center"/>
                </w:tcPr>
                <w:p w14:paraId="33EECBEF">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630" w:type="dxa"/>
                  <w:vMerge w:val="restart"/>
                  <w:tcBorders>
                    <w:top w:val="single" w:color="auto" w:sz="4" w:space="0"/>
                    <w:left w:val="single" w:color="auto" w:sz="4" w:space="0"/>
                    <w:right w:val="single" w:color="auto" w:sz="4" w:space="0"/>
                  </w:tcBorders>
                  <w:vAlign w:val="center"/>
                </w:tcPr>
                <w:p w14:paraId="6287F3BC">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0.451</w:t>
                  </w:r>
                </w:p>
              </w:tc>
              <w:tc>
                <w:tcPr>
                  <w:tcW w:w="735" w:type="dxa"/>
                  <w:tcBorders>
                    <w:top w:val="single" w:color="auto" w:sz="4" w:space="0"/>
                    <w:left w:val="single" w:color="auto" w:sz="4" w:space="0"/>
                    <w:bottom w:val="single" w:color="auto" w:sz="4" w:space="0"/>
                    <w:right w:val="single" w:color="auto" w:sz="4" w:space="0"/>
                  </w:tcBorders>
                  <w:vAlign w:val="center"/>
                </w:tcPr>
                <w:p w14:paraId="3CA9FA5A">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0.406</w:t>
                  </w:r>
                </w:p>
              </w:tc>
              <w:tc>
                <w:tcPr>
                  <w:tcW w:w="645" w:type="dxa"/>
                  <w:tcBorders>
                    <w:top w:val="single" w:color="auto" w:sz="4" w:space="0"/>
                    <w:left w:val="single" w:color="auto" w:sz="4" w:space="0"/>
                    <w:bottom w:val="single" w:color="auto" w:sz="4" w:space="0"/>
                    <w:right w:val="single" w:color="auto" w:sz="4" w:space="0"/>
                  </w:tcBorders>
                  <w:vAlign w:val="center"/>
                </w:tcPr>
                <w:p w14:paraId="412F2AA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16.9</w:t>
                  </w:r>
                </w:p>
              </w:tc>
              <w:tc>
                <w:tcPr>
                  <w:tcW w:w="660" w:type="dxa"/>
                  <w:tcBorders>
                    <w:top w:val="single" w:color="auto" w:sz="4" w:space="0"/>
                    <w:left w:val="single" w:color="auto" w:sz="4" w:space="0"/>
                    <w:bottom w:val="single" w:color="auto" w:sz="4" w:space="0"/>
                    <w:right w:val="single" w:color="auto" w:sz="4" w:space="0"/>
                  </w:tcBorders>
                  <w:vAlign w:val="center"/>
                </w:tcPr>
                <w:p w14:paraId="35253DC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0.3383</w:t>
                  </w:r>
                </w:p>
              </w:tc>
              <w:tc>
                <w:tcPr>
                  <w:tcW w:w="600" w:type="dxa"/>
                  <w:tcBorders>
                    <w:left w:val="single" w:color="auto" w:sz="4" w:space="0"/>
                    <w:bottom w:val="single" w:color="auto" w:sz="4" w:space="0"/>
                    <w:right w:val="single" w:color="auto" w:sz="4" w:space="0"/>
                  </w:tcBorders>
                  <w:vAlign w:val="center"/>
                </w:tcPr>
                <w:p w14:paraId="29FEB64E">
                  <w:pPr>
                    <w:jc w:val="center"/>
                    <w:rPr>
                      <w:rFonts w:hint="default" w:cs="Times New Roman"/>
                      <w:sz w:val="18"/>
                      <w:szCs w:val="18"/>
                      <w:lang w:val="en-US" w:eastAsia="zh-CN"/>
                    </w:rPr>
                  </w:pPr>
                  <w:r>
                    <w:rPr>
                      <w:rFonts w:hint="eastAsia" w:cs="Times New Roman"/>
                      <w:sz w:val="18"/>
                      <w:szCs w:val="18"/>
                      <w:lang w:val="en-US" w:eastAsia="zh-CN"/>
                    </w:rPr>
                    <w:t>10000</w:t>
                  </w:r>
                </w:p>
              </w:tc>
              <w:tc>
                <w:tcPr>
                  <w:tcW w:w="495" w:type="dxa"/>
                  <w:tcBorders>
                    <w:top w:val="single" w:color="auto" w:sz="4" w:space="0"/>
                    <w:left w:val="single" w:color="auto" w:sz="4" w:space="0"/>
                    <w:bottom w:val="single" w:color="auto" w:sz="4" w:space="0"/>
                    <w:right w:val="single" w:color="auto" w:sz="4" w:space="0"/>
                  </w:tcBorders>
                  <w:vAlign w:val="center"/>
                </w:tcPr>
                <w:p w14:paraId="03EB6D0A">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90</w:t>
                  </w:r>
                </w:p>
              </w:tc>
              <w:tc>
                <w:tcPr>
                  <w:tcW w:w="525" w:type="dxa"/>
                  <w:tcBorders>
                    <w:left w:val="single" w:color="auto" w:sz="4" w:space="0"/>
                    <w:bottom w:val="single" w:color="auto" w:sz="4" w:space="0"/>
                    <w:right w:val="single" w:color="auto" w:sz="4" w:space="0"/>
                  </w:tcBorders>
                  <w:vAlign w:val="center"/>
                </w:tcPr>
                <w:p w14:paraId="00331259">
                  <w:pPr>
                    <w:jc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375" w:type="dxa"/>
                  <w:tcBorders>
                    <w:left w:val="single" w:color="auto" w:sz="4" w:space="0"/>
                    <w:bottom w:val="single" w:color="auto" w:sz="4" w:space="0"/>
                    <w:right w:val="single" w:color="auto" w:sz="4" w:space="0"/>
                  </w:tcBorders>
                  <w:vAlign w:val="center"/>
                </w:tcPr>
                <w:p w14:paraId="2F0BA7B1">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70</w:t>
                  </w:r>
                </w:p>
              </w:tc>
              <w:tc>
                <w:tcPr>
                  <w:tcW w:w="465" w:type="dxa"/>
                  <w:tcBorders>
                    <w:top w:val="single" w:color="auto" w:sz="4" w:space="0"/>
                    <w:left w:val="single" w:color="auto" w:sz="4" w:space="0"/>
                    <w:bottom w:val="single" w:color="auto" w:sz="4" w:space="0"/>
                    <w:right w:val="single" w:color="auto" w:sz="4" w:space="0"/>
                  </w:tcBorders>
                  <w:vAlign w:val="center"/>
                </w:tcPr>
                <w:p w14:paraId="66ED1653">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598" w:type="dxa"/>
                  <w:tcBorders>
                    <w:top w:val="single" w:color="auto" w:sz="4" w:space="0"/>
                    <w:left w:val="single" w:color="auto" w:sz="4" w:space="0"/>
                    <w:bottom w:val="single" w:color="auto" w:sz="4" w:space="0"/>
                    <w:right w:val="single" w:color="auto" w:sz="4" w:space="0"/>
                  </w:tcBorders>
                  <w:vAlign w:val="center"/>
                </w:tcPr>
                <w:p w14:paraId="39E11B3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0.122</w:t>
                  </w:r>
                </w:p>
              </w:tc>
              <w:tc>
                <w:tcPr>
                  <w:tcW w:w="490" w:type="dxa"/>
                  <w:tcBorders>
                    <w:top w:val="single" w:color="auto" w:sz="4" w:space="0"/>
                    <w:left w:val="single" w:color="auto" w:sz="4" w:space="0"/>
                    <w:bottom w:val="single" w:color="auto" w:sz="4" w:space="0"/>
                    <w:right w:val="single" w:color="auto" w:sz="4" w:space="0"/>
                  </w:tcBorders>
                  <w:vAlign w:val="center"/>
                </w:tcPr>
                <w:p w14:paraId="1CA9A9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5.1</w:t>
                  </w:r>
                </w:p>
              </w:tc>
              <w:tc>
                <w:tcPr>
                  <w:tcW w:w="500" w:type="dxa"/>
                  <w:tcBorders>
                    <w:top w:val="single" w:color="auto" w:sz="4" w:space="0"/>
                    <w:left w:val="single" w:color="auto" w:sz="4" w:space="0"/>
                    <w:bottom w:val="single" w:color="auto" w:sz="4" w:space="0"/>
                    <w:right w:val="single" w:color="auto" w:sz="4" w:space="0"/>
                  </w:tcBorders>
                  <w:vAlign w:val="center"/>
                </w:tcPr>
                <w:p w14:paraId="439708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0.101</w:t>
                  </w:r>
                  <w:r>
                    <w:rPr>
                      <w:rFonts w:hint="eastAsia" w:eastAsia="宋体" w:cs="Times New Roman"/>
                      <w:i w:val="0"/>
                      <w:iCs w:val="0"/>
                      <w:color w:val="000000"/>
                      <w:kern w:val="0"/>
                      <w:sz w:val="18"/>
                      <w:szCs w:val="18"/>
                      <w:u w:val="none"/>
                      <w:lang w:val="en-US" w:eastAsia="zh-CN" w:bidi="ar"/>
                    </w:rPr>
                    <w:t>7</w:t>
                  </w:r>
                </w:p>
              </w:tc>
              <w:tc>
                <w:tcPr>
                  <w:tcW w:w="365" w:type="dxa"/>
                  <w:vMerge w:val="continue"/>
                  <w:tcBorders>
                    <w:left w:val="single" w:color="auto" w:sz="4" w:space="0"/>
                    <w:right w:val="single" w:color="auto" w:sz="4" w:space="0"/>
                  </w:tcBorders>
                  <w:vAlign w:val="center"/>
                </w:tcPr>
                <w:p w14:paraId="42732BC9">
                  <w:pPr>
                    <w:spacing w:line="240" w:lineRule="auto"/>
                    <w:jc w:val="center"/>
                    <w:rPr>
                      <w:rFonts w:hint="default" w:ascii="Times New Roman" w:hAnsi="Times New Roman" w:eastAsia="宋体" w:cs="Times New Roman"/>
                      <w:sz w:val="18"/>
                      <w:szCs w:val="18"/>
                      <w:lang w:val="en-US" w:eastAsia="zh-CN"/>
                    </w:rPr>
                  </w:pPr>
                </w:p>
              </w:tc>
              <w:tc>
                <w:tcPr>
                  <w:tcW w:w="341" w:type="dxa"/>
                  <w:tcBorders>
                    <w:top w:val="single" w:color="auto" w:sz="4" w:space="0"/>
                    <w:left w:val="single" w:color="auto" w:sz="4" w:space="0"/>
                    <w:right w:val="single" w:color="auto" w:sz="4" w:space="0"/>
                  </w:tcBorders>
                  <w:vAlign w:val="center"/>
                </w:tcPr>
                <w:p w14:paraId="043DDEF2">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2C9F16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13E91209">
                  <w:pPr>
                    <w:spacing w:line="240" w:lineRule="auto"/>
                    <w:jc w:val="center"/>
                    <w:rPr>
                      <w:rFonts w:hint="eastAsia" w:cs="Times New Roman"/>
                      <w:bCs/>
                      <w:color w:val="auto"/>
                      <w:sz w:val="21"/>
                      <w:szCs w:val="21"/>
                      <w:lang w:eastAsia="zh-CN"/>
                    </w:rPr>
                  </w:pPr>
                </w:p>
              </w:tc>
              <w:tc>
                <w:tcPr>
                  <w:tcW w:w="560" w:type="dxa"/>
                  <w:vMerge w:val="continue"/>
                  <w:tcBorders>
                    <w:left w:val="single" w:color="auto" w:sz="4" w:space="0"/>
                    <w:bottom w:val="single" w:color="auto" w:sz="4" w:space="0"/>
                    <w:right w:val="single" w:color="auto" w:sz="4" w:space="0"/>
                  </w:tcBorders>
                  <w:vAlign w:val="center"/>
                </w:tcPr>
                <w:p w14:paraId="33745BC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p>
              </w:tc>
              <w:tc>
                <w:tcPr>
                  <w:tcW w:w="630" w:type="dxa"/>
                  <w:vMerge w:val="continue"/>
                  <w:tcBorders>
                    <w:left w:val="single" w:color="auto" w:sz="4" w:space="0"/>
                    <w:bottom w:val="single" w:color="auto" w:sz="4" w:space="0"/>
                    <w:right w:val="single" w:color="auto" w:sz="4" w:space="0"/>
                  </w:tcBorders>
                  <w:vAlign w:val="center"/>
                </w:tcPr>
                <w:p w14:paraId="04A1E488">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735" w:type="dxa"/>
                  <w:tcBorders>
                    <w:top w:val="single" w:color="auto" w:sz="4" w:space="0"/>
                    <w:left w:val="single" w:color="auto" w:sz="4" w:space="0"/>
                    <w:bottom w:val="single" w:color="auto" w:sz="4" w:space="0"/>
                    <w:right w:val="single" w:color="auto" w:sz="4" w:space="0"/>
                  </w:tcBorders>
                  <w:vAlign w:val="center"/>
                </w:tcPr>
                <w:p w14:paraId="0009CF57">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0.045</w:t>
                  </w:r>
                </w:p>
              </w:tc>
              <w:tc>
                <w:tcPr>
                  <w:tcW w:w="645" w:type="dxa"/>
                  <w:tcBorders>
                    <w:top w:val="single" w:color="auto" w:sz="4" w:space="0"/>
                    <w:left w:val="single" w:color="auto" w:sz="4" w:space="0"/>
                    <w:bottom w:val="single" w:color="auto" w:sz="4" w:space="0"/>
                    <w:right w:val="single" w:color="auto" w:sz="4" w:space="0"/>
                  </w:tcBorders>
                  <w:vAlign w:val="center"/>
                </w:tcPr>
                <w:p w14:paraId="429FE3F7">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590D533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0.0375</w:t>
                  </w:r>
                </w:p>
              </w:tc>
              <w:tc>
                <w:tcPr>
                  <w:tcW w:w="600" w:type="dxa"/>
                  <w:tcBorders>
                    <w:top w:val="single" w:color="auto" w:sz="4" w:space="0"/>
                    <w:left w:val="single" w:color="auto" w:sz="4" w:space="0"/>
                    <w:bottom w:val="single" w:color="auto" w:sz="4" w:space="0"/>
                    <w:right w:val="single" w:color="auto" w:sz="4" w:space="0"/>
                  </w:tcBorders>
                  <w:vAlign w:val="center"/>
                </w:tcPr>
                <w:p w14:paraId="070F50A4">
                  <w:pPr>
                    <w:jc w:val="center"/>
                    <w:rPr>
                      <w:rFonts w:hint="default" w:cs="Times New Roman"/>
                      <w:sz w:val="18"/>
                      <w:szCs w:val="18"/>
                      <w:lang w:val="en-US" w:eastAsia="zh-CN"/>
                    </w:rPr>
                  </w:pPr>
                  <w:r>
                    <w:rPr>
                      <w:rFonts w:hint="eastAsia"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31F23469">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2A21CF2D">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0570CB81">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78A91794">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2EB044F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0.045</w:t>
                  </w:r>
                </w:p>
              </w:tc>
              <w:tc>
                <w:tcPr>
                  <w:tcW w:w="490" w:type="dxa"/>
                  <w:tcBorders>
                    <w:top w:val="single" w:color="auto" w:sz="4" w:space="0"/>
                    <w:left w:val="single" w:color="auto" w:sz="4" w:space="0"/>
                    <w:bottom w:val="single" w:color="auto" w:sz="4" w:space="0"/>
                    <w:right w:val="single" w:color="auto" w:sz="4" w:space="0"/>
                  </w:tcBorders>
                  <w:vAlign w:val="center"/>
                </w:tcPr>
                <w:p w14:paraId="25320B77">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00" w:type="dxa"/>
                  <w:tcBorders>
                    <w:top w:val="single" w:color="auto" w:sz="4" w:space="0"/>
                    <w:left w:val="single" w:color="auto" w:sz="4" w:space="0"/>
                    <w:bottom w:val="single" w:color="auto" w:sz="4" w:space="0"/>
                    <w:right w:val="single" w:color="auto" w:sz="4" w:space="0"/>
                  </w:tcBorders>
                  <w:vAlign w:val="center"/>
                </w:tcPr>
                <w:p w14:paraId="51ABFDE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0.0375</w:t>
                  </w:r>
                </w:p>
              </w:tc>
              <w:tc>
                <w:tcPr>
                  <w:tcW w:w="365" w:type="dxa"/>
                  <w:vMerge w:val="continue"/>
                  <w:tcBorders>
                    <w:left w:val="single" w:color="auto" w:sz="4" w:space="0"/>
                    <w:right w:val="single" w:color="auto" w:sz="4" w:space="0"/>
                  </w:tcBorders>
                  <w:vAlign w:val="center"/>
                </w:tcPr>
                <w:p w14:paraId="5DF0A018">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6CEDE1F3">
                  <w:pPr>
                    <w:spacing w:line="240" w:lineRule="auto"/>
                    <w:jc w:val="center"/>
                    <w:rPr>
                      <w:rFonts w:hint="default" w:ascii="Times New Roman" w:hAnsi="Times New Roman" w:eastAsia="宋体" w:cs="Times New Roman"/>
                      <w:sz w:val="18"/>
                      <w:szCs w:val="18"/>
                      <w:lang w:val="en-US" w:eastAsia="zh-CN"/>
                    </w:rPr>
                  </w:pPr>
                  <w:r>
                    <w:rPr>
                      <w:rFonts w:hint="eastAsia" w:eastAsia="宋体" w:cs="Times New Roman"/>
                      <w:sz w:val="18"/>
                      <w:szCs w:val="18"/>
                      <w:lang w:val="en-US" w:eastAsia="zh-CN"/>
                    </w:rPr>
                    <w:t>无组织</w:t>
                  </w:r>
                </w:p>
              </w:tc>
            </w:tr>
            <w:tr w14:paraId="0A877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59723BF3">
                  <w:pPr>
                    <w:spacing w:line="240" w:lineRule="auto"/>
                    <w:jc w:val="center"/>
                    <w:rPr>
                      <w:rFonts w:hint="eastAsia" w:ascii="Times New Roman" w:hAnsi="Times New Roman" w:eastAsia="宋体" w:cs="Times New Roman"/>
                      <w:bCs/>
                      <w:sz w:val="18"/>
                      <w:szCs w:val="18"/>
                      <w:lang w:eastAsia="zh-CN"/>
                    </w:rPr>
                  </w:pPr>
                </w:p>
              </w:tc>
              <w:tc>
                <w:tcPr>
                  <w:tcW w:w="560" w:type="dxa"/>
                  <w:vMerge w:val="restart"/>
                  <w:tcBorders>
                    <w:top w:val="single" w:color="auto" w:sz="4" w:space="0"/>
                    <w:left w:val="single" w:color="auto" w:sz="4" w:space="0"/>
                    <w:right w:val="single" w:color="auto" w:sz="4" w:space="0"/>
                  </w:tcBorders>
                  <w:vAlign w:val="center"/>
                </w:tcPr>
                <w:p w14:paraId="5CB85C4A">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630" w:type="dxa"/>
                  <w:vMerge w:val="restart"/>
                  <w:tcBorders>
                    <w:top w:val="single" w:color="auto" w:sz="4" w:space="0"/>
                    <w:left w:val="single" w:color="auto" w:sz="4" w:space="0"/>
                    <w:right w:val="single" w:color="auto" w:sz="4" w:space="0"/>
                  </w:tcBorders>
                  <w:vAlign w:val="center"/>
                </w:tcPr>
                <w:p w14:paraId="102EF62E">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0.428</w:t>
                  </w:r>
                </w:p>
              </w:tc>
              <w:tc>
                <w:tcPr>
                  <w:tcW w:w="735" w:type="dxa"/>
                  <w:tcBorders>
                    <w:top w:val="single" w:color="auto" w:sz="4" w:space="0"/>
                    <w:left w:val="single" w:color="auto" w:sz="4" w:space="0"/>
                    <w:bottom w:val="single" w:color="auto" w:sz="4" w:space="0"/>
                    <w:right w:val="single" w:color="auto" w:sz="4" w:space="0"/>
                  </w:tcBorders>
                  <w:vAlign w:val="center"/>
                </w:tcPr>
                <w:p w14:paraId="5F9075C7">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0.385</w:t>
                  </w:r>
                </w:p>
              </w:tc>
              <w:tc>
                <w:tcPr>
                  <w:tcW w:w="645" w:type="dxa"/>
                  <w:tcBorders>
                    <w:top w:val="single" w:color="auto" w:sz="4" w:space="0"/>
                    <w:left w:val="single" w:color="auto" w:sz="4" w:space="0"/>
                    <w:bottom w:val="single" w:color="auto" w:sz="4" w:space="0"/>
                    <w:right w:val="single" w:color="auto" w:sz="4" w:space="0"/>
                  </w:tcBorders>
                  <w:vAlign w:val="center"/>
                </w:tcPr>
                <w:p w14:paraId="7FA82F5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16.0</w:t>
                  </w:r>
                </w:p>
              </w:tc>
              <w:tc>
                <w:tcPr>
                  <w:tcW w:w="660" w:type="dxa"/>
                  <w:tcBorders>
                    <w:top w:val="single" w:color="auto" w:sz="4" w:space="0"/>
                    <w:left w:val="single" w:color="auto" w:sz="4" w:space="0"/>
                    <w:bottom w:val="single" w:color="auto" w:sz="4" w:space="0"/>
                    <w:right w:val="single" w:color="auto" w:sz="4" w:space="0"/>
                  </w:tcBorders>
                  <w:vAlign w:val="center"/>
                </w:tcPr>
                <w:p w14:paraId="041C75B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0.3208</w:t>
                  </w:r>
                </w:p>
              </w:tc>
              <w:tc>
                <w:tcPr>
                  <w:tcW w:w="600" w:type="dxa"/>
                  <w:tcBorders>
                    <w:top w:val="single" w:color="auto" w:sz="4" w:space="0"/>
                    <w:left w:val="single" w:color="auto" w:sz="4" w:space="0"/>
                    <w:bottom w:val="single" w:color="auto" w:sz="4" w:space="0"/>
                    <w:right w:val="single" w:color="auto" w:sz="4" w:space="0"/>
                  </w:tcBorders>
                  <w:vAlign w:val="center"/>
                </w:tcPr>
                <w:p w14:paraId="0EECDAFA">
                  <w:pPr>
                    <w:jc w:val="center"/>
                    <w:rPr>
                      <w:rFonts w:hint="eastAsia" w:cs="Times New Roman"/>
                      <w:sz w:val="18"/>
                      <w:szCs w:val="18"/>
                      <w:lang w:val="en-US" w:eastAsia="zh-CN"/>
                    </w:rPr>
                  </w:pPr>
                  <w:r>
                    <w:rPr>
                      <w:rFonts w:hint="eastAsia" w:ascii="Times New Roman" w:hAnsi="Times New Roman" w:eastAsia="宋体" w:cs="Times New Roman"/>
                      <w:sz w:val="18"/>
                      <w:szCs w:val="18"/>
                      <w:lang w:val="en-US" w:eastAsia="zh-CN"/>
                    </w:rPr>
                    <w:t>10000</w:t>
                  </w:r>
                </w:p>
              </w:tc>
              <w:tc>
                <w:tcPr>
                  <w:tcW w:w="495" w:type="dxa"/>
                  <w:tcBorders>
                    <w:top w:val="single" w:color="auto" w:sz="4" w:space="0"/>
                    <w:left w:val="single" w:color="auto" w:sz="4" w:space="0"/>
                    <w:bottom w:val="single" w:color="auto" w:sz="4" w:space="0"/>
                    <w:right w:val="single" w:color="auto" w:sz="4" w:space="0"/>
                  </w:tcBorders>
                  <w:vAlign w:val="center"/>
                </w:tcPr>
                <w:p w14:paraId="53430088">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90</w:t>
                  </w:r>
                </w:p>
              </w:tc>
              <w:tc>
                <w:tcPr>
                  <w:tcW w:w="525" w:type="dxa"/>
                  <w:tcBorders>
                    <w:top w:val="single" w:color="auto" w:sz="4" w:space="0"/>
                    <w:left w:val="single" w:color="auto" w:sz="4" w:space="0"/>
                    <w:bottom w:val="single" w:color="auto" w:sz="4" w:space="0"/>
                    <w:right w:val="single" w:color="auto" w:sz="4" w:space="0"/>
                  </w:tcBorders>
                  <w:vAlign w:val="center"/>
                </w:tcPr>
                <w:p w14:paraId="006C54A9">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375" w:type="dxa"/>
                  <w:tcBorders>
                    <w:top w:val="single" w:color="auto" w:sz="4" w:space="0"/>
                    <w:left w:val="single" w:color="auto" w:sz="4" w:space="0"/>
                    <w:bottom w:val="single" w:color="auto" w:sz="4" w:space="0"/>
                    <w:right w:val="single" w:color="auto" w:sz="4" w:space="0"/>
                  </w:tcBorders>
                  <w:vAlign w:val="center"/>
                </w:tcPr>
                <w:p w14:paraId="03ACD1F8">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465" w:type="dxa"/>
                  <w:tcBorders>
                    <w:top w:val="single" w:color="auto" w:sz="4" w:space="0"/>
                    <w:left w:val="single" w:color="auto" w:sz="4" w:space="0"/>
                    <w:bottom w:val="single" w:color="auto" w:sz="4" w:space="0"/>
                    <w:right w:val="single" w:color="auto" w:sz="4" w:space="0"/>
                  </w:tcBorders>
                  <w:vAlign w:val="center"/>
                </w:tcPr>
                <w:p w14:paraId="001290FE">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598" w:type="dxa"/>
                  <w:tcBorders>
                    <w:top w:val="single" w:color="auto" w:sz="4" w:space="0"/>
                    <w:left w:val="single" w:color="auto" w:sz="4" w:space="0"/>
                    <w:bottom w:val="single" w:color="auto" w:sz="4" w:space="0"/>
                    <w:right w:val="single" w:color="auto" w:sz="4" w:space="0"/>
                  </w:tcBorders>
                  <w:vAlign w:val="center"/>
                </w:tcPr>
                <w:p w14:paraId="484ED65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0.116</w:t>
                  </w:r>
                </w:p>
              </w:tc>
              <w:tc>
                <w:tcPr>
                  <w:tcW w:w="490" w:type="dxa"/>
                  <w:tcBorders>
                    <w:top w:val="single" w:color="auto" w:sz="4" w:space="0"/>
                    <w:left w:val="single" w:color="auto" w:sz="4" w:space="0"/>
                    <w:bottom w:val="single" w:color="auto" w:sz="4" w:space="0"/>
                    <w:right w:val="single" w:color="auto" w:sz="4" w:space="0"/>
                  </w:tcBorders>
                  <w:vAlign w:val="center"/>
                </w:tcPr>
                <w:p w14:paraId="34AC8F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4.8</w:t>
                  </w:r>
                </w:p>
              </w:tc>
              <w:tc>
                <w:tcPr>
                  <w:tcW w:w="500" w:type="dxa"/>
                  <w:tcBorders>
                    <w:top w:val="single" w:color="auto" w:sz="4" w:space="0"/>
                    <w:left w:val="single" w:color="auto" w:sz="4" w:space="0"/>
                    <w:bottom w:val="single" w:color="auto" w:sz="4" w:space="0"/>
                    <w:right w:val="single" w:color="auto" w:sz="4" w:space="0"/>
                  </w:tcBorders>
                  <w:vAlign w:val="center"/>
                </w:tcPr>
                <w:p w14:paraId="69C86B5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0.096</w:t>
                  </w:r>
                  <w:r>
                    <w:rPr>
                      <w:rFonts w:hint="eastAsia" w:eastAsia="宋体" w:cs="Times New Roman"/>
                      <w:i w:val="0"/>
                      <w:iCs w:val="0"/>
                      <w:color w:val="000000"/>
                      <w:kern w:val="0"/>
                      <w:sz w:val="18"/>
                      <w:szCs w:val="18"/>
                      <w:u w:val="none"/>
                      <w:lang w:val="en-US" w:eastAsia="zh-CN" w:bidi="ar"/>
                    </w:rPr>
                    <w:t>7</w:t>
                  </w:r>
                </w:p>
              </w:tc>
              <w:tc>
                <w:tcPr>
                  <w:tcW w:w="365" w:type="dxa"/>
                  <w:vMerge w:val="continue"/>
                  <w:tcBorders>
                    <w:left w:val="single" w:color="auto" w:sz="4" w:space="0"/>
                    <w:right w:val="single" w:color="auto" w:sz="4" w:space="0"/>
                  </w:tcBorders>
                  <w:vAlign w:val="center"/>
                </w:tcPr>
                <w:p w14:paraId="5A6AFC46">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bottom w:val="single" w:color="auto" w:sz="4" w:space="0"/>
                    <w:right w:val="single" w:color="auto" w:sz="4" w:space="0"/>
                  </w:tcBorders>
                  <w:vAlign w:val="center"/>
                </w:tcPr>
                <w:p w14:paraId="301D0DEC">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5923AA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39FC74C8">
                  <w:pPr>
                    <w:spacing w:line="240" w:lineRule="auto"/>
                    <w:jc w:val="center"/>
                    <w:rPr>
                      <w:rFonts w:hint="eastAsia" w:ascii="Times New Roman" w:hAnsi="Times New Roman" w:eastAsia="宋体" w:cs="Times New Roman"/>
                      <w:bCs/>
                      <w:sz w:val="18"/>
                      <w:szCs w:val="18"/>
                      <w:lang w:eastAsia="zh-CN"/>
                    </w:rPr>
                  </w:pPr>
                </w:p>
              </w:tc>
              <w:tc>
                <w:tcPr>
                  <w:tcW w:w="560" w:type="dxa"/>
                  <w:vMerge w:val="continue"/>
                  <w:tcBorders>
                    <w:left w:val="single" w:color="auto" w:sz="4" w:space="0"/>
                    <w:bottom w:val="single" w:color="auto" w:sz="4" w:space="0"/>
                    <w:right w:val="single" w:color="auto" w:sz="4" w:space="0"/>
                  </w:tcBorders>
                  <w:vAlign w:val="center"/>
                </w:tcPr>
                <w:p w14:paraId="3AAA610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630" w:type="dxa"/>
                  <w:vMerge w:val="continue"/>
                  <w:tcBorders>
                    <w:left w:val="single" w:color="auto" w:sz="4" w:space="0"/>
                    <w:bottom w:val="single" w:color="auto" w:sz="4" w:space="0"/>
                    <w:right w:val="single" w:color="auto" w:sz="4" w:space="0"/>
                  </w:tcBorders>
                  <w:vAlign w:val="center"/>
                </w:tcPr>
                <w:p w14:paraId="16A5BA09">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735" w:type="dxa"/>
                  <w:tcBorders>
                    <w:top w:val="single" w:color="auto" w:sz="4" w:space="0"/>
                    <w:left w:val="single" w:color="auto" w:sz="4" w:space="0"/>
                    <w:bottom w:val="single" w:color="auto" w:sz="4" w:space="0"/>
                    <w:right w:val="single" w:color="auto" w:sz="4" w:space="0"/>
                  </w:tcBorders>
                  <w:vAlign w:val="center"/>
                </w:tcPr>
                <w:p w14:paraId="1FF8362B">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0.043</w:t>
                  </w:r>
                </w:p>
              </w:tc>
              <w:tc>
                <w:tcPr>
                  <w:tcW w:w="645" w:type="dxa"/>
                  <w:tcBorders>
                    <w:top w:val="single" w:color="auto" w:sz="4" w:space="0"/>
                    <w:left w:val="single" w:color="auto" w:sz="4" w:space="0"/>
                    <w:bottom w:val="single" w:color="auto" w:sz="4" w:space="0"/>
                    <w:right w:val="single" w:color="auto" w:sz="4" w:space="0"/>
                  </w:tcBorders>
                  <w:vAlign w:val="center"/>
                </w:tcPr>
                <w:p w14:paraId="7B16DF27">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4383D13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0.0358</w:t>
                  </w:r>
                </w:p>
              </w:tc>
              <w:tc>
                <w:tcPr>
                  <w:tcW w:w="600" w:type="dxa"/>
                  <w:tcBorders>
                    <w:top w:val="single" w:color="auto" w:sz="4" w:space="0"/>
                    <w:left w:val="single" w:color="auto" w:sz="4" w:space="0"/>
                    <w:bottom w:val="single" w:color="auto" w:sz="4" w:space="0"/>
                    <w:right w:val="single" w:color="auto" w:sz="4" w:space="0"/>
                  </w:tcBorders>
                  <w:vAlign w:val="center"/>
                </w:tcPr>
                <w:p w14:paraId="77DF7129">
                  <w:pPr>
                    <w:jc w:val="center"/>
                    <w:rPr>
                      <w:rFonts w:hint="default" w:cs="Times New Roman"/>
                      <w:sz w:val="18"/>
                      <w:szCs w:val="18"/>
                      <w:lang w:val="en-US" w:eastAsia="zh-CN"/>
                    </w:rPr>
                  </w:pPr>
                  <w:r>
                    <w:rPr>
                      <w:rFonts w:hint="eastAsia"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069AAB12">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0D7D32BB">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5E7E11A8">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27FEE850">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1AC44A3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0.043</w:t>
                  </w:r>
                </w:p>
              </w:tc>
              <w:tc>
                <w:tcPr>
                  <w:tcW w:w="490" w:type="dxa"/>
                  <w:tcBorders>
                    <w:top w:val="single" w:color="auto" w:sz="4" w:space="0"/>
                    <w:left w:val="single" w:color="auto" w:sz="4" w:space="0"/>
                    <w:bottom w:val="single" w:color="auto" w:sz="4" w:space="0"/>
                    <w:right w:val="single" w:color="auto" w:sz="4" w:space="0"/>
                  </w:tcBorders>
                  <w:vAlign w:val="center"/>
                </w:tcPr>
                <w:p w14:paraId="2BEB440C">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00" w:type="dxa"/>
                  <w:tcBorders>
                    <w:top w:val="single" w:color="auto" w:sz="4" w:space="0"/>
                    <w:left w:val="single" w:color="auto" w:sz="4" w:space="0"/>
                    <w:bottom w:val="single" w:color="auto" w:sz="4" w:space="0"/>
                    <w:right w:val="single" w:color="auto" w:sz="4" w:space="0"/>
                  </w:tcBorders>
                  <w:vAlign w:val="center"/>
                </w:tcPr>
                <w:p w14:paraId="5A6AE1D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0.0358</w:t>
                  </w:r>
                </w:p>
              </w:tc>
              <w:tc>
                <w:tcPr>
                  <w:tcW w:w="365" w:type="dxa"/>
                  <w:vMerge w:val="continue"/>
                  <w:tcBorders>
                    <w:left w:val="single" w:color="auto" w:sz="4" w:space="0"/>
                    <w:right w:val="single" w:color="auto" w:sz="4" w:space="0"/>
                  </w:tcBorders>
                  <w:vAlign w:val="center"/>
                </w:tcPr>
                <w:p w14:paraId="60E8E21D">
                  <w:pPr>
                    <w:spacing w:line="240" w:lineRule="auto"/>
                    <w:jc w:val="center"/>
                    <w:rPr>
                      <w:rFonts w:hint="default" w:ascii="Times New Roman" w:hAnsi="Times New Roman" w:eastAsia="宋体" w:cs="Times New Roman"/>
                      <w:sz w:val="18"/>
                      <w:szCs w:val="18"/>
                      <w:lang w:val="en-US" w:eastAsia="zh-CN"/>
                    </w:rPr>
                  </w:pPr>
                </w:p>
              </w:tc>
              <w:tc>
                <w:tcPr>
                  <w:tcW w:w="341" w:type="dxa"/>
                  <w:tcBorders>
                    <w:top w:val="single" w:color="auto" w:sz="4" w:space="0"/>
                    <w:left w:val="single" w:color="auto" w:sz="4" w:space="0"/>
                    <w:right w:val="single" w:color="auto" w:sz="4" w:space="0"/>
                  </w:tcBorders>
                  <w:vAlign w:val="center"/>
                </w:tcPr>
                <w:p w14:paraId="7853C553">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无组织</w:t>
                  </w:r>
                </w:p>
              </w:tc>
            </w:tr>
            <w:tr w14:paraId="10363D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bottom w:val="single" w:color="auto" w:sz="2" w:space="0"/>
                    <w:right w:val="single" w:color="auto" w:sz="4" w:space="0"/>
                  </w:tcBorders>
                  <w:vAlign w:val="center"/>
                </w:tcPr>
                <w:p w14:paraId="48D4BDE3">
                  <w:pPr>
                    <w:spacing w:line="240" w:lineRule="auto"/>
                    <w:jc w:val="center"/>
                    <w:rPr>
                      <w:rFonts w:hint="eastAsia" w:ascii="Times New Roman" w:hAnsi="Times New Roman" w:eastAsia="宋体" w:cs="Times New Roman"/>
                      <w:bCs/>
                      <w:sz w:val="18"/>
                      <w:szCs w:val="18"/>
                      <w:lang w:eastAsia="zh-CN"/>
                    </w:rPr>
                  </w:pPr>
                </w:p>
              </w:tc>
              <w:tc>
                <w:tcPr>
                  <w:tcW w:w="560" w:type="dxa"/>
                  <w:vMerge w:val="restart"/>
                  <w:tcBorders>
                    <w:left w:val="single" w:color="auto" w:sz="4" w:space="0"/>
                    <w:right w:val="single" w:color="auto" w:sz="4" w:space="0"/>
                  </w:tcBorders>
                  <w:vAlign w:val="center"/>
                </w:tcPr>
                <w:p w14:paraId="7B57DFED">
                  <w:pPr>
                    <w:keepNext w:val="0"/>
                    <w:keepLines w:val="0"/>
                    <w:widowControl/>
                    <w:suppressLineNumbers w:val="0"/>
                    <w:ind w:left="0" w:leftChars="0" w:right="0" w:rightChars="0" w:firstLine="0" w:firstLineChars="0"/>
                    <w:jc w:val="center"/>
                    <w:textAlignment w:val="center"/>
                    <w:rPr>
                      <w:rFonts w:hint="default" w:ascii="Times New Roman" w:hAnsi="Times New Roman" w:cs="Times New Roman"/>
                      <w:bCs/>
                      <w:color w:val="000000"/>
                      <w:sz w:val="18"/>
                      <w:szCs w:val="18"/>
                      <w:vertAlign w:val="baseline"/>
                      <w:lang w:val="en-US" w:eastAsia="zh-CN"/>
                    </w:rPr>
                  </w:pPr>
                  <w:r>
                    <w:rPr>
                      <w:rFonts w:hint="eastAsia" w:ascii="Times New Roman" w:hAnsi="Times New Roman" w:cs="Times New Roman"/>
                      <w:bCs/>
                      <w:color w:val="000000"/>
                      <w:sz w:val="18"/>
                      <w:szCs w:val="18"/>
                      <w:vertAlign w:val="baseline"/>
                      <w:lang w:val="en-US" w:eastAsia="zh-CN"/>
                    </w:rPr>
                    <w:t>臭气浓度</w:t>
                  </w:r>
                </w:p>
              </w:tc>
              <w:tc>
                <w:tcPr>
                  <w:tcW w:w="630" w:type="dxa"/>
                  <w:tcBorders>
                    <w:left w:val="single" w:color="auto" w:sz="4" w:space="0"/>
                    <w:bottom w:val="single" w:color="auto" w:sz="4" w:space="0"/>
                    <w:right w:val="single" w:color="auto" w:sz="4" w:space="0"/>
                  </w:tcBorders>
                  <w:vAlign w:val="center"/>
                </w:tcPr>
                <w:p w14:paraId="6CEEFD71">
                  <w:pPr>
                    <w:keepNext w:val="0"/>
                    <w:keepLines w:val="0"/>
                    <w:widowControl/>
                    <w:suppressLineNumbers w:val="0"/>
                    <w:ind w:left="0" w:leftChars="0" w:right="0" w:rightChars="0" w:firstLine="0" w:firstLineChars="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35" w:type="dxa"/>
                  <w:tcBorders>
                    <w:top w:val="single" w:color="auto" w:sz="4" w:space="0"/>
                    <w:left w:val="single" w:color="auto" w:sz="4" w:space="0"/>
                    <w:bottom w:val="single" w:color="auto" w:sz="4" w:space="0"/>
                    <w:right w:val="single" w:color="auto" w:sz="4" w:space="0"/>
                  </w:tcBorders>
                  <w:vAlign w:val="center"/>
                </w:tcPr>
                <w:p w14:paraId="7C9BD75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5" w:type="dxa"/>
                  <w:tcBorders>
                    <w:top w:val="single" w:color="auto" w:sz="4" w:space="0"/>
                    <w:left w:val="single" w:color="auto" w:sz="4" w:space="0"/>
                    <w:bottom w:val="single" w:color="auto" w:sz="4" w:space="0"/>
                    <w:right w:val="single" w:color="auto" w:sz="4" w:space="0"/>
                  </w:tcBorders>
                  <w:vAlign w:val="center"/>
                </w:tcPr>
                <w:p w14:paraId="4BE74396">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7126A77C">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00" w:type="dxa"/>
                  <w:tcBorders>
                    <w:top w:val="single" w:color="auto" w:sz="4" w:space="0"/>
                    <w:left w:val="single" w:color="auto" w:sz="4" w:space="0"/>
                    <w:bottom w:val="single" w:color="auto" w:sz="4" w:space="0"/>
                    <w:right w:val="single" w:color="auto" w:sz="4" w:space="0"/>
                  </w:tcBorders>
                  <w:vAlign w:val="center"/>
                </w:tcPr>
                <w:p w14:paraId="6DE5CAB4">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495" w:type="dxa"/>
                  <w:tcBorders>
                    <w:top w:val="single" w:color="auto" w:sz="4" w:space="0"/>
                    <w:left w:val="single" w:color="auto" w:sz="4" w:space="0"/>
                    <w:bottom w:val="single" w:color="auto" w:sz="4" w:space="0"/>
                    <w:right w:val="single" w:color="auto" w:sz="4" w:space="0"/>
                  </w:tcBorders>
                  <w:vAlign w:val="center"/>
                </w:tcPr>
                <w:p w14:paraId="061ECAA1">
                  <w:pPr>
                    <w:keepNext w:val="0"/>
                    <w:keepLines w:val="0"/>
                    <w:widowControl/>
                    <w:suppressLineNumbers w:val="0"/>
                    <w:jc w:val="center"/>
                    <w:textAlignment w:val="center"/>
                    <w:rPr>
                      <w:rFonts w:hint="eastAsia"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525" w:type="dxa"/>
                  <w:tcBorders>
                    <w:top w:val="single" w:color="auto" w:sz="4" w:space="0"/>
                    <w:left w:val="single" w:color="auto" w:sz="4" w:space="0"/>
                    <w:bottom w:val="single" w:color="auto" w:sz="4" w:space="0"/>
                    <w:right w:val="single" w:color="auto" w:sz="4" w:space="0"/>
                  </w:tcBorders>
                  <w:vAlign w:val="center"/>
                </w:tcPr>
                <w:p w14:paraId="285D38B9">
                  <w:pPr>
                    <w:keepNext w:val="0"/>
                    <w:keepLines w:val="0"/>
                    <w:widowControl/>
                    <w:suppressLineNumbers w:val="0"/>
                    <w:jc w:val="center"/>
                    <w:textAlignment w:val="center"/>
                    <w:rPr>
                      <w:rFonts w:hint="eastAsia"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375" w:type="dxa"/>
                  <w:tcBorders>
                    <w:top w:val="single" w:color="auto" w:sz="4" w:space="0"/>
                    <w:left w:val="single" w:color="auto" w:sz="4" w:space="0"/>
                    <w:bottom w:val="single" w:color="auto" w:sz="4" w:space="0"/>
                    <w:right w:val="single" w:color="auto" w:sz="4" w:space="0"/>
                  </w:tcBorders>
                  <w:vAlign w:val="center"/>
                </w:tcPr>
                <w:p w14:paraId="5A5EBF01">
                  <w:pPr>
                    <w:keepNext w:val="0"/>
                    <w:keepLines w:val="0"/>
                    <w:widowControl/>
                    <w:suppressLineNumbers w:val="0"/>
                    <w:jc w:val="center"/>
                    <w:textAlignment w:val="center"/>
                    <w:rPr>
                      <w:rFonts w:hint="eastAsia" w:ascii="Times New Roman" w:hAnsi="Times New Roman" w:eastAsia="宋体"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465" w:type="dxa"/>
                  <w:tcBorders>
                    <w:top w:val="single" w:color="auto" w:sz="4" w:space="0"/>
                    <w:left w:val="single" w:color="auto" w:sz="4" w:space="0"/>
                    <w:bottom w:val="single" w:color="auto" w:sz="4" w:space="0"/>
                    <w:right w:val="single" w:color="auto" w:sz="4" w:space="0"/>
                  </w:tcBorders>
                  <w:vAlign w:val="center"/>
                </w:tcPr>
                <w:p w14:paraId="143FA1E8">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544D387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微量</w:t>
                  </w:r>
                </w:p>
              </w:tc>
              <w:tc>
                <w:tcPr>
                  <w:tcW w:w="490" w:type="dxa"/>
                  <w:tcBorders>
                    <w:top w:val="single" w:color="auto" w:sz="4" w:space="0"/>
                    <w:left w:val="single" w:color="auto" w:sz="4" w:space="0"/>
                    <w:bottom w:val="single" w:color="auto" w:sz="4" w:space="0"/>
                    <w:right w:val="single" w:color="auto" w:sz="4" w:space="0"/>
                  </w:tcBorders>
                  <w:vAlign w:val="center"/>
                </w:tcPr>
                <w:p w14:paraId="5C1A2174">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＜2000无量纲</w:t>
                  </w:r>
                </w:p>
              </w:tc>
              <w:tc>
                <w:tcPr>
                  <w:tcW w:w="500" w:type="dxa"/>
                  <w:tcBorders>
                    <w:top w:val="single" w:color="auto" w:sz="4" w:space="0"/>
                    <w:left w:val="single" w:color="auto" w:sz="4" w:space="0"/>
                    <w:bottom w:val="single" w:color="auto" w:sz="4" w:space="0"/>
                    <w:right w:val="single" w:color="auto" w:sz="4" w:space="0"/>
                  </w:tcBorders>
                  <w:vAlign w:val="center"/>
                </w:tcPr>
                <w:p w14:paraId="1D9EAEC2">
                  <w:pPr>
                    <w:keepNext w:val="0"/>
                    <w:keepLines w:val="0"/>
                    <w:widowControl/>
                    <w:suppressLineNumbers w:val="0"/>
                    <w:ind w:left="0" w:leftChars="0" w:right="0" w:rightChars="0" w:firstLine="0" w:firstLineChars="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365" w:type="dxa"/>
                  <w:vMerge w:val="continue"/>
                  <w:tcBorders>
                    <w:left w:val="single" w:color="auto" w:sz="4" w:space="0"/>
                    <w:right w:val="single" w:color="auto" w:sz="4" w:space="0"/>
                  </w:tcBorders>
                  <w:vAlign w:val="center"/>
                </w:tcPr>
                <w:p w14:paraId="046C9A19">
                  <w:pPr>
                    <w:spacing w:line="240" w:lineRule="auto"/>
                    <w:jc w:val="center"/>
                    <w:rPr>
                      <w:rFonts w:hint="default" w:ascii="Times New Roman" w:hAnsi="Times New Roman" w:eastAsia="宋体" w:cs="Times New Roman"/>
                      <w:sz w:val="18"/>
                      <w:szCs w:val="18"/>
                      <w:lang w:val="en-US" w:eastAsia="zh-CN"/>
                    </w:rPr>
                  </w:pPr>
                </w:p>
              </w:tc>
              <w:tc>
                <w:tcPr>
                  <w:tcW w:w="341" w:type="dxa"/>
                  <w:tcBorders>
                    <w:top w:val="single" w:color="auto" w:sz="4" w:space="0"/>
                    <w:left w:val="single" w:color="auto" w:sz="4" w:space="0"/>
                    <w:right w:val="single" w:color="auto" w:sz="4" w:space="0"/>
                  </w:tcBorders>
                  <w:vAlign w:val="center"/>
                </w:tcPr>
                <w:p w14:paraId="10CBC23B">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671D7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bottom w:val="single" w:color="auto" w:sz="2" w:space="0"/>
                    <w:right w:val="single" w:color="auto" w:sz="4" w:space="0"/>
                  </w:tcBorders>
                  <w:vAlign w:val="center"/>
                </w:tcPr>
                <w:p w14:paraId="7A8EE6B7">
                  <w:pPr>
                    <w:spacing w:line="240" w:lineRule="auto"/>
                    <w:jc w:val="center"/>
                    <w:rPr>
                      <w:rFonts w:hint="eastAsia" w:ascii="Times New Roman" w:hAnsi="Times New Roman" w:eastAsia="宋体" w:cs="Times New Roman"/>
                      <w:bCs/>
                      <w:sz w:val="18"/>
                      <w:szCs w:val="18"/>
                      <w:lang w:eastAsia="zh-CN"/>
                    </w:rPr>
                  </w:pPr>
                </w:p>
              </w:tc>
              <w:tc>
                <w:tcPr>
                  <w:tcW w:w="560" w:type="dxa"/>
                  <w:vMerge w:val="continue"/>
                  <w:tcBorders>
                    <w:left w:val="single" w:color="auto" w:sz="4" w:space="0"/>
                    <w:bottom w:val="single" w:color="auto" w:sz="4" w:space="0"/>
                    <w:right w:val="single" w:color="auto" w:sz="4" w:space="0"/>
                  </w:tcBorders>
                  <w:vAlign w:val="center"/>
                </w:tcPr>
                <w:p w14:paraId="4E9BAC0A">
                  <w:pPr>
                    <w:keepNext w:val="0"/>
                    <w:keepLines w:val="0"/>
                    <w:widowControl/>
                    <w:suppressLineNumbers w:val="0"/>
                    <w:jc w:val="center"/>
                    <w:textAlignment w:val="center"/>
                    <w:rPr>
                      <w:rFonts w:hint="default" w:ascii="Times New Roman" w:hAnsi="Times New Roman" w:cs="Times New Roman"/>
                      <w:bCs/>
                      <w:color w:val="000000"/>
                      <w:sz w:val="18"/>
                      <w:szCs w:val="18"/>
                      <w:vertAlign w:val="baseline"/>
                      <w:lang w:val="en-US" w:eastAsia="zh-CN"/>
                    </w:rPr>
                  </w:pPr>
                </w:p>
              </w:tc>
              <w:tc>
                <w:tcPr>
                  <w:tcW w:w="630" w:type="dxa"/>
                  <w:tcBorders>
                    <w:left w:val="single" w:color="auto" w:sz="4" w:space="0"/>
                    <w:bottom w:val="single" w:color="auto" w:sz="4" w:space="0"/>
                    <w:right w:val="single" w:color="auto" w:sz="4" w:space="0"/>
                  </w:tcBorders>
                  <w:vAlign w:val="center"/>
                </w:tcPr>
                <w:p w14:paraId="427C1B54">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35" w:type="dxa"/>
                  <w:tcBorders>
                    <w:top w:val="single" w:color="auto" w:sz="4" w:space="0"/>
                    <w:left w:val="single" w:color="auto" w:sz="4" w:space="0"/>
                    <w:bottom w:val="single" w:color="auto" w:sz="4" w:space="0"/>
                    <w:right w:val="single" w:color="auto" w:sz="4" w:space="0"/>
                  </w:tcBorders>
                  <w:vAlign w:val="center"/>
                </w:tcPr>
                <w:p w14:paraId="3B712B3A">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5" w:type="dxa"/>
                  <w:tcBorders>
                    <w:top w:val="single" w:color="auto" w:sz="4" w:space="0"/>
                    <w:left w:val="single" w:color="auto" w:sz="4" w:space="0"/>
                    <w:bottom w:val="single" w:color="auto" w:sz="4" w:space="0"/>
                    <w:right w:val="single" w:color="auto" w:sz="4" w:space="0"/>
                  </w:tcBorders>
                  <w:vAlign w:val="center"/>
                </w:tcPr>
                <w:p w14:paraId="357FE87B">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14F6694A">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sz w:val="18"/>
                      <w:szCs w:val="18"/>
                      <w:lang w:val="en-US" w:eastAsia="zh-CN"/>
                    </w:rPr>
                    <w:t>/</w:t>
                  </w:r>
                </w:p>
              </w:tc>
              <w:tc>
                <w:tcPr>
                  <w:tcW w:w="600" w:type="dxa"/>
                  <w:tcBorders>
                    <w:top w:val="single" w:color="auto" w:sz="4" w:space="0"/>
                    <w:left w:val="single" w:color="auto" w:sz="4" w:space="0"/>
                    <w:bottom w:val="single" w:color="auto" w:sz="4" w:space="0"/>
                    <w:right w:val="single" w:color="auto" w:sz="4" w:space="0"/>
                  </w:tcBorders>
                  <w:vAlign w:val="center"/>
                </w:tcPr>
                <w:p w14:paraId="4D8B1323">
                  <w:pPr>
                    <w:jc w:val="center"/>
                    <w:rPr>
                      <w:rFonts w:hint="eastAsia" w:cs="Times New Roman"/>
                      <w:sz w:val="18"/>
                      <w:szCs w:val="18"/>
                      <w:lang w:val="en-US" w:eastAsia="zh-CN"/>
                    </w:rPr>
                  </w:pPr>
                  <w:r>
                    <w:rPr>
                      <w:rFonts w:hint="eastAsia"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32496208">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67E1E6D3">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74F64BAA">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457FBF65">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545641B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490" w:type="dxa"/>
                  <w:tcBorders>
                    <w:top w:val="single" w:color="auto" w:sz="4" w:space="0"/>
                    <w:left w:val="single" w:color="auto" w:sz="4" w:space="0"/>
                    <w:bottom w:val="single" w:color="auto" w:sz="4" w:space="0"/>
                    <w:right w:val="single" w:color="auto" w:sz="4" w:space="0"/>
                  </w:tcBorders>
                  <w:vAlign w:val="center"/>
                </w:tcPr>
                <w:p w14:paraId="458897B8">
                  <w:pPr>
                    <w:jc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＜20无量纲</w:t>
                  </w:r>
                </w:p>
              </w:tc>
              <w:tc>
                <w:tcPr>
                  <w:tcW w:w="500" w:type="dxa"/>
                  <w:tcBorders>
                    <w:top w:val="single" w:color="auto" w:sz="4" w:space="0"/>
                    <w:left w:val="single" w:color="auto" w:sz="4" w:space="0"/>
                    <w:bottom w:val="single" w:color="auto" w:sz="4" w:space="0"/>
                    <w:right w:val="single" w:color="auto" w:sz="4" w:space="0"/>
                  </w:tcBorders>
                  <w:vAlign w:val="center"/>
                </w:tcPr>
                <w:p w14:paraId="259279B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365" w:type="dxa"/>
                  <w:vMerge w:val="continue"/>
                  <w:tcBorders>
                    <w:left w:val="single" w:color="auto" w:sz="4" w:space="0"/>
                    <w:right w:val="single" w:color="auto" w:sz="4" w:space="0"/>
                  </w:tcBorders>
                  <w:vAlign w:val="center"/>
                </w:tcPr>
                <w:p w14:paraId="766F4AE1">
                  <w:pPr>
                    <w:spacing w:line="240" w:lineRule="auto"/>
                    <w:jc w:val="center"/>
                    <w:rPr>
                      <w:rFonts w:hint="default" w:ascii="Times New Roman" w:hAnsi="Times New Roman" w:eastAsia="宋体" w:cs="Times New Roman"/>
                      <w:sz w:val="18"/>
                      <w:szCs w:val="18"/>
                      <w:lang w:val="en-US" w:eastAsia="zh-CN"/>
                    </w:rPr>
                  </w:pPr>
                </w:p>
              </w:tc>
              <w:tc>
                <w:tcPr>
                  <w:tcW w:w="341" w:type="dxa"/>
                  <w:tcBorders>
                    <w:top w:val="single" w:color="auto" w:sz="4" w:space="0"/>
                    <w:left w:val="single" w:color="auto" w:sz="4" w:space="0"/>
                    <w:right w:val="single" w:color="auto" w:sz="4" w:space="0"/>
                  </w:tcBorders>
                  <w:vAlign w:val="center"/>
                </w:tcPr>
                <w:p w14:paraId="7F132D7A">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3BC99D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restart"/>
                  <w:tcBorders>
                    <w:top w:val="single" w:color="auto" w:sz="2" w:space="0"/>
                    <w:left w:val="single" w:color="auto" w:sz="4" w:space="0"/>
                    <w:right w:val="single" w:color="auto" w:sz="4" w:space="0"/>
                  </w:tcBorders>
                  <w:vAlign w:val="center"/>
                </w:tcPr>
                <w:p w14:paraId="616DD537">
                  <w:pPr>
                    <w:spacing w:line="240" w:lineRule="auto"/>
                    <w:jc w:val="center"/>
                    <w:rPr>
                      <w:rFonts w:hint="eastAsia" w:ascii="Times New Roman" w:hAnsi="Times New Roman" w:eastAsia="宋体" w:cs="Times New Roman"/>
                      <w:bCs/>
                      <w:sz w:val="18"/>
                      <w:szCs w:val="18"/>
                      <w:lang w:eastAsia="zh-CN"/>
                    </w:rPr>
                  </w:pPr>
                  <w:r>
                    <w:rPr>
                      <w:rFonts w:hint="eastAsia" w:cs="Times New Roman"/>
                      <w:b w:val="0"/>
                      <w:bCs w:val="0"/>
                      <w:kern w:val="2"/>
                      <w:sz w:val="18"/>
                      <w:szCs w:val="18"/>
                      <w:lang w:val="en-US" w:eastAsia="zh-CN" w:bidi="ar-SA"/>
                    </w:rPr>
                    <w:t>PPH缠绕罐生产</w:t>
                  </w:r>
                </w:p>
              </w:tc>
              <w:tc>
                <w:tcPr>
                  <w:tcW w:w="560" w:type="dxa"/>
                  <w:vMerge w:val="restart"/>
                  <w:tcBorders>
                    <w:top w:val="single" w:color="auto" w:sz="4" w:space="0"/>
                    <w:left w:val="single" w:color="auto" w:sz="4" w:space="0"/>
                    <w:right w:val="single" w:color="auto" w:sz="4" w:space="0"/>
                  </w:tcBorders>
                  <w:vAlign w:val="center"/>
                </w:tcPr>
                <w:p w14:paraId="0B3CC5C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630" w:type="dxa"/>
                  <w:vMerge w:val="restart"/>
                  <w:tcBorders>
                    <w:top w:val="single" w:color="auto" w:sz="4" w:space="0"/>
                    <w:left w:val="single" w:color="auto" w:sz="4" w:space="0"/>
                    <w:right w:val="single" w:color="auto" w:sz="4" w:space="0"/>
                  </w:tcBorders>
                  <w:vAlign w:val="center"/>
                </w:tcPr>
                <w:p w14:paraId="48B30AEB">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0.081</w:t>
                  </w:r>
                </w:p>
              </w:tc>
              <w:tc>
                <w:tcPr>
                  <w:tcW w:w="735" w:type="dxa"/>
                  <w:tcBorders>
                    <w:top w:val="single" w:color="auto" w:sz="4" w:space="0"/>
                    <w:left w:val="single" w:color="auto" w:sz="4" w:space="0"/>
                    <w:bottom w:val="single" w:color="auto" w:sz="4" w:space="0"/>
                    <w:right w:val="single" w:color="auto" w:sz="4" w:space="0"/>
                  </w:tcBorders>
                  <w:vAlign w:val="center"/>
                </w:tcPr>
                <w:p w14:paraId="04488E13">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0.073</w:t>
                  </w:r>
                </w:p>
              </w:tc>
              <w:tc>
                <w:tcPr>
                  <w:tcW w:w="645" w:type="dxa"/>
                  <w:tcBorders>
                    <w:top w:val="single" w:color="auto" w:sz="4" w:space="0"/>
                    <w:left w:val="single" w:color="auto" w:sz="4" w:space="0"/>
                    <w:bottom w:val="single" w:color="auto" w:sz="4" w:space="0"/>
                    <w:right w:val="single" w:color="auto" w:sz="4" w:space="0"/>
                  </w:tcBorders>
                  <w:vAlign w:val="center"/>
                </w:tcPr>
                <w:p w14:paraId="42D6BAB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3.0</w:t>
                  </w:r>
                </w:p>
              </w:tc>
              <w:tc>
                <w:tcPr>
                  <w:tcW w:w="660" w:type="dxa"/>
                  <w:tcBorders>
                    <w:top w:val="single" w:color="auto" w:sz="4" w:space="0"/>
                    <w:left w:val="single" w:color="auto" w:sz="4" w:space="0"/>
                    <w:bottom w:val="single" w:color="auto" w:sz="4" w:space="0"/>
                    <w:right w:val="single" w:color="auto" w:sz="4" w:space="0"/>
                  </w:tcBorders>
                  <w:vAlign w:val="center"/>
                </w:tcPr>
                <w:p w14:paraId="776A586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0.0608</w:t>
                  </w:r>
                </w:p>
              </w:tc>
              <w:tc>
                <w:tcPr>
                  <w:tcW w:w="600" w:type="dxa"/>
                  <w:tcBorders>
                    <w:top w:val="single" w:color="auto" w:sz="4" w:space="0"/>
                    <w:left w:val="single" w:color="auto" w:sz="4" w:space="0"/>
                    <w:bottom w:val="single" w:color="auto" w:sz="4" w:space="0"/>
                    <w:right w:val="single" w:color="auto" w:sz="4" w:space="0"/>
                  </w:tcBorders>
                  <w:vAlign w:val="center"/>
                </w:tcPr>
                <w:p w14:paraId="3E8AE489">
                  <w:pPr>
                    <w:jc w:val="center"/>
                    <w:rPr>
                      <w:rFonts w:hint="eastAsia" w:cs="Times New Roman"/>
                      <w:sz w:val="18"/>
                      <w:szCs w:val="18"/>
                      <w:lang w:val="en-US" w:eastAsia="zh-CN"/>
                    </w:rPr>
                  </w:pPr>
                  <w:r>
                    <w:rPr>
                      <w:rFonts w:hint="eastAsia" w:ascii="Times New Roman" w:hAnsi="Times New Roman" w:eastAsia="宋体" w:cs="Times New Roman"/>
                      <w:sz w:val="18"/>
                      <w:szCs w:val="18"/>
                      <w:lang w:val="en-US" w:eastAsia="zh-CN"/>
                    </w:rPr>
                    <w:t>10000</w:t>
                  </w:r>
                </w:p>
              </w:tc>
              <w:tc>
                <w:tcPr>
                  <w:tcW w:w="495" w:type="dxa"/>
                  <w:tcBorders>
                    <w:top w:val="single" w:color="auto" w:sz="4" w:space="0"/>
                    <w:left w:val="single" w:color="auto" w:sz="4" w:space="0"/>
                    <w:bottom w:val="single" w:color="auto" w:sz="4" w:space="0"/>
                    <w:right w:val="single" w:color="auto" w:sz="4" w:space="0"/>
                  </w:tcBorders>
                  <w:vAlign w:val="center"/>
                </w:tcPr>
                <w:p w14:paraId="426D125A">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90</w:t>
                  </w:r>
                </w:p>
              </w:tc>
              <w:tc>
                <w:tcPr>
                  <w:tcW w:w="525" w:type="dxa"/>
                  <w:tcBorders>
                    <w:top w:val="single" w:color="auto" w:sz="4" w:space="0"/>
                    <w:left w:val="single" w:color="auto" w:sz="4" w:space="0"/>
                    <w:bottom w:val="single" w:color="auto" w:sz="4" w:space="0"/>
                    <w:right w:val="single" w:color="auto" w:sz="4" w:space="0"/>
                  </w:tcBorders>
                  <w:vAlign w:val="center"/>
                </w:tcPr>
                <w:p w14:paraId="655C08BA">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375" w:type="dxa"/>
                  <w:tcBorders>
                    <w:top w:val="single" w:color="auto" w:sz="4" w:space="0"/>
                    <w:left w:val="single" w:color="auto" w:sz="4" w:space="0"/>
                    <w:bottom w:val="single" w:color="auto" w:sz="4" w:space="0"/>
                    <w:right w:val="single" w:color="auto" w:sz="4" w:space="0"/>
                  </w:tcBorders>
                  <w:vAlign w:val="center"/>
                </w:tcPr>
                <w:p w14:paraId="6C340929">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465" w:type="dxa"/>
                  <w:tcBorders>
                    <w:top w:val="single" w:color="auto" w:sz="4" w:space="0"/>
                    <w:left w:val="single" w:color="auto" w:sz="4" w:space="0"/>
                    <w:bottom w:val="single" w:color="auto" w:sz="4" w:space="0"/>
                    <w:right w:val="single" w:color="auto" w:sz="4" w:space="0"/>
                  </w:tcBorders>
                  <w:vAlign w:val="center"/>
                </w:tcPr>
                <w:p w14:paraId="26EC8F76">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598" w:type="dxa"/>
                  <w:tcBorders>
                    <w:top w:val="single" w:color="auto" w:sz="4" w:space="0"/>
                    <w:left w:val="single" w:color="auto" w:sz="4" w:space="0"/>
                    <w:bottom w:val="single" w:color="auto" w:sz="4" w:space="0"/>
                    <w:right w:val="single" w:color="auto" w:sz="4" w:space="0"/>
                  </w:tcBorders>
                  <w:vAlign w:val="center"/>
                </w:tcPr>
                <w:p w14:paraId="5B11E7F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0.022</w:t>
                  </w:r>
                </w:p>
              </w:tc>
              <w:tc>
                <w:tcPr>
                  <w:tcW w:w="490" w:type="dxa"/>
                  <w:tcBorders>
                    <w:top w:val="single" w:color="auto" w:sz="4" w:space="0"/>
                    <w:left w:val="single" w:color="auto" w:sz="4" w:space="0"/>
                    <w:bottom w:val="single" w:color="auto" w:sz="4" w:space="0"/>
                    <w:right w:val="single" w:color="auto" w:sz="4" w:space="0"/>
                  </w:tcBorders>
                  <w:vAlign w:val="center"/>
                </w:tcPr>
                <w:p w14:paraId="0CAA001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0.9</w:t>
                  </w:r>
                </w:p>
              </w:tc>
              <w:tc>
                <w:tcPr>
                  <w:tcW w:w="500" w:type="dxa"/>
                  <w:tcBorders>
                    <w:top w:val="single" w:color="auto" w:sz="4" w:space="0"/>
                    <w:left w:val="single" w:color="auto" w:sz="4" w:space="0"/>
                    <w:bottom w:val="single" w:color="auto" w:sz="4" w:space="0"/>
                    <w:right w:val="single" w:color="auto" w:sz="4" w:space="0"/>
                  </w:tcBorders>
                  <w:vAlign w:val="center"/>
                </w:tcPr>
                <w:p w14:paraId="226F5B4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0.0183</w:t>
                  </w:r>
                </w:p>
              </w:tc>
              <w:tc>
                <w:tcPr>
                  <w:tcW w:w="365" w:type="dxa"/>
                  <w:vMerge w:val="continue"/>
                  <w:tcBorders>
                    <w:left w:val="single" w:color="auto" w:sz="4" w:space="0"/>
                    <w:right w:val="single" w:color="auto" w:sz="4" w:space="0"/>
                  </w:tcBorders>
                  <w:vAlign w:val="center"/>
                </w:tcPr>
                <w:p w14:paraId="47C4114A">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4E2EB6DF">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39F73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738110B0">
                  <w:pPr>
                    <w:spacing w:line="240" w:lineRule="auto"/>
                    <w:jc w:val="center"/>
                    <w:rPr>
                      <w:rFonts w:hint="eastAsia" w:ascii="Times New Roman" w:hAnsi="Times New Roman" w:eastAsia="宋体" w:cs="Times New Roman"/>
                      <w:bCs/>
                      <w:sz w:val="18"/>
                      <w:szCs w:val="18"/>
                      <w:lang w:eastAsia="zh-CN"/>
                    </w:rPr>
                  </w:pPr>
                </w:p>
              </w:tc>
              <w:tc>
                <w:tcPr>
                  <w:tcW w:w="560" w:type="dxa"/>
                  <w:vMerge w:val="continue"/>
                  <w:tcBorders>
                    <w:left w:val="single" w:color="auto" w:sz="4" w:space="0"/>
                    <w:right w:val="single" w:color="auto" w:sz="4" w:space="0"/>
                  </w:tcBorders>
                  <w:vAlign w:val="center"/>
                </w:tcPr>
                <w:p w14:paraId="42CF0A8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630" w:type="dxa"/>
                  <w:vMerge w:val="continue"/>
                  <w:tcBorders>
                    <w:left w:val="single" w:color="auto" w:sz="4" w:space="0"/>
                    <w:right w:val="single" w:color="auto" w:sz="4" w:space="0"/>
                  </w:tcBorders>
                  <w:vAlign w:val="center"/>
                </w:tcPr>
                <w:p w14:paraId="69AAE21A">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735" w:type="dxa"/>
                  <w:tcBorders>
                    <w:top w:val="single" w:color="auto" w:sz="4" w:space="0"/>
                    <w:left w:val="single" w:color="auto" w:sz="4" w:space="0"/>
                    <w:bottom w:val="single" w:color="auto" w:sz="4" w:space="0"/>
                    <w:right w:val="single" w:color="auto" w:sz="4" w:space="0"/>
                  </w:tcBorders>
                  <w:vAlign w:val="center"/>
                </w:tcPr>
                <w:p w14:paraId="4D07090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0.008</w:t>
                  </w:r>
                </w:p>
              </w:tc>
              <w:tc>
                <w:tcPr>
                  <w:tcW w:w="645" w:type="dxa"/>
                  <w:tcBorders>
                    <w:top w:val="single" w:color="auto" w:sz="4" w:space="0"/>
                    <w:left w:val="single" w:color="auto" w:sz="4" w:space="0"/>
                    <w:bottom w:val="single" w:color="auto" w:sz="4" w:space="0"/>
                    <w:right w:val="single" w:color="auto" w:sz="4" w:space="0"/>
                  </w:tcBorders>
                  <w:vAlign w:val="center"/>
                </w:tcPr>
                <w:p w14:paraId="1E11803A">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7B92A3E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0.006</w:t>
                  </w:r>
                  <w:r>
                    <w:rPr>
                      <w:rFonts w:hint="eastAsia" w:eastAsia="宋体" w:cs="Times New Roman"/>
                      <w:i w:val="0"/>
                      <w:iCs w:val="0"/>
                      <w:color w:val="000000"/>
                      <w:kern w:val="0"/>
                      <w:sz w:val="18"/>
                      <w:szCs w:val="18"/>
                      <w:u w:val="none"/>
                      <w:lang w:val="en-US" w:eastAsia="zh-CN" w:bidi="ar"/>
                    </w:rPr>
                    <w:t>7</w:t>
                  </w:r>
                </w:p>
              </w:tc>
              <w:tc>
                <w:tcPr>
                  <w:tcW w:w="600" w:type="dxa"/>
                  <w:tcBorders>
                    <w:top w:val="single" w:color="auto" w:sz="4" w:space="0"/>
                    <w:left w:val="single" w:color="auto" w:sz="4" w:space="0"/>
                    <w:bottom w:val="single" w:color="auto" w:sz="4" w:space="0"/>
                    <w:right w:val="single" w:color="auto" w:sz="4" w:space="0"/>
                  </w:tcBorders>
                  <w:vAlign w:val="center"/>
                </w:tcPr>
                <w:p w14:paraId="26FD7F3E">
                  <w:pPr>
                    <w:jc w:val="center"/>
                    <w:rPr>
                      <w:rFonts w:hint="default" w:cs="Times New Roman"/>
                      <w:sz w:val="18"/>
                      <w:szCs w:val="18"/>
                      <w:lang w:val="en-US" w:eastAsia="zh-CN"/>
                    </w:rPr>
                  </w:pPr>
                  <w:r>
                    <w:rPr>
                      <w:rFonts w:hint="eastAsia"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2568896A">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5E46079F">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03F171C1">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1DC3C875">
                  <w:pPr>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251CB78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0.008</w:t>
                  </w:r>
                </w:p>
              </w:tc>
              <w:tc>
                <w:tcPr>
                  <w:tcW w:w="490" w:type="dxa"/>
                  <w:tcBorders>
                    <w:top w:val="single" w:color="auto" w:sz="4" w:space="0"/>
                    <w:left w:val="single" w:color="auto" w:sz="4" w:space="0"/>
                    <w:bottom w:val="single" w:color="auto" w:sz="4" w:space="0"/>
                    <w:right w:val="single" w:color="auto" w:sz="4" w:space="0"/>
                  </w:tcBorders>
                  <w:vAlign w:val="center"/>
                </w:tcPr>
                <w:p w14:paraId="6F45E228">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00" w:type="dxa"/>
                  <w:tcBorders>
                    <w:top w:val="single" w:color="auto" w:sz="4" w:space="0"/>
                    <w:left w:val="single" w:color="auto" w:sz="4" w:space="0"/>
                    <w:bottom w:val="single" w:color="auto" w:sz="4" w:space="0"/>
                    <w:right w:val="single" w:color="auto" w:sz="4" w:space="0"/>
                  </w:tcBorders>
                  <w:vAlign w:val="center"/>
                </w:tcPr>
                <w:p w14:paraId="3455CC1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0.006</w:t>
                  </w:r>
                  <w:r>
                    <w:rPr>
                      <w:rFonts w:hint="eastAsia" w:eastAsia="宋体" w:cs="Times New Roman"/>
                      <w:i w:val="0"/>
                      <w:iCs w:val="0"/>
                      <w:color w:val="000000"/>
                      <w:kern w:val="0"/>
                      <w:sz w:val="18"/>
                      <w:szCs w:val="18"/>
                      <w:u w:val="none"/>
                      <w:lang w:val="en-US" w:eastAsia="zh-CN" w:bidi="ar"/>
                    </w:rPr>
                    <w:t>7</w:t>
                  </w:r>
                </w:p>
              </w:tc>
              <w:tc>
                <w:tcPr>
                  <w:tcW w:w="365" w:type="dxa"/>
                  <w:vMerge w:val="continue"/>
                  <w:tcBorders>
                    <w:left w:val="single" w:color="auto" w:sz="4" w:space="0"/>
                    <w:right w:val="single" w:color="auto" w:sz="4" w:space="0"/>
                  </w:tcBorders>
                  <w:vAlign w:val="center"/>
                </w:tcPr>
                <w:p w14:paraId="23F9516F">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34B667C2">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无组织</w:t>
                  </w:r>
                </w:p>
              </w:tc>
            </w:tr>
            <w:tr w14:paraId="1B7517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restart"/>
                  <w:tcBorders>
                    <w:left w:val="single" w:color="auto" w:sz="4" w:space="0"/>
                    <w:right w:val="single" w:color="auto" w:sz="4" w:space="0"/>
                  </w:tcBorders>
                  <w:vAlign w:val="center"/>
                </w:tcPr>
                <w:p w14:paraId="33CB1E65">
                  <w:pPr>
                    <w:spacing w:line="240" w:lineRule="auto"/>
                    <w:jc w:val="center"/>
                    <w:rPr>
                      <w:rFonts w:hint="eastAsia" w:ascii="Times New Roman" w:hAnsi="Times New Roman" w:eastAsia="宋体" w:cs="Times New Roman"/>
                      <w:bCs/>
                      <w:sz w:val="18"/>
                      <w:szCs w:val="18"/>
                      <w:lang w:eastAsia="zh-CN"/>
                    </w:rPr>
                  </w:pPr>
                  <w:r>
                    <w:rPr>
                      <w:rFonts w:hint="eastAsia" w:cs="Times New Roman"/>
                      <w:bCs/>
                      <w:sz w:val="18"/>
                      <w:szCs w:val="18"/>
                      <w:lang w:eastAsia="zh-CN"/>
                    </w:rPr>
                    <w:t>浸漆、烘干工序</w:t>
                  </w:r>
                </w:p>
              </w:tc>
              <w:tc>
                <w:tcPr>
                  <w:tcW w:w="560" w:type="dxa"/>
                  <w:vMerge w:val="restart"/>
                  <w:tcBorders>
                    <w:left w:val="single" w:color="auto" w:sz="4" w:space="0"/>
                    <w:right w:val="single" w:color="auto" w:sz="4" w:space="0"/>
                  </w:tcBorders>
                  <w:vAlign w:val="center"/>
                </w:tcPr>
                <w:p w14:paraId="66856B5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630" w:type="dxa"/>
                  <w:vMerge w:val="restart"/>
                  <w:tcBorders>
                    <w:left w:val="single" w:color="auto" w:sz="4" w:space="0"/>
                    <w:right w:val="single" w:color="auto" w:sz="4" w:space="0"/>
                  </w:tcBorders>
                  <w:vAlign w:val="center"/>
                </w:tcPr>
                <w:p w14:paraId="72A7CCE3">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0.0132</w:t>
                  </w:r>
                </w:p>
              </w:tc>
              <w:tc>
                <w:tcPr>
                  <w:tcW w:w="735" w:type="dxa"/>
                  <w:tcBorders>
                    <w:top w:val="single" w:color="auto" w:sz="4" w:space="0"/>
                    <w:left w:val="single" w:color="auto" w:sz="4" w:space="0"/>
                    <w:bottom w:val="single" w:color="auto" w:sz="4" w:space="0"/>
                    <w:right w:val="single" w:color="auto" w:sz="4" w:space="0"/>
                  </w:tcBorders>
                  <w:vAlign w:val="center"/>
                </w:tcPr>
                <w:p w14:paraId="055565A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0.0129</w:t>
                  </w:r>
                </w:p>
              </w:tc>
              <w:tc>
                <w:tcPr>
                  <w:tcW w:w="645" w:type="dxa"/>
                  <w:tcBorders>
                    <w:top w:val="single" w:color="auto" w:sz="4" w:space="0"/>
                    <w:left w:val="single" w:color="auto" w:sz="4" w:space="0"/>
                    <w:bottom w:val="single" w:color="auto" w:sz="4" w:space="0"/>
                    <w:right w:val="single" w:color="auto" w:sz="4" w:space="0"/>
                  </w:tcBorders>
                  <w:vAlign w:val="center"/>
                </w:tcPr>
                <w:p w14:paraId="299E3250">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0.5</w:t>
                  </w:r>
                </w:p>
              </w:tc>
              <w:tc>
                <w:tcPr>
                  <w:tcW w:w="660" w:type="dxa"/>
                  <w:tcBorders>
                    <w:top w:val="single" w:color="auto" w:sz="4" w:space="0"/>
                    <w:left w:val="single" w:color="auto" w:sz="4" w:space="0"/>
                    <w:bottom w:val="single" w:color="auto" w:sz="4" w:space="0"/>
                    <w:right w:val="single" w:color="auto" w:sz="4" w:space="0"/>
                  </w:tcBorders>
                  <w:vAlign w:val="center"/>
                </w:tcPr>
                <w:p w14:paraId="7614C1D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0.0108</w:t>
                  </w:r>
                </w:p>
              </w:tc>
              <w:tc>
                <w:tcPr>
                  <w:tcW w:w="600" w:type="dxa"/>
                  <w:tcBorders>
                    <w:top w:val="single" w:color="auto" w:sz="4" w:space="0"/>
                    <w:left w:val="single" w:color="auto" w:sz="4" w:space="0"/>
                    <w:bottom w:val="single" w:color="auto" w:sz="4" w:space="0"/>
                    <w:right w:val="single" w:color="auto" w:sz="4" w:space="0"/>
                  </w:tcBorders>
                  <w:vAlign w:val="center"/>
                </w:tcPr>
                <w:p w14:paraId="1108DB01">
                  <w:pPr>
                    <w:jc w:val="center"/>
                    <w:rPr>
                      <w:rFonts w:hint="default" w:cs="Times New Roman"/>
                      <w:sz w:val="18"/>
                      <w:szCs w:val="18"/>
                      <w:lang w:val="en-US" w:eastAsia="zh-CN"/>
                    </w:rPr>
                  </w:pPr>
                  <w:r>
                    <w:rPr>
                      <w:rFonts w:hint="eastAsia" w:cs="Times New Roman"/>
                      <w:sz w:val="18"/>
                      <w:szCs w:val="18"/>
                      <w:lang w:val="en-US" w:eastAsia="zh-CN"/>
                    </w:rPr>
                    <w:t>10000</w:t>
                  </w:r>
                </w:p>
              </w:tc>
              <w:tc>
                <w:tcPr>
                  <w:tcW w:w="495" w:type="dxa"/>
                  <w:tcBorders>
                    <w:top w:val="single" w:color="auto" w:sz="4" w:space="0"/>
                    <w:left w:val="single" w:color="auto" w:sz="4" w:space="0"/>
                    <w:bottom w:val="single" w:color="auto" w:sz="4" w:space="0"/>
                    <w:right w:val="single" w:color="auto" w:sz="4" w:space="0"/>
                  </w:tcBorders>
                  <w:vAlign w:val="center"/>
                </w:tcPr>
                <w:p w14:paraId="09B10733">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98</w:t>
                  </w:r>
                </w:p>
              </w:tc>
              <w:tc>
                <w:tcPr>
                  <w:tcW w:w="525" w:type="dxa"/>
                  <w:tcBorders>
                    <w:top w:val="single" w:color="auto" w:sz="4" w:space="0"/>
                    <w:left w:val="single" w:color="auto" w:sz="4" w:space="0"/>
                    <w:bottom w:val="single" w:color="auto" w:sz="4" w:space="0"/>
                    <w:right w:val="single" w:color="auto" w:sz="4" w:space="0"/>
                  </w:tcBorders>
                  <w:vAlign w:val="center"/>
                </w:tcPr>
                <w:p w14:paraId="7AA955A0">
                  <w:pPr>
                    <w:jc w:val="center"/>
                    <w:rPr>
                      <w:rFonts w:hint="eastAsia"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375" w:type="dxa"/>
                  <w:tcBorders>
                    <w:top w:val="single" w:color="auto" w:sz="4" w:space="0"/>
                    <w:left w:val="single" w:color="auto" w:sz="4" w:space="0"/>
                    <w:bottom w:val="single" w:color="auto" w:sz="4" w:space="0"/>
                    <w:right w:val="single" w:color="auto" w:sz="4" w:space="0"/>
                  </w:tcBorders>
                  <w:vAlign w:val="center"/>
                </w:tcPr>
                <w:p w14:paraId="181DCB0D">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70</w:t>
                  </w:r>
                </w:p>
              </w:tc>
              <w:tc>
                <w:tcPr>
                  <w:tcW w:w="465" w:type="dxa"/>
                  <w:tcBorders>
                    <w:top w:val="single" w:color="auto" w:sz="4" w:space="0"/>
                    <w:left w:val="single" w:color="auto" w:sz="4" w:space="0"/>
                    <w:bottom w:val="single" w:color="auto" w:sz="4" w:space="0"/>
                    <w:right w:val="single" w:color="auto" w:sz="4" w:space="0"/>
                  </w:tcBorders>
                  <w:vAlign w:val="center"/>
                </w:tcPr>
                <w:p w14:paraId="770DE9A0">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598" w:type="dxa"/>
                  <w:tcBorders>
                    <w:top w:val="single" w:color="auto" w:sz="4" w:space="0"/>
                    <w:left w:val="single" w:color="auto" w:sz="4" w:space="0"/>
                    <w:bottom w:val="single" w:color="auto" w:sz="4" w:space="0"/>
                    <w:right w:val="single" w:color="auto" w:sz="4" w:space="0"/>
                  </w:tcBorders>
                  <w:vAlign w:val="center"/>
                </w:tcPr>
                <w:p w14:paraId="5B726E3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0.0039</w:t>
                  </w:r>
                </w:p>
              </w:tc>
              <w:tc>
                <w:tcPr>
                  <w:tcW w:w="490" w:type="dxa"/>
                  <w:tcBorders>
                    <w:top w:val="single" w:color="auto" w:sz="4" w:space="0"/>
                    <w:left w:val="single" w:color="auto" w:sz="4" w:space="0"/>
                    <w:bottom w:val="single" w:color="auto" w:sz="4" w:space="0"/>
                    <w:right w:val="single" w:color="auto" w:sz="4" w:space="0"/>
                  </w:tcBorders>
                  <w:vAlign w:val="center"/>
                </w:tcPr>
                <w:p w14:paraId="5D7D73F7">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0.2</w:t>
                  </w:r>
                </w:p>
              </w:tc>
              <w:tc>
                <w:tcPr>
                  <w:tcW w:w="500" w:type="dxa"/>
                  <w:tcBorders>
                    <w:top w:val="single" w:color="auto" w:sz="4" w:space="0"/>
                    <w:left w:val="single" w:color="auto" w:sz="4" w:space="0"/>
                    <w:bottom w:val="single" w:color="auto" w:sz="4" w:space="0"/>
                    <w:right w:val="single" w:color="auto" w:sz="4" w:space="0"/>
                  </w:tcBorders>
                  <w:vAlign w:val="center"/>
                </w:tcPr>
                <w:p w14:paraId="7CFDA28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0.0033</w:t>
                  </w:r>
                </w:p>
              </w:tc>
              <w:tc>
                <w:tcPr>
                  <w:tcW w:w="365" w:type="dxa"/>
                  <w:vMerge w:val="continue"/>
                  <w:tcBorders>
                    <w:left w:val="single" w:color="auto" w:sz="4" w:space="0"/>
                    <w:right w:val="single" w:color="auto" w:sz="4" w:space="0"/>
                  </w:tcBorders>
                  <w:vAlign w:val="center"/>
                </w:tcPr>
                <w:p w14:paraId="3950E00D">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1D2AF8FE">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707FEF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322B0A7F">
                  <w:pPr>
                    <w:spacing w:line="240" w:lineRule="auto"/>
                    <w:jc w:val="center"/>
                    <w:rPr>
                      <w:rFonts w:hint="eastAsia" w:ascii="Times New Roman" w:hAnsi="Times New Roman" w:eastAsia="宋体" w:cs="Times New Roman"/>
                      <w:bCs/>
                      <w:sz w:val="18"/>
                      <w:szCs w:val="18"/>
                      <w:lang w:eastAsia="zh-CN"/>
                    </w:rPr>
                  </w:pPr>
                </w:p>
              </w:tc>
              <w:tc>
                <w:tcPr>
                  <w:tcW w:w="560" w:type="dxa"/>
                  <w:vMerge w:val="continue"/>
                  <w:tcBorders>
                    <w:left w:val="single" w:color="auto" w:sz="4" w:space="0"/>
                    <w:right w:val="single" w:color="auto" w:sz="4" w:space="0"/>
                  </w:tcBorders>
                  <w:vAlign w:val="center"/>
                </w:tcPr>
                <w:p w14:paraId="35D0FD9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630" w:type="dxa"/>
                  <w:vMerge w:val="continue"/>
                  <w:tcBorders>
                    <w:left w:val="single" w:color="auto" w:sz="4" w:space="0"/>
                    <w:right w:val="single" w:color="auto" w:sz="4" w:space="0"/>
                  </w:tcBorders>
                  <w:vAlign w:val="center"/>
                </w:tcPr>
                <w:p w14:paraId="4F289BB8">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735" w:type="dxa"/>
                  <w:tcBorders>
                    <w:top w:val="single" w:color="auto" w:sz="4" w:space="0"/>
                    <w:left w:val="single" w:color="auto" w:sz="4" w:space="0"/>
                    <w:bottom w:val="single" w:color="auto" w:sz="4" w:space="0"/>
                    <w:right w:val="single" w:color="auto" w:sz="4" w:space="0"/>
                  </w:tcBorders>
                  <w:vAlign w:val="center"/>
                </w:tcPr>
                <w:p w14:paraId="4E59998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0.0003</w:t>
                  </w:r>
                </w:p>
              </w:tc>
              <w:tc>
                <w:tcPr>
                  <w:tcW w:w="645" w:type="dxa"/>
                  <w:tcBorders>
                    <w:top w:val="single" w:color="auto" w:sz="4" w:space="0"/>
                    <w:left w:val="single" w:color="auto" w:sz="4" w:space="0"/>
                    <w:bottom w:val="single" w:color="auto" w:sz="4" w:space="0"/>
                    <w:right w:val="single" w:color="auto" w:sz="4" w:space="0"/>
                  </w:tcBorders>
                  <w:vAlign w:val="center"/>
                </w:tcPr>
                <w:p w14:paraId="499A34AF">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0766DC0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0.0003</w:t>
                  </w:r>
                </w:p>
              </w:tc>
              <w:tc>
                <w:tcPr>
                  <w:tcW w:w="600" w:type="dxa"/>
                  <w:tcBorders>
                    <w:top w:val="single" w:color="auto" w:sz="4" w:space="0"/>
                    <w:left w:val="single" w:color="auto" w:sz="4" w:space="0"/>
                    <w:bottom w:val="single" w:color="auto" w:sz="4" w:space="0"/>
                    <w:right w:val="single" w:color="auto" w:sz="4" w:space="0"/>
                  </w:tcBorders>
                  <w:vAlign w:val="center"/>
                </w:tcPr>
                <w:p w14:paraId="7291C3CA">
                  <w:pPr>
                    <w:jc w:val="center"/>
                    <w:rPr>
                      <w:rFonts w:hint="default" w:cs="Times New Roman"/>
                      <w:sz w:val="18"/>
                      <w:szCs w:val="18"/>
                      <w:lang w:val="en-US" w:eastAsia="zh-CN"/>
                    </w:rPr>
                  </w:pPr>
                  <w:r>
                    <w:rPr>
                      <w:rFonts w:hint="eastAsia"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5584F71D">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6670308D">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5D05C5A8">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11638AEC">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0B5554A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0.0003</w:t>
                  </w:r>
                </w:p>
              </w:tc>
              <w:tc>
                <w:tcPr>
                  <w:tcW w:w="490" w:type="dxa"/>
                  <w:tcBorders>
                    <w:top w:val="single" w:color="auto" w:sz="4" w:space="0"/>
                    <w:left w:val="single" w:color="auto" w:sz="4" w:space="0"/>
                    <w:bottom w:val="single" w:color="auto" w:sz="4" w:space="0"/>
                    <w:right w:val="single" w:color="auto" w:sz="4" w:space="0"/>
                  </w:tcBorders>
                  <w:vAlign w:val="center"/>
                </w:tcPr>
                <w:p w14:paraId="1B1225BA">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00" w:type="dxa"/>
                  <w:tcBorders>
                    <w:top w:val="single" w:color="auto" w:sz="4" w:space="0"/>
                    <w:left w:val="single" w:color="auto" w:sz="4" w:space="0"/>
                    <w:bottom w:val="single" w:color="auto" w:sz="4" w:space="0"/>
                    <w:right w:val="single" w:color="auto" w:sz="4" w:space="0"/>
                  </w:tcBorders>
                  <w:vAlign w:val="center"/>
                </w:tcPr>
                <w:p w14:paraId="041BEF9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0.0003</w:t>
                  </w:r>
                </w:p>
              </w:tc>
              <w:tc>
                <w:tcPr>
                  <w:tcW w:w="365" w:type="dxa"/>
                  <w:vMerge w:val="continue"/>
                  <w:tcBorders>
                    <w:left w:val="single" w:color="auto" w:sz="4" w:space="0"/>
                    <w:right w:val="single" w:color="auto" w:sz="4" w:space="0"/>
                  </w:tcBorders>
                  <w:vAlign w:val="center"/>
                </w:tcPr>
                <w:p w14:paraId="2B1D8967">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6CBBF160">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4966B4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001711F3">
                  <w:pPr>
                    <w:spacing w:line="240" w:lineRule="auto"/>
                    <w:jc w:val="center"/>
                    <w:rPr>
                      <w:rFonts w:hint="eastAsia" w:ascii="Times New Roman" w:hAnsi="Times New Roman" w:eastAsia="宋体" w:cs="Times New Roman"/>
                      <w:bCs/>
                      <w:sz w:val="18"/>
                      <w:szCs w:val="18"/>
                      <w:lang w:eastAsia="zh-CN"/>
                    </w:rPr>
                  </w:pPr>
                </w:p>
              </w:tc>
              <w:tc>
                <w:tcPr>
                  <w:tcW w:w="560" w:type="dxa"/>
                  <w:vMerge w:val="restart"/>
                  <w:tcBorders>
                    <w:left w:val="single" w:color="auto" w:sz="4" w:space="0"/>
                    <w:right w:val="single" w:color="auto" w:sz="4" w:space="0"/>
                  </w:tcBorders>
                  <w:vAlign w:val="center"/>
                </w:tcPr>
                <w:p w14:paraId="2A919C1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630" w:type="dxa"/>
                  <w:vMerge w:val="restart"/>
                  <w:tcBorders>
                    <w:left w:val="single" w:color="auto" w:sz="4" w:space="0"/>
                    <w:right w:val="single" w:color="auto" w:sz="4" w:space="0"/>
                  </w:tcBorders>
                  <w:vAlign w:val="center"/>
                </w:tcPr>
                <w:p w14:paraId="1B82606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0.0053</w:t>
                  </w:r>
                </w:p>
              </w:tc>
              <w:tc>
                <w:tcPr>
                  <w:tcW w:w="735" w:type="dxa"/>
                  <w:tcBorders>
                    <w:top w:val="single" w:color="auto" w:sz="4" w:space="0"/>
                    <w:left w:val="single" w:color="auto" w:sz="4" w:space="0"/>
                    <w:bottom w:val="single" w:color="auto" w:sz="4" w:space="0"/>
                    <w:right w:val="single" w:color="auto" w:sz="4" w:space="0"/>
                  </w:tcBorders>
                  <w:vAlign w:val="center"/>
                </w:tcPr>
                <w:p w14:paraId="361BA00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0.0052</w:t>
                  </w:r>
                </w:p>
              </w:tc>
              <w:tc>
                <w:tcPr>
                  <w:tcW w:w="645" w:type="dxa"/>
                  <w:tcBorders>
                    <w:top w:val="single" w:color="auto" w:sz="4" w:space="0"/>
                    <w:left w:val="single" w:color="auto" w:sz="4" w:space="0"/>
                    <w:bottom w:val="single" w:color="auto" w:sz="4" w:space="0"/>
                    <w:right w:val="single" w:color="auto" w:sz="4" w:space="0"/>
                  </w:tcBorders>
                  <w:vAlign w:val="center"/>
                </w:tcPr>
                <w:p w14:paraId="5D1128A8">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0.2</w:t>
                  </w:r>
                </w:p>
              </w:tc>
              <w:tc>
                <w:tcPr>
                  <w:tcW w:w="660" w:type="dxa"/>
                  <w:tcBorders>
                    <w:top w:val="single" w:color="auto" w:sz="4" w:space="0"/>
                    <w:left w:val="single" w:color="auto" w:sz="4" w:space="0"/>
                    <w:bottom w:val="single" w:color="auto" w:sz="4" w:space="0"/>
                    <w:right w:val="single" w:color="auto" w:sz="4" w:space="0"/>
                  </w:tcBorders>
                  <w:vAlign w:val="center"/>
                </w:tcPr>
                <w:p w14:paraId="5FDC56D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0.0043</w:t>
                  </w:r>
                </w:p>
              </w:tc>
              <w:tc>
                <w:tcPr>
                  <w:tcW w:w="600" w:type="dxa"/>
                  <w:tcBorders>
                    <w:top w:val="single" w:color="auto" w:sz="4" w:space="0"/>
                    <w:left w:val="single" w:color="auto" w:sz="4" w:space="0"/>
                    <w:bottom w:val="single" w:color="auto" w:sz="4" w:space="0"/>
                    <w:right w:val="single" w:color="auto" w:sz="4" w:space="0"/>
                  </w:tcBorders>
                  <w:vAlign w:val="center"/>
                </w:tcPr>
                <w:p w14:paraId="1D201E3C">
                  <w:pPr>
                    <w:jc w:val="center"/>
                    <w:rPr>
                      <w:rFonts w:hint="default" w:cs="Times New Roman"/>
                      <w:sz w:val="18"/>
                      <w:szCs w:val="18"/>
                      <w:lang w:val="en-US" w:eastAsia="zh-CN"/>
                    </w:rPr>
                  </w:pPr>
                  <w:r>
                    <w:rPr>
                      <w:rFonts w:hint="eastAsia" w:cs="Times New Roman"/>
                      <w:sz w:val="18"/>
                      <w:szCs w:val="18"/>
                      <w:lang w:val="en-US" w:eastAsia="zh-CN"/>
                    </w:rPr>
                    <w:t>10000</w:t>
                  </w:r>
                </w:p>
              </w:tc>
              <w:tc>
                <w:tcPr>
                  <w:tcW w:w="495" w:type="dxa"/>
                  <w:tcBorders>
                    <w:top w:val="single" w:color="auto" w:sz="4" w:space="0"/>
                    <w:left w:val="single" w:color="auto" w:sz="4" w:space="0"/>
                    <w:bottom w:val="single" w:color="auto" w:sz="4" w:space="0"/>
                    <w:right w:val="single" w:color="auto" w:sz="4" w:space="0"/>
                  </w:tcBorders>
                  <w:vAlign w:val="center"/>
                </w:tcPr>
                <w:p w14:paraId="3A59B7A2">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98</w:t>
                  </w:r>
                </w:p>
              </w:tc>
              <w:tc>
                <w:tcPr>
                  <w:tcW w:w="525" w:type="dxa"/>
                  <w:tcBorders>
                    <w:top w:val="single" w:color="auto" w:sz="4" w:space="0"/>
                    <w:left w:val="single" w:color="auto" w:sz="4" w:space="0"/>
                    <w:bottom w:val="single" w:color="auto" w:sz="4" w:space="0"/>
                    <w:right w:val="single" w:color="auto" w:sz="4" w:space="0"/>
                  </w:tcBorders>
                  <w:vAlign w:val="center"/>
                </w:tcPr>
                <w:p w14:paraId="7FEF5E75">
                  <w:pPr>
                    <w:jc w:val="center"/>
                    <w:rPr>
                      <w:rFonts w:hint="eastAsia"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375" w:type="dxa"/>
                  <w:tcBorders>
                    <w:top w:val="single" w:color="auto" w:sz="4" w:space="0"/>
                    <w:left w:val="single" w:color="auto" w:sz="4" w:space="0"/>
                    <w:bottom w:val="single" w:color="auto" w:sz="4" w:space="0"/>
                    <w:right w:val="single" w:color="auto" w:sz="4" w:space="0"/>
                  </w:tcBorders>
                  <w:vAlign w:val="center"/>
                </w:tcPr>
                <w:p w14:paraId="07652781">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70</w:t>
                  </w:r>
                </w:p>
              </w:tc>
              <w:tc>
                <w:tcPr>
                  <w:tcW w:w="465" w:type="dxa"/>
                  <w:tcBorders>
                    <w:top w:val="single" w:color="auto" w:sz="4" w:space="0"/>
                    <w:left w:val="single" w:color="auto" w:sz="4" w:space="0"/>
                    <w:bottom w:val="single" w:color="auto" w:sz="4" w:space="0"/>
                    <w:right w:val="single" w:color="auto" w:sz="4" w:space="0"/>
                  </w:tcBorders>
                  <w:vAlign w:val="center"/>
                </w:tcPr>
                <w:p w14:paraId="4E71B815">
                  <w:pPr>
                    <w:jc w:val="center"/>
                    <w:rPr>
                      <w:rFonts w:hint="eastAsia" w:ascii="Times New Roman" w:hAnsi="Times New Roman" w:eastAsia="宋体" w:cs="Times New Roman"/>
                      <w:sz w:val="18"/>
                      <w:szCs w:val="18"/>
                      <w:lang w:val="en-US" w:eastAsia="zh-CN"/>
                    </w:rPr>
                  </w:pPr>
                  <w:r>
                    <w:rPr>
                      <w:rFonts w:hint="eastAsia" w:cs="Times New Roman"/>
                      <w:sz w:val="18"/>
                      <w:szCs w:val="18"/>
                      <w:lang w:val="en-US" w:eastAsia="zh-CN"/>
                    </w:rPr>
                    <w:t>是</w:t>
                  </w:r>
                </w:p>
              </w:tc>
              <w:tc>
                <w:tcPr>
                  <w:tcW w:w="598" w:type="dxa"/>
                  <w:tcBorders>
                    <w:top w:val="single" w:color="auto" w:sz="4" w:space="0"/>
                    <w:left w:val="single" w:color="auto" w:sz="4" w:space="0"/>
                    <w:bottom w:val="single" w:color="auto" w:sz="4" w:space="0"/>
                    <w:right w:val="single" w:color="auto" w:sz="4" w:space="0"/>
                  </w:tcBorders>
                  <w:vAlign w:val="center"/>
                </w:tcPr>
                <w:p w14:paraId="00262357">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0.0016</w:t>
                  </w:r>
                </w:p>
              </w:tc>
              <w:tc>
                <w:tcPr>
                  <w:tcW w:w="490" w:type="dxa"/>
                  <w:tcBorders>
                    <w:top w:val="single" w:color="auto" w:sz="4" w:space="0"/>
                    <w:left w:val="single" w:color="auto" w:sz="4" w:space="0"/>
                    <w:bottom w:val="single" w:color="auto" w:sz="4" w:space="0"/>
                    <w:right w:val="single" w:color="auto" w:sz="4" w:space="0"/>
                  </w:tcBorders>
                  <w:vAlign w:val="center"/>
                </w:tcPr>
                <w:p w14:paraId="04357E70">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0.1</w:t>
                  </w:r>
                </w:p>
              </w:tc>
              <w:tc>
                <w:tcPr>
                  <w:tcW w:w="500" w:type="dxa"/>
                  <w:tcBorders>
                    <w:top w:val="single" w:color="auto" w:sz="4" w:space="0"/>
                    <w:left w:val="single" w:color="auto" w:sz="4" w:space="0"/>
                    <w:bottom w:val="single" w:color="auto" w:sz="4" w:space="0"/>
                    <w:right w:val="single" w:color="auto" w:sz="4" w:space="0"/>
                  </w:tcBorders>
                  <w:vAlign w:val="center"/>
                </w:tcPr>
                <w:p w14:paraId="3755439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0.0013</w:t>
                  </w:r>
                </w:p>
              </w:tc>
              <w:tc>
                <w:tcPr>
                  <w:tcW w:w="365" w:type="dxa"/>
                  <w:vMerge w:val="continue"/>
                  <w:tcBorders>
                    <w:left w:val="single" w:color="auto" w:sz="4" w:space="0"/>
                    <w:right w:val="single" w:color="auto" w:sz="4" w:space="0"/>
                  </w:tcBorders>
                  <w:vAlign w:val="center"/>
                </w:tcPr>
                <w:p w14:paraId="461773A6">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14668DAC">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6EA61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07B4CA0A">
                  <w:pPr>
                    <w:spacing w:line="240" w:lineRule="auto"/>
                    <w:jc w:val="center"/>
                    <w:rPr>
                      <w:rFonts w:hint="eastAsia" w:ascii="Times New Roman" w:hAnsi="Times New Roman" w:eastAsia="宋体" w:cs="Times New Roman"/>
                      <w:bCs/>
                      <w:sz w:val="18"/>
                      <w:szCs w:val="18"/>
                      <w:lang w:eastAsia="zh-CN"/>
                    </w:rPr>
                  </w:pPr>
                </w:p>
              </w:tc>
              <w:tc>
                <w:tcPr>
                  <w:tcW w:w="560" w:type="dxa"/>
                  <w:vMerge w:val="continue"/>
                  <w:tcBorders>
                    <w:left w:val="single" w:color="auto" w:sz="4" w:space="0"/>
                    <w:right w:val="single" w:color="auto" w:sz="4" w:space="0"/>
                  </w:tcBorders>
                  <w:vAlign w:val="center"/>
                </w:tcPr>
                <w:p w14:paraId="22CCDCE9">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p>
              </w:tc>
              <w:tc>
                <w:tcPr>
                  <w:tcW w:w="630" w:type="dxa"/>
                  <w:vMerge w:val="continue"/>
                  <w:tcBorders>
                    <w:left w:val="single" w:color="auto" w:sz="4" w:space="0"/>
                    <w:right w:val="single" w:color="auto" w:sz="4" w:space="0"/>
                  </w:tcBorders>
                  <w:vAlign w:val="center"/>
                </w:tcPr>
                <w:p w14:paraId="0B998BEB">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p>
              </w:tc>
              <w:tc>
                <w:tcPr>
                  <w:tcW w:w="735" w:type="dxa"/>
                  <w:tcBorders>
                    <w:top w:val="single" w:color="auto" w:sz="4" w:space="0"/>
                    <w:left w:val="single" w:color="auto" w:sz="4" w:space="0"/>
                    <w:bottom w:val="single" w:color="auto" w:sz="4" w:space="0"/>
                    <w:right w:val="single" w:color="auto" w:sz="4" w:space="0"/>
                  </w:tcBorders>
                  <w:vAlign w:val="center"/>
                </w:tcPr>
                <w:p w14:paraId="4F1A87A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0.0001</w:t>
                  </w:r>
                </w:p>
              </w:tc>
              <w:tc>
                <w:tcPr>
                  <w:tcW w:w="645" w:type="dxa"/>
                  <w:tcBorders>
                    <w:top w:val="single" w:color="auto" w:sz="4" w:space="0"/>
                    <w:left w:val="single" w:color="auto" w:sz="4" w:space="0"/>
                    <w:bottom w:val="single" w:color="auto" w:sz="4" w:space="0"/>
                    <w:right w:val="single" w:color="auto" w:sz="4" w:space="0"/>
                  </w:tcBorders>
                  <w:vAlign w:val="center"/>
                </w:tcPr>
                <w:p w14:paraId="42A0C101">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6C43A15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0.0001</w:t>
                  </w:r>
                </w:p>
              </w:tc>
              <w:tc>
                <w:tcPr>
                  <w:tcW w:w="600" w:type="dxa"/>
                  <w:tcBorders>
                    <w:top w:val="single" w:color="auto" w:sz="4" w:space="0"/>
                    <w:left w:val="single" w:color="auto" w:sz="4" w:space="0"/>
                    <w:bottom w:val="single" w:color="auto" w:sz="4" w:space="0"/>
                    <w:right w:val="single" w:color="auto" w:sz="4" w:space="0"/>
                  </w:tcBorders>
                  <w:vAlign w:val="center"/>
                </w:tcPr>
                <w:p w14:paraId="74E5C473">
                  <w:pPr>
                    <w:jc w:val="center"/>
                    <w:rPr>
                      <w:rFonts w:hint="default" w:cs="Times New Roman"/>
                      <w:sz w:val="18"/>
                      <w:szCs w:val="18"/>
                      <w:lang w:val="en-US" w:eastAsia="zh-CN"/>
                    </w:rPr>
                  </w:pPr>
                  <w:r>
                    <w:rPr>
                      <w:rFonts w:hint="eastAsia"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6A2A89AF">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4CBD6BA4">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20A21E7D">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68DFDBD4">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7AE2C50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0.0001</w:t>
                  </w:r>
                </w:p>
              </w:tc>
              <w:tc>
                <w:tcPr>
                  <w:tcW w:w="490" w:type="dxa"/>
                  <w:tcBorders>
                    <w:top w:val="single" w:color="auto" w:sz="4" w:space="0"/>
                    <w:left w:val="single" w:color="auto" w:sz="4" w:space="0"/>
                    <w:bottom w:val="single" w:color="auto" w:sz="4" w:space="0"/>
                    <w:right w:val="single" w:color="auto" w:sz="4" w:space="0"/>
                  </w:tcBorders>
                  <w:vAlign w:val="center"/>
                </w:tcPr>
                <w:p w14:paraId="7E92381D">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00" w:type="dxa"/>
                  <w:tcBorders>
                    <w:top w:val="single" w:color="auto" w:sz="4" w:space="0"/>
                    <w:left w:val="single" w:color="auto" w:sz="4" w:space="0"/>
                    <w:bottom w:val="single" w:color="auto" w:sz="4" w:space="0"/>
                    <w:right w:val="single" w:color="auto" w:sz="4" w:space="0"/>
                  </w:tcBorders>
                  <w:vAlign w:val="center"/>
                </w:tcPr>
                <w:p w14:paraId="2AD6CA4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0.0001</w:t>
                  </w:r>
                </w:p>
              </w:tc>
              <w:tc>
                <w:tcPr>
                  <w:tcW w:w="365" w:type="dxa"/>
                  <w:vMerge w:val="continue"/>
                  <w:tcBorders>
                    <w:left w:val="single" w:color="auto" w:sz="4" w:space="0"/>
                    <w:right w:val="single" w:color="auto" w:sz="4" w:space="0"/>
                  </w:tcBorders>
                  <w:vAlign w:val="center"/>
                </w:tcPr>
                <w:p w14:paraId="77089399">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75D1309F">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7DCB31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156D64E2">
                  <w:pPr>
                    <w:spacing w:line="240" w:lineRule="auto"/>
                    <w:jc w:val="center"/>
                    <w:rPr>
                      <w:rFonts w:hint="eastAsia" w:ascii="Times New Roman" w:hAnsi="Times New Roman" w:eastAsia="宋体" w:cs="Times New Roman"/>
                      <w:bCs/>
                      <w:sz w:val="18"/>
                      <w:szCs w:val="18"/>
                      <w:lang w:eastAsia="zh-CN"/>
                    </w:rPr>
                  </w:pPr>
                </w:p>
              </w:tc>
              <w:tc>
                <w:tcPr>
                  <w:tcW w:w="560" w:type="dxa"/>
                  <w:vMerge w:val="restart"/>
                  <w:tcBorders>
                    <w:left w:val="single" w:color="auto" w:sz="4" w:space="0"/>
                    <w:right w:val="single" w:color="auto" w:sz="4" w:space="0"/>
                  </w:tcBorders>
                  <w:vAlign w:val="center"/>
                </w:tcPr>
                <w:p w14:paraId="52B88E24">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臭气浓度</w:t>
                  </w:r>
                </w:p>
              </w:tc>
              <w:tc>
                <w:tcPr>
                  <w:tcW w:w="630" w:type="dxa"/>
                  <w:tcBorders>
                    <w:left w:val="single" w:color="auto" w:sz="4" w:space="0"/>
                    <w:right w:val="single" w:color="auto" w:sz="4" w:space="0"/>
                  </w:tcBorders>
                  <w:vAlign w:val="center"/>
                </w:tcPr>
                <w:p w14:paraId="41EDAC32">
                  <w:pPr>
                    <w:keepNext w:val="0"/>
                    <w:keepLines w:val="0"/>
                    <w:widowControl/>
                    <w:suppressLineNumbers w:val="0"/>
                    <w:ind w:left="0" w:leftChars="0" w:right="0" w:rightChars="0" w:firstLine="0" w:firstLineChars="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35" w:type="dxa"/>
                  <w:tcBorders>
                    <w:top w:val="single" w:color="auto" w:sz="4" w:space="0"/>
                    <w:left w:val="single" w:color="auto" w:sz="4" w:space="0"/>
                    <w:bottom w:val="single" w:color="auto" w:sz="4" w:space="0"/>
                    <w:right w:val="single" w:color="auto" w:sz="4" w:space="0"/>
                  </w:tcBorders>
                  <w:vAlign w:val="center"/>
                </w:tcPr>
                <w:p w14:paraId="64416C8E">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5" w:type="dxa"/>
                  <w:tcBorders>
                    <w:top w:val="single" w:color="auto" w:sz="4" w:space="0"/>
                    <w:left w:val="single" w:color="auto" w:sz="4" w:space="0"/>
                    <w:bottom w:val="single" w:color="auto" w:sz="4" w:space="0"/>
                    <w:right w:val="single" w:color="auto" w:sz="4" w:space="0"/>
                  </w:tcBorders>
                  <w:vAlign w:val="center"/>
                </w:tcPr>
                <w:p w14:paraId="29F4496A">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23D284EE">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00" w:type="dxa"/>
                  <w:tcBorders>
                    <w:top w:val="single" w:color="auto" w:sz="4" w:space="0"/>
                    <w:left w:val="single" w:color="auto" w:sz="4" w:space="0"/>
                    <w:bottom w:val="single" w:color="auto" w:sz="4" w:space="0"/>
                    <w:right w:val="single" w:color="auto" w:sz="4" w:space="0"/>
                  </w:tcBorders>
                  <w:vAlign w:val="center"/>
                </w:tcPr>
                <w:p w14:paraId="45B8C303">
                  <w:pPr>
                    <w:jc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495" w:type="dxa"/>
                  <w:tcBorders>
                    <w:top w:val="single" w:color="auto" w:sz="4" w:space="0"/>
                    <w:left w:val="single" w:color="auto" w:sz="4" w:space="0"/>
                    <w:bottom w:val="single" w:color="auto" w:sz="4" w:space="0"/>
                    <w:right w:val="single" w:color="auto" w:sz="4" w:space="0"/>
                  </w:tcBorders>
                  <w:vAlign w:val="center"/>
                </w:tcPr>
                <w:p w14:paraId="78856726">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525" w:type="dxa"/>
                  <w:tcBorders>
                    <w:top w:val="single" w:color="auto" w:sz="4" w:space="0"/>
                    <w:left w:val="single" w:color="auto" w:sz="4" w:space="0"/>
                    <w:bottom w:val="single" w:color="auto" w:sz="4" w:space="0"/>
                    <w:right w:val="single" w:color="auto" w:sz="4" w:space="0"/>
                  </w:tcBorders>
                  <w:vAlign w:val="center"/>
                </w:tcPr>
                <w:p w14:paraId="2F36A87C">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375" w:type="dxa"/>
                  <w:tcBorders>
                    <w:top w:val="single" w:color="auto" w:sz="4" w:space="0"/>
                    <w:left w:val="single" w:color="auto" w:sz="4" w:space="0"/>
                    <w:bottom w:val="single" w:color="auto" w:sz="4" w:space="0"/>
                    <w:right w:val="single" w:color="auto" w:sz="4" w:space="0"/>
                  </w:tcBorders>
                  <w:vAlign w:val="center"/>
                </w:tcPr>
                <w:p w14:paraId="0CD73C1A">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465" w:type="dxa"/>
                  <w:tcBorders>
                    <w:top w:val="single" w:color="auto" w:sz="4" w:space="0"/>
                    <w:left w:val="single" w:color="auto" w:sz="4" w:space="0"/>
                    <w:bottom w:val="single" w:color="auto" w:sz="4" w:space="0"/>
                    <w:right w:val="single" w:color="auto" w:sz="4" w:space="0"/>
                  </w:tcBorders>
                  <w:vAlign w:val="center"/>
                </w:tcPr>
                <w:p w14:paraId="4F7B6A7E">
                  <w:pPr>
                    <w:keepNext w:val="0"/>
                    <w:keepLines w:val="0"/>
                    <w:widowControl/>
                    <w:suppressLineNumbers w:val="0"/>
                    <w:jc w:val="center"/>
                    <w:textAlignment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598" w:type="dxa"/>
                  <w:tcBorders>
                    <w:top w:val="single" w:color="auto" w:sz="4" w:space="0"/>
                    <w:left w:val="single" w:color="auto" w:sz="4" w:space="0"/>
                    <w:bottom w:val="single" w:color="auto" w:sz="4" w:space="0"/>
                    <w:right w:val="single" w:color="auto" w:sz="4" w:space="0"/>
                  </w:tcBorders>
                  <w:vAlign w:val="center"/>
                </w:tcPr>
                <w:p w14:paraId="23625F96">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微量</w:t>
                  </w:r>
                </w:p>
              </w:tc>
              <w:tc>
                <w:tcPr>
                  <w:tcW w:w="490" w:type="dxa"/>
                  <w:tcBorders>
                    <w:top w:val="single" w:color="auto" w:sz="4" w:space="0"/>
                    <w:left w:val="single" w:color="auto" w:sz="4" w:space="0"/>
                    <w:bottom w:val="single" w:color="auto" w:sz="4" w:space="0"/>
                    <w:right w:val="single" w:color="auto" w:sz="4" w:space="0"/>
                  </w:tcBorders>
                  <w:vAlign w:val="center"/>
                </w:tcPr>
                <w:p w14:paraId="6CA693C8">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＜2000无量纲</w:t>
                  </w:r>
                </w:p>
              </w:tc>
              <w:tc>
                <w:tcPr>
                  <w:tcW w:w="500" w:type="dxa"/>
                  <w:tcBorders>
                    <w:top w:val="single" w:color="auto" w:sz="4" w:space="0"/>
                    <w:left w:val="single" w:color="auto" w:sz="4" w:space="0"/>
                    <w:bottom w:val="single" w:color="auto" w:sz="4" w:space="0"/>
                    <w:right w:val="single" w:color="auto" w:sz="4" w:space="0"/>
                  </w:tcBorders>
                  <w:vAlign w:val="center"/>
                </w:tcPr>
                <w:p w14:paraId="32E81259">
                  <w:pPr>
                    <w:keepNext w:val="0"/>
                    <w:keepLines w:val="0"/>
                    <w:widowControl/>
                    <w:suppressLineNumbers w:val="0"/>
                    <w:ind w:left="0" w:leftChars="0" w:right="0" w:rightChars="0" w:firstLine="0" w:firstLineChars="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365" w:type="dxa"/>
                  <w:vMerge w:val="continue"/>
                  <w:tcBorders>
                    <w:left w:val="single" w:color="auto" w:sz="4" w:space="0"/>
                    <w:right w:val="single" w:color="auto" w:sz="4" w:space="0"/>
                  </w:tcBorders>
                  <w:vAlign w:val="center"/>
                </w:tcPr>
                <w:p w14:paraId="603CFCAC">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445DF83A">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56BEF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44F9ACFA">
                  <w:pPr>
                    <w:spacing w:line="240" w:lineRule="auto"/>
                    <w:jc w:val="center"/>
                    <w:rPr>
                      <w:rFonts w:hint="eastAsia" w:ascii="Times New Roman" w:hAnsi="Times New Roman" w:eastAsia="宋体" w:cs="Times New Roman"/>
                      <w:bCs/>
                      <w:sz w:val="18"/>
                      <w:szCs w:val="18"/>
                      <w:lang w:eastAsia="zh-CN"/>
                    </w:rPr>
                  </w:pPr>
                </w:p>
              </w:tc>
              <w:tc>
                <w:tcPr>
                  <w:tcW w:w="560" w:type="dxa"/>
                  <w:vMerge w:val="continue"/>
                  <w:tcBorders>
                    <w:left w:val="single" w:color="auto" w:sz="4" w:space="0"/>
                    <w:right w:val="single" w:color="auto" w:sz="4" w:space="0"/>
                  </w:tcBorders>
                  <w:vAlign w:val="center"/>
                </w:tcPr>
                <w:p w14:paraId="2C71A09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p>
              </w:tc>
              <w:tc>
                <w:tcPr>
                  <w:tcW w:w="630" w:type="dxa"/>
                  <w:tcBorders>
                    <w:left w:val="single" w:color="auto" w:sz="4" w:space="0"/>
                    <w:right w:val="single" w:color="auto" w:sz="4" w:space="0"/>
                  </w:tcBorders>
                  <w:vAlign w:val="center"/>
                </w:tcPr>
                <w:p w14:paraId="35619913">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35" w:type="dxa"/>
                  <w:tcBorders>
                    <w:top w:val="single" w:color="auto" w:sz="4" w:space="0"/>
                    <w:left w:val="single" w:color="auto" w:sz="4" w:space="0"/>
                    <w:bottom w:val="single" w:color="auto" w:sz="4" w:space="0"/>
                    <w:right w:val="single" w:color="auto" w:sz="4" w:space="0"/>
                  </w:tcBorders>
                  <w:vAlign w:val="center"/>
                </w:tcPr>
                <w:p w14:paraId="51CDFFFD">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5" w:type="dxa"/>
                  <w:tcBorders>
                    <w:top w:val="single" w:color="auto" w:sz="4" w:space="0"/>
                    <w:left w:val="single" w:color="auto" w:sz="4" w:space="0"/>
                    <w:bottom w:val="single" w:color="auto" w:sz="4" w:space="0"/>
                    <w:right w:val="single" w:color="auto" w:sz="4" w:space="0"/>
                  </w:tcBorders>
                  <w:vAlign w:val="center"/>
                </w:tcPr>
                <w:p w14:paraId="4FD63469">
                  <w:pPr>
                    <w:jc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26F4B0DF">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00" w:type="dxa"/>
                  <w:tcBorders>
                    <w:top w:val="single" w:color="auto" w:sz="4" w:space="0"/>
                    <w:left w:val="single" w:color="auto" w:sz="4" w:space="0"/>
                    <w:bottom w:val="single" w:color="auto" w:sz="4" w:space="0"/>
                    <w:right w:val="single" w:color="auto" w:sz="4" w:space="0"/>
                  </w:tcBorders>
                  <w:vAlign w:val="center"/>
                </w:tcPr>
                <w:p w14:paraId="3DFCB07B">
                  <w:pPr>
                    <w:jc w:val="center"/>
                    <w:rPr>
                      <w:rFonts w:hint="eastAsia" w:cs="Times New Roman"/>
                      <w:i w:val="0"/>
                      <w:iCs w:val="0"/>
                      <w:color w:val="000000"/>
                      <w:kern w:val="0"/>
                      <w:sz w:val="18"/>
                      <w:szCs w:val="18"/>
                      <w:u w:val="none"/>
                      <w:lang w:val="en-US" w:eastAsia="zh-CN" w:bidi="ar"/>
                    </w:rPr>
                  </w:pPr>
                  <w:r>
                    <w:rPr>
                      <w:rFonts w:hint="eastAsia"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38E8F416">
                  <w:pPr>
                    <w:jc w:val="center"/>
                    <w:rPr>
                      <w:rFonts w:hint="eastAsia" w:cs="Times New Roman"/>
                      <w:i w:val="0"/>
                      <w:iCs w:val="0"/>
                      <w:color w:val="000000"/>
                      <w:kern w:val="0"/>
                      <w:sz w:val="18"/>
                      <w:szCs w:val="18"/>
                      <w:u w:val="none"/>
                      <w:lang w:val="en-US" w:eastAsia="zh-CN" w:bidi="ar"/>
                    </w:rPr>
                  </w:pPr>
                  <w:r>
                    <w:rPr>
                      <w:rFonts w:hint="eastAsia"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74C389DC">
                  <w:pPr>
                    <w:jc w:val="center"/>
                    <w:rPr>
                      <w:rFonts w:hint="eastAsia" w:cs="Times New Roman"/>
                      <w:i w:val="0"/>
                      <w:iCs w:val="0"/>
                      <w:color w:val="000000"/>
                      <w:kern w:val="0"/>
                      <w:sz w:val="18"/>
                      <w:szCs w:val="18"/>
                      <w:u w:val="none"/>
                      <w:lang w:val="en-US" w:eastAsia="zh-CN" w:bidi="ar"/>
                    </w:rPr>
                  </w:pPr>
                  <w:r>
                    <w:rPr>
                      <w:rFonts w:hint="eastAsia"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61E02149">
                  <w:pPr>
                    <w:jc w:val="center"/>
                    <w:rPr>
                      <w:rFonts w:hint="eastAsia" w:cs="Times New Roman"/>
                      <w:i w:val="0"/>
                      <w:iCs w:val="0"/>
                      <w:color w:val="000000"/>
                      <w:kern w:val="0"/>
                      <w:sz w:val="18"/>
                      <w:szCs w:val="18"/>
                      <w:u w:val="none"/>
                      <w:lang w:val="en-US" w:eastAsia="zh-CN" w:bidi="ar"/>
                    </w:rPr>
                  </w:pPr>
                  <w:r>
                    <w:rPr>
                      <w:rFonts w:hint="eastAsia"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47B0F301">
                  <w:pPr>
                    <w:jc w:val="center"/>
                    <w:rPr>
                      <w:rFonts w:hint="eastAsia" w:cs="Times New Roman"/>
                      <w:i w:val="0"/>
                      <w:iCs w:val="0"/>
                      <w:color w:val="000000"/>
                      <w:kern w:val="0"/>
                      <w:sz w:val="18"/>
                      <w:szCs w:val="18"/>
                      <w:u w:val="none"/>
                      <w:lang w:val="en-US" w:eastAsia="zh-CN" w:bidi="ar"/>
                    </w:rPr>
                  </w:pPr>
                  <w:r>
                    <w:rPr>
                      <w:rFonts w:hint="eastAsia"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346899A9">
                  <w:pPr>
                    <w:keepNext w:val="0"/>
                    <w:keepLines w:val="0"/>
                    <w:widowControl/>
                    <w:suppressLineNumbers w:val="0"/>
                    <w:jc w:val="center"/>
                    <w:textAlignment w:val="center"/>
                    <w:rPr>
                      <w:rFonts w:hint="eastAsia"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490" w:type="dxa"/>
                  <w:tcBorders>
                    <w:top w:val="single" w:color="auto" w:sz="4" w:space="0"/>
                    <w:left w:val="single" w:color="auto" w:sz="4" w:space="0"/>
                    <w:bottom w:val="single" w:color="auto" w:sz="4" w:space="0"/>
                    <w:right w:val="single" w:color="auto" w:sz="4" w:space="0"/>
                  </w:tcBorders>
                  <w:vAlign w:val="center"/>
                </w:tcPr>
                <w:p w14:paraId="4B5496FD">
                  <w:pPr>
                    <w:jc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＜20无量纲</w:t>
                  </w:r>
                </w:p>
              </w:tc>
              <w:tc>
                <w:tcPr>
                  <w:tcW w:w="500" w:type="dxa"/>
                  <w:tcBorders>
                    <w:top w:val="single" w:color="auto" w:sz="4" w:space="0"/>
                    <w:left w:val="single" w:color="auto" w:sz="4" w:space="0"/>
                    <w:bottom w:val="single" w:color="auto" w:sz="4" w:space="0"/>
                    <w:right w:val="single" w:color="auto" w:sz="4" w:space="0"/>
                  </w:tcBorders>
                  <w:vAlign w:val="center"/>
                </w:tcPr>
                <w:p w14:paraId="4FA4998B">
                  <w:pPr>
                    <w:keepNext w:val="0"/>
                    <w:keepLines w:val="0"/>
                    <w:widowControl/>
                    <w:suppressLineNumbers w:val="0"/>
                    <w:jc w:val="center"/>
                    <w:textAlignment w:val="center"/>
                    <w:rPr>
                      <w:rFonts w:hint="eastAsia"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365" w:type="dxa"/>
                  <w:vMerge w:val="continue"/>
                  <w:tcBorders>
                    <w:left w:val="single" w:color="auto" w:sz="4" w:space="0"/>
                    <w:right w:val="single" w:color="auto" w:sz="4" w:space="0"/>
                  </w:tcBorders>
                  <w:vAlign w:val="center"/>
                </w:tcPr>
                <w:p w14:paraId="30A5F72F">
                  <w:pPr>
                    <w:spacing w:line="240" w:lineRule="auto"/>
                    <w:jc w:val="center"/>
                    <w:rPr>
                      <w:rFonts w:hint="default" w:ascii="Times New Roman" w:hAnsi="Times New Roman" w:eastAsia="宋体" w:cs="Times New Roman"/>
                      <w:sz w:val="18"/>
                      <w:szCs w:val="18"/>
                      <w:lang w:val="en-US" w:eastAsia="zh-CN"/>
                    </w:rPr>
                  </w:pPr>
                </w:p>
              </w:tc>
              <w:tc>
                <w:tcPr>
                  <w:tcW w:w="341" w:type="dxa"/>
                  <w:tcBorders>
                    <w:left w:val="single" w:color="auto" w:sz="4" w:space="0"/>
                    <w:right w:val="single" w:color="auto" w:sz="4" w:space="0"/>
                  </w:tcBorders>
                  <w:vAlign w:val="center"/>
                </w:tcPr>
                <w:p w14:paraId="0B0F27FD">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0AC07B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restart"/>
                  <w:tcBorders>
                    <w:left w:val="single" w:color="auto" w:sz="4" w:space="0"/>
                    <w:right w:val="single" w:color="auto" w:sz="4" w:space="0"/>
                  </w:tcBorders>
                  <w:vAlign w:val="center"/>
                </w:tcPr>
                <w:p w14:paraId="078AD68E">
                  <w:pPr>
                    <w:spacing w:line="240" w:lineRule="auto"/>
                    <w:jc w:val="center"/>
                    <w:rPr>
                      <w:rFonts w:hint="eastAsia" w:ascii="Times New Roman" w:hAnsi="Times New Roman" w:eastAsia="宋体" w:cs="Times New Roman"/>
                      <w:bCs/>
                      <w:sz w:val="18"/>
                      <w:szCs w:val="18"/>
                      <w:lang w:eastAsia="zh-CN"/>
                    </w:rPr>
                  </w:pPr>
                  <w:r>
                    <w:rPr>
                      <w:rFonts w:hint="eastAsia" w:cs="Times New Roman"/>
                      <w:bCs/>
                      <w:sz w:val="18"/>
                      <w:szCs w:val="18"/>
                      <w:lang w:eastAsia="zh-CN"/>
                    </w:rPr>
                    <w:t>以上工序同时生产时</w:t>
                  </w:r>
                </w:p>
              </w:tc>
              <w:tc>
                <w:tcPr>
                  <w:tcW w:w="560" w:type="dxa"/>
                  <w:tcBorders>
                    <w:left w:val="single" w:color="auto" w:sz="4" w:space="0"/>
                    <w:right w:val="single" w:color="auto" w:sz="4" w:space="0"/>
                  </w:tcBorders>
                  <w:vAlign w:val="center"/>
                </w:tcPr>
                <w:p w14:paraId="1D016C1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630" w:type="dxa"/>
                  <w:tcBorders>
                    <w:left w:val="single" w:color="auto" w:sz="4" w:space="0"/>
                    <w:right w:val="single" w:color="auto" w:sz="4" w:space="0"/>
                  </w:tcBorders>
                  <w:vAlign w:val="center"/>
                </w:tcPr>
                <w:p w14:paraId="6EB201F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735" w:type="dxa"/>
                  <w:tcBorders>
                    <w:top w:val="single" w:color="auto" w:sz="4" w:space="0"/>
                    <w:left w:val="single" w:color="auto" w:sz="4" w:space="0"/>
                    <w:bottom w:val="single" w:color="auto" w:sz="4" w:space="0"/>
                    <w:right w:val="single" w:color="auto" w:sz="4" w:space="0"/>
                  </w:tcBorders>
                  <w:vAlign w:val="center"/>
                </w:tcPr>
                <w:p w14:paraId="3130355B">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1.3481</w:t>
                  </w:r>
                </w:p>
              </w:tc>
              <w:tc>
                <w:tcPr>
                  <w:tcW w:w="645" w:type="dxa"/>
                  <w:tcBorders>
                    <w:top w:val="single" w:color="auto" w:sz="4" w:space="0"/>
                    <w:left w:val="single" w:color="auto" w:sz="4" w:space="0"/>
                    <w:bottom w:val="single" w:color="auto" w:sz="4" w:space="0"/>
                    <w:right w:val="single" w:color="auto" w:sz="4" w:space="0"/>
                  </w:tcBorders>
                  <w:vAlign w:val="center"/>
                </w:tcPr>
                <w:p w14:paraId="4903AE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56.2</w:t>
                  </w:r>
                </w:p>
              </w:tc>
              <w:tc>
                <w:tcPr>
                  <w:tcW w:w="660" w:type="dxa"/>
                  <w:tcBorders>
                    <w:top w:val="single" w:color="auto" w:sz="4" w:space="0"/>
                    <w:left w:val="single" w:color="auto" w:sz="4" w:space="0"/>
                    <w:bottom w:val="single" w:color="auto" w:sz="4" w:space="0"/>
                    <w:right w:val="single" w:color="auto" w:sz="4" w:space="0"/>
                  </w:tcBorders>
                  <w:vAlign w:val="center"/>
                </w:tcPr>
                <w:p w14:paraId="52BC42C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1.1234</w:t>
                  </w:r>
                </w:p>
              </w:tc>
              <w:tc>
                <w:tcPr>
                  <w:tcW w:w="600" w:type="dxa"/>
                  <w:vMerge w:val="restart"/>
                  <w:tcBorders>
                    <w:top w:val="single" w:color="auto" w:sz="4" w:space="0"/>
                    <w:left w:val="single" w:color="auto" w:sz="4" w:space="0"/>
                    <w:right w:val="single" w:color="auto" w:sz="4" w:space="0"/>
                  </w:tcBorders>
                  <w:vAlign w:val="center"/>
                </w:tcPr>
                <w:p w14:paraId="5F0FC61E">
                  <w:pPr>
                    <w:keepNext w:val="0"/>
                    <w:keepLines w:val="0"/>
                    <w:widowControl/>
                    <w:suppressLineNumbers w:val="0"/>
                    <w:jc w:val="center"/>
                    <w:textAlignment w:val="center"/>
                    <w:rPr>
                      <w:rFonts w:hint="eastAsia"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10000</w:t>
                  </w:r>
                </w:p>
              </w:tc>
              <w:tc>
                <w:tcPr>
                  <w:tcW w:w="495" w:type="dxa"/>
                  <w:tcBorders>
                    <w:top w:val="single" w:color="auto" w:sz="4" w:space="0"/>
                    <w:left w:val="single" w:color="auto" w:sz="4" w:space="0"/>
                    <w:bottom w:val="single" w:color="auto" w:sz="4" w:space="0"/>
                    <w:right w:val="single" w:color="auto" w:sz="4" w:space="0"/>
                  </w:tcBorders>
                  <w:vAlign w:val="center"/>
                </w:tcPr>
                <w:p w14:paraId="5C5B2C64">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525" w:type="dxa"/>
                  <w:vMerge w:val="restart"/>
                  <w:tcBorders>
                    <w:top w:val="single" w:color="auto" w:sz="4" w:space="0"/>
                    <w:left w:val="single" w:color="auto" w:sz="4" w:space="0"/>
                    <w:right w:val="single" w:color="auto" w:sz="4" w:space="0"/>
                  </w:tcBorders>
                  <w:vAlign w:val="center"/>
                </w:tcPr>
                <w:p w14:paraId="05FCE37E">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两级活性炭吸附</w:t>
                  </w:r>
                </w:p>
              </w:tc>
              <w:tc>
                <w:tcPr>
                  <w:tcW w:w="375" w:type="dxa"/>
                  <w:tcBorders>
                    <w:top w:val="single" w:color="auto" w:sz="4" w:space="0"/>
                    <w:left w:val="single" w:color="auto" w:sz="4" w:space="0"/>
                    <w:bottom w:val="single" w:color="auto" w:sz="4" w:space="0"/>
                    <w:right w:val="single" w:color="auto" w:sz="4" w:space="0"/>
                  </w:tcBorders>
                  <w:vAlign w:val="center"/>
                </w:tcPr>
                <w:p w14:paraId="3310055B">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465" w:type="dxa"/>
                  <w:tcBorders>
                    <w:top w:val="single" w:color="auto" w:sz="4" w:space="0"/>
                    <w:left w:val="single" w:color="auto" w:sz="4" w:space="0"/>
                    <w:bottom w:val="single" w:color="auto" w:sz="4" w:space="0"/>
                    <w:right w:val="single" w:color="auto" w:sz="4" w:space="0"/>
                  </w:tcBorders>
                  <w:vAlign w:val="center"/>
                </w:tcPr>
                <w:p w14:paraId="6B7D4354">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宋体" w:hAnsi="宋体" w:eastAsia="宋体" w:cs="宋体"/>
                      <w:i w:val="0"/>
                      <w:iCs w:val="0"/>
                      <w:color w:val="000000"/>
                      <w:kern w:val="0"/>
                      <w:sz w:val="18"/>
                      <w:szCs w:val="18"/>
                      <w:u w:val="none"/>
                      <w:lang w:val="en-US" w:eastAsia="zh-CN" w:bidi="ar"/>
                    </w:rPr>
                    <w:t>是</w:t>
                  </w:r>
                </w:p>
              </w:tc>
              <w:tc>
                <w:tcPr>
                  <w:tcW w:w="598" w:type="dxa"/>
                  <w:tcBorders>
                    <w:top w:val="single" w:color="auto" w:sz="4" w:space="0"/>
                    <w:left w:val="single" w:color="auto" w:sz="4" w:space="0"/>
                    <w:bottom w:val="single" w:color="auto" w:sz="4" w:space="0"/>
                    <w:right w:val="single" w:color="auto" w:sz="4" w:space="0"/>
                  </w:tcBorders>
                  <w:vAlign w:val="center"/>
                </w:tcPr>
                <w:p w14:paraId="7ABAB21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0.3922</w:t>
                  </w:r>
                </w:p>
              </w:tc>
              <w:tc>
                <w:tcPr>
                  <w:tcW w:w="490" w:type="dxa"/>
                  <w:tcBorders>
                    <w:top w:val="single" w:color="auto" w:sz="4" w:space="0"/>
                    <w:left w:val="single" w:color="auto" w:sz="4" w:space="0"/>
                    <w:bottom w:val="single" w:color="auto" w:sz="4" w:space="0"/>
                    <w:right w:val="single" w:color="auto" w:sz="4" w:space="0"/>
                  </w:tcBorders>
                  <w:vAlign w:val="center"/>
                </w:tcPr>
                <w:p w14:paraId="432DC82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16.3</w:t>
                  </w:r>
                </w:p>
              </w:tc>
              <w:tc>
                <w:tcPr>
                  <w:tcW w:w="500" w:type="dxa"/>
                  <w:tcBorders>
                    <w:top w:val="single" w:color="auto" w:sz="4" w:space="0"/>
                    <w:left w:val="single" w:color="auto" w:sz="4" w:space="0"/>
                    <w:bottom w:val="single" w:color="auto" w:sz="4" w:space="0"/>
                    <w:right w:val="single" w:color="auto" w:sz="4" w:space="0"/>
                  </w:tcBorders>
                  <w:vAlign w:val="center"/>
                </w:tcPr>
                <w:p w14:paraId="5BD00A4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0.3269</w:t>
                  </w:r>
                </w:p>
              </w:tc>
              <w:tc>
                <w:tcPr>
                  <w:tcW w:w="365" w:type="dxa"/>
                  <w:vMerge w:val="continue"/>
                  <w:tcBorders>
                    <w:left w:val="single" w:color="auto" w:sz="4" w:space="0"/>
                    <w:right w:val="single" w:color="auto" w:sz="4" w:space="0"/>
                  </w:tcBorders>
                  <w:vAlign w:val="center"/>
                </w:tcPr>
                <w:p w14:paraId="0D478C8C">
                  <w:pPr>
                    <w:spacing w:line="240" w:lineRule="auto"/>
                    <w:jc w:val="center"/>
                    <w:rPr>
                      <w:rFonts w:hint="default" w:ascii="Times New Roman" w:hAnsi="Times New Roman" w:eastAsia="宋体" w:cs="Times New Roman"/>
                      <w:sz w:val="18"/>
                      <w:szCs w:val="18"/>
                      <w:lang w:val="en-US" w:eastAsia="zh-CN"/>
                    </w:rPr>
                  </w:pPr>
                </w:p>
              </w:tc>
              <w:tc>
                <w:tcPr>
                  <w:tcW w:w="341" w:type="dxa"/>
                  <w:vMerge w:val="restart"/>
                  <w:tcBorders>
                    <w:left w:val="single" w:color="auto" w:sz="4" w:space="0"/>
                    <w:right w:val="single" w:color="auto" w:sz="4" w:space="0"/>
                  </w:tcBorders>
                  <w:vAlign w:val="center"/>
                </w:tcPr>
                <w:p w14:paraId="7A8FDFCD">
                  <w:pPr>
                    <w:spacing w:line="240" w:lineRule="auto"/>
                    <w:jc w:val="center"/>
                    <w:rPr>
                      <w:rFonts w:hint="eastAsia" w:cs="Times New Roman"/>
                      <w:sz w:val="18"/>
                      <w:szCs w:val="18"/>
                      <w:lang w:val="en-US" w:eastAsia="zh-CN"/>
                    </w:rPr>
                  </w:pPr>
                  <w:r>
                    <w:rPr>
                      <w:rFonts w:hint="default" w:ascii="Times New Roman" w:hAnsi="Times New Roman" w:eastAsia="宋体" w:cs="Times New Roman"/>
                      <w:sz w:val="18"/>
                      <w:szCs w:val="18"/>
                      <w:lang w:val="en-US" w:eastAsia="zh-CN"/>
                    </w:rPr>
                    <w:t>有组织DA0</w:t>
                  </w:r>
                  <w:r>
                    <w:rPr>
                      <w:rFonts w:hint="eastAsia" w:ascii="Times New Roman" w:hAnsi="Times New Roman" w:eastAsia="宋体" w:cs="Times New Roman"/>
                      <w:sz w:val="18"/>
                      <w:szCs w:val="18"/>
                      <w:lang w:val="en-US" w:eastAsia="zh-CN"/>
                    </w:rPr>
                    <w:t>0</w:t>
                  </w:r>
                  <w:r>
                    <w:rPr>
                      <w:rFonts w:hint="eastAsia" w:cs="Times New Roman"/>
                      <w:sz w:val="18"/>
                      <w:szCs w:val="18"/>
                      <w:lang w:val="en-US" w:eastAsia="zh-CN"/>
                    </w:rPr>
                    <w:t>1</w:t>
                  </w:r>
                </w:p>
              </w:tc>
            </w:tr>
            <w:tr w14:paraId="774872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31C64890">
                  <w:pPr>
                    <w:spacing w:line="240" w:lineRule="auto"/>
                    <w:jc w:val="center"/>
                    <w:rPr>
                      <w:rFonts w:hint="eastAsia" w:cs="Times New Roman"/>
                      <w:bCs/>
                      <w:sz w:val="18"/>
                      <w:szCs w:val="18"/>
                      <w:lang w:eastAsia="zh-CN"/>
                    </w:rPr>
                  </w:pPr>
                </w:p>
              </w:tc>
              <w:tc>
                <w:tcPr>
                  <w:tcW w:w="560" w:type="dxa"/>
                  <w:tcBorders>
                    <w:left w:val="single" w:color="auto" w:sz="4" w:space="0"/>
                    <w:right w:val="single" w:color="auto" w:sz="4" w:space="0"/>
                  </w:tcBorders>
                  <w:vAlign w:val="center"/>
                </w:tcPr>
                <w:p w14:paraId="649AE34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630" w:type="dxa"/>
                  <w:tcBorders>
                    <w:left w:val="single" w:color="auto" w:sz="4" w:space="0"/>
                    <w:right w:val="single" w:color="auto" w:sz="4" w:space="0"/>
                  </w:tcBorders>
                  <w:vAlign w:val="center"/>
                </w:tcPr>
                <w:p w14:paraId="40863C5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735" w:type="dxa"/>
                  <w:tcBorders>
                    <w:top w:val="single" w:color="auto" w:sz="4" w:space="0"/>
                    <w:left w:val="single" w:color="auto" w:sz="4" w:space="0"/>
                    <w:bottom w:val="single" w:color="auto" w:sz="4" w:space="0"/>
                    <w:right w:val="single" w:color="auto" w:sz="4" w:space="0"/>
                  </w:tcBorders>
                  <w:vAlign w:val="center"/>
                </w:tcPr>
                <w:p w14:paraId="5A92A44A">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0.3902</w:t>
                  </w:r>
                </w:p>
              </w:tc>
              <w:tc>
                <w:tcPr>
                  <w:tcW w:w="645" w:type="dxa"/>
                  <w:tcBorders>
                    <w:top w:val="single" w:color="auto" w:sz="4" w:space="0"/>
                    <w:left w:val="single" w:color="auto" w:sz="4" w:space="0"/>
                    <w:bottom w:val="single" w:color="auto" w:sz="4" w:space="0"/>
                    <w:right w:val="single" w:color="auto" w:sz="4" w:space="0"/>
                  </w:tcBorders>
                  <w:vAlign w:val="center"/>
                </w:tcPr>
                <w:p w14:paraId="3578A45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16.3</w:t>
                  </w:r>
                </w:p>
              </w:tc>
              <w:tc>
                <w:tcPr>
                  <w:tcW w:w="660" w:type="dxa"/>
                  <w:tcBorders>
                    <w:top w:val="single" w:color="auto" w:sz="4" w:space="0"/>
                    <w:left w:val="single" w:color="auto" w:sz="4" w:space="0"/>
                    <w:bottom w:val="single" w:color="auto" w:sz="4" w:space="0"/>
                    <w:right w:val="single" w:color="auto" w:sz="4" w:space="0"/>
                  </w:tcBorders>
                  <w:vAlign w:val="center"/>
                </w:tcPr>
                <w:p w14:paraId="044D70A4">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0.3252</w:t>
                  </w:r>
                </w:p>
              </w:tc>
              <w:tc>
                <w:tcPr>
                  <w:tcW w:w="600" w:type="dxa"/>
                  <w:vMerge w:val="continue"/>
                  <w:tcBorders>
                    <w:left w:val="single" w:color="auto" w:sz="4" w:space="0"/>
                    <w:right w:val="single" w:color="auto" w:sz="4" w:space="0"/>
                  </w:tcBorders>
                  <w:vAlign w:val="center"/>
                </w:tcPr>
                <w:p w14:paraId="5EA24E0F">
                  <w:pPr>
                    <w:jc w:val="center"/>
                    <w:rPr>
                      <w:rFonts w:hint="eastAsia" w:cs="Times New Roman"/>
                      <w:sz w:val="18"/>
                      <w:szCs w:val="18"/>
                      <w:lang w:val="en-US" w:eastAsia="zh-CN"/>
                    </w:rPr>
                  </w:pPr>
                </w:p>
              </w:tc>
              <w:tc>
                <w:tcPr>
                  <w:tcW w:w="495" w:type="dxa"/>
                  <w:tcBorders>
                    <w:top w:val="single" w:color="auto" w:sz="4" w:space="0"/>
                    <w:left w:val="single" w:color="auto" w:sz="4" w:space="0"/>
                    <w:bottom w:val="single" w:color="auto" w:sz="4" w:space="0"/>
                    <w:right w:val="single" w:color="auto" w:sz="4" w:space="0"/>
                  </w:tcBorders>
                  <w:vAlign w:val="center"/>
                </w:tcPr>
                <w:p w14:paraId="08BAD4CE">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525" w:type="dxa"/>
                  <w:vMerge w:val="continue"/>
                  <w:tcBorders>
                    <w:left w:val="single" w:color="auto" w:sz="4" w:space="0"/>
                    <w:bottom w:val="single" w:color="auto" w:sz="4" w:space="0"/>
                    <w:right w:val="single" w:color="auto" w:sz="4" w:space="0"/>
                  </w:tcBorders>
                  <w:vAlign w:val="center"/>
                </w:tcPr>
                <w:p w14:paraId="169B292F">
                  <w:pPr>
                    <w:jc w:val="center"/>
                    <w:rPr>
                      <w:rFonts w:hint="eastAsia" w:ascii="Times New Roman" w:hAnsi="Times New Roman" w:eastAsia="宋体" w:cs="Times New Roman"/>
                      <w:sz w:val="18"/>
                      <w:szCs w:val="18"/>
                      <w:lang w:eastAsia="zh-CN"/>
                    </w:rPr>
                  </w:pPr>
                </w:p>
              </w:tc>
              <w:tc>
                <w:tcPr>
                  <w:tcW w:w="375" w:type="dxa"/>
                  <w:tcBorders>
                    <w:top w:val="single" w:color="auto" w:sz="4" w:space="0"/>
                    <w:left w:val="single" w:color="auto" w:sz="4" w:space="0"/>
                    <w:bottom w:val="single" w:color="auto" w:sz="4" w:space="0"/>
                    <w:right w:val="single" w:color="auto" w:sz="4" w:space="0"/>
                  </w:tcBorders>
                  <w:vAlign w:val="center"/>
                </w:tcPr>
                <w:p w14:paraId="029E6D58">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70</w:t>
                  </w:r>
                </w:p>
              </w:tc>
              <w:tc>
                <w:tcPr>
                  <w:tcW w:w="465" w:type="dxa"/>
                  <w:tcBorders>
                    <w:top w:val="single" w:color="auto" w:sz="4" w:space="0"/>
                    <w:left w:val="single" w:color="auto" w:sz="4" w:space="0"/>
                    <w:bottom w:val="single" w:color="auto" w:sz="4" w:space="0"/>
                    <w:right w:val="single" w:color="auto" w:sz="4" w:space="0"/>
                  </w:tcBorders>
                  <w:vAlign w:val="center"/>
                </w:tcPr>
                <w:p w14:paraId="50795983">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598" w:type="dxa"/>
                  <w:tcBorders>
                    <w:top w:val="single" w:color="auto" w:sz="4" w:space="0"/>
                    <w:left w:val="single" w:color="auto" w:sz="4" w:space="0"/>
                    <w:bottom w:val="single" w:color="auto" w:sz="4" w:space="0"/>
                    <w:right w:val="single" w:color="auto" w:sz="4" w:space="0"/>
                  </w:tcBorders>
                  <w:vAlign w:val="center"/>
                </w:tcPr>
                <w:p w14:paraId="1D844CE6">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0.1176</w:t>
                  </w:r>
                </w:p>
              </w:tc>
              <w:tc>
                <w:tcPr>
                  <w:tcW w:w="490" w:type="dxa"/>
                  <w:tcBorders>
                    <w:top w:val="single" w:color="auto" w:sz="4" w:space="0"/>
                    <w:left w:val="single" w:color="auto" w:sz="4" w:space="0"/>
                    <w:bottom w:val="single" w:color="auto" w:sz="4" w:space="0"/>
                    <w:right w:val="single" w:color="auto" w:sz="4" w:space="0"/>
                  </w:tcBorders>
                  <w:vAlign w:val="center"/>
                </w:tcPr>
                <w:p w14:paraId="2580BA0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4.9</w:t>
                  </w:r>
                </w:p>
              </w:tc>
              <w:tc>
                <w:tcPr>
                  <w:tcW w:w="500" w:type="dxa"/>
                  <w:tcBorders>
                    <w:top w:val="single" w:color="auto" w:sz="4" w:space="0"/>
                    <w:left w:val="single" w:color="auto" w:sz="4" w:space="0"/>
                    <w:bottom w:val="single" w:color="auto" w:sz="4" w:space="0"/>
                    <w:right w:val="single" w:color="auto" w:sz="4" w:space="0"/>
                  </w:tcBorders>
                  <w:vAlign w:val="center"/>
                </w:tcPr>
                <w:p w14:paraId="14F3970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0.098</w:t>
                  </w:r>
                </w:p>
              </w:tc>
              <w:tc>
                <w:tcPr>
                  <w:tcW w:w="365" w:type="dxa"/>
                  <w:vMerge w:val="continue"/>
                  <w:tcBorders>
                    <w:left w:val="single" w:color="auto" w:sz="4" w:space="0"/>
                    <w:right w:val="single" w:color="auto" w:sz="4" w:space="0"/>
                  </w:tcBorders>
                  <w:vAlign w:val="center"/>
                </w:tcPr>
                <w:p w14:paraId="24A69AB5">
                  <w:pPr>
                    <w:spacing w:line="240" w:lineRule="auto"/>
                    <w:jc w:val="center"/>
                    <w:rPr>
                      <w:rFonts w:hint="eastAsia" w:cs="Times New Roman"/>
                      <w:sz w:val="18"/>
                      <w:szCs w:val="18"/>
                      <w:lang w:val="en-US" w:eastAsia="zh-CN"/>
                    </w:rPr>
                  </w:pPr>
                </w:p>
              </w:tc>
              <w:tc>
                <w:tcPr>
                  <w:tcW w:w="341" w:type="dxa"/>
                  <w:vMerge w:val="continue"/>
                  <w:tcBorders>
                    <w:left w:val="single" w:color="auto" w:sz="4" w:space="0"/>
                    <w:right w:val="single" w:color="auto" w:sz="4" w:space="0"/>
                  </w:tcBorders>
                  <w:vAlign w:val="center"/>
                </w:tcPr>
                <w:p w14:paraId="4E315C95">
                  <w:pPr>
                    <w:spacing w:line="240" w:lineRule="auto"/>
                    <w:jc w:val="center"/>
                    <w:rPr>
                      <w:rFonts w:hint="eastAsia" w:cs="Times New Roman"/>
                      <w:sz w:val="18"/>
                      <w:szCs w:val="18"/>
                      <w:lang w:val="en-US" w:eastAsia="zh-CN"/>
                    </w:rPr>
                  </w:pPr>
                </w:p>
              </w:tc>
            </w:tr>
            <w:tr w14:paraId="11D60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3EA05F4F">
                  <w:pPr>
                    <w:spacing w:line="240" w:lineRule="auto"/>
                    <w:jc w:val="center"/>
                    <w:rPr>
                      <w:rFonts w:hint="eastAsia" w:cs="Times New Roman"/>
                      <w:bCs/>
                      <w:sz w:val="18"/>
                      <w:szCs w:val="18"/>
                      <w:lang w:eastAsia="zh-CN"/>
                    </w:rPr>
                  </w:pPr>
                </w:p>
              </w:tc>
              <w:tc>
                <w:tcPr>
                  <w:tcW w:w="560" w:type="dxa"/>
                  <w:tcBorders>
                    <w:left w:val="single" w:color="auto" w:sz="4" w:space="0"/>
                    <w:right w:val="single" w:color="auto" w:sz="4" w:space="0"/>
                  </w:tcBorders>
                  <w:vAlign w:val="center"/>
                </w:tcPr>
                <w:p w14:paraId="5739339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颗粒物</w:t>
                  </w:r>
                </w:p>
              </w:tc>
              <w:tc>
                <w:tcPr>
                  <w:tcW w:w="630" w:type="dxa"/>
                  <w:tcBorders>
                    <w:left w:val="single" w:color="auto" w:sz="4" w:space="0"/>
                    <w:right w:val="single" w:color="auto" w:sz="4" w:space="0"/>
                  </w:tcBorders>
                  <w:vAlign w:val="center"/>
                </w:tcPr>
                <w:p w14:paraId="190A51A4">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735" w:type="dxa"/>
                  <w:tcBorders>
                    <w:top w:val="single" w:color="auto" w:sz="4" w:space="0"/>
                    <w:left w:val="single" w:color="auto" w:sz="4" w:space="0"/>
                    <w:bottom w:val="single" w:color="auto" w:sz="4" w:space="0"/>
                    <w:right w:val="single" w:color="auto" w:sz="4" w:space="0"/>
                  </w:tcBorders>
                  <w:vAlign w:val="center"/>
                </w:tcPr>
                <w:p w14:paraId="24EA051A">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0.5031</w:t>
                  </w:r>
                </w:p>
              </w:tc>
              <w:tc>
                <w:tcPr>
                  <w:tcW w:w="645" w:type="dxa"/>
                  <w:tcBorders>
                    <w:top w:val="single" w:color="auto" w:sz="4" w:space="0"/>
                    <w:left w:val="single" w:color="auto" w:sz="4" w:space="0"/>
                    <w:bottom w:val="single" w:color="auto" w:sz="4" w:space="0"/>
                    <w:right w:val="single" w:color="auto" w:sz="4" w:space="0"/>
                  </w:tcBorders>
                  <w:vAlign w:val="center"/>
                </w:tcPr>
                <w:p w14:paraId="6047ED4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21.0</w:t>
                  </w:r>
                </w:p>
              </w:tc>
              <w:tc>
                <w:tcPr>
                  <w:tcW w:w="660" w:type="dxa"/>
                  <w:tcBorders>
                    <w:top w:val="single" w:color="auto" w:sz="4" w:space="0"/>
                    <w:left w:val="single" w:color="auto" w:sz="4" w:space="0"/>
                    <w:bottom w:val="single" w:color="auto" w:sz="4" w:space="0"/>
                    <w:right w:val="single" w:color="auto" w:sz="4" w:space="0"/>
                  </w:tcBorders>
                  <w:vAlign w:val="center"/>
                </w:tcPr>
                <w:p w14:paraId="7DEBEBC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0.4193</w:t>
                  </w:r>
                </w:p>
              </w:tc>
              <w:tc>
                <w:tcPr>
                  <w:tcW w:w="600" w:type="dxa"/>
                  <w:vMerge w:val="continue"/>
                  <w:tcBorders>
                    <w:left w:val="single" w:color="auto" w:sz="4" w:space="0"/>
                    <w:bottom w:val="single" w:color="auto" w:sz="4" w:space="0"/>
                    <w:right w:val="single" w:color="auto" w:sz="4" w:space="0"/>
                  </w:tcBorders>
                  <w:vAlign w:val="center"/>
                </w:tcPr>
                <w:p w14:paraId="45A94D33">
                  <w:pPr>
                    <w:jc w:val="center"/>
                    <w:rPr>
                      <w:rFonts w:hint="eastAsia" w:cs="Times New Roman"/>
                      <w:sz w:val="18"/>
                      <w:szCs w:val="18"/>
                      <w:lang w:val="en-US" w:eastAsia="zh-CN"/>
                    </w:rPr>
                  </w:pPr>
                </w:p>
              </w:tc>
              <w:tc>
                <w:tcPr>
                  <w:tcW w:w="495" w:type="dxa"/>
                  <w:tcBorders>
                    <w:top w:val="single" w:color="auto" w:sz="4" w:space="0"/>
                    <w:left w:val="single" w:color="auto" w:sz="4" w:space="0"/>
                    <w:bottom w:val="single" w:color="auto" w:sz="4" w:space="0"/>
                    <w:right w:val="single" w:color="auto" w:sz="4" w:space="0"/>
                  </w:tcBorders>
                  <w:vAlign w:val="center"/>
                </w:tcPr>
                <w:p w14:paraId="628D8BEF">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w:t>
                  </w:r>
                </w:p>
              </w:tc>
              <w:tc>
                <w:tcPr>
                  <w:tcW w:w="525" w:type="dxa"/>
                  <w:tcBorders>
                    <w:top w:val="single" w:color="auto" w:sz="4" w:space="0"/>
                    <w:left w:val="single" w:color="auto" w:sz="4" w:space="0"/>
                    <w:bottom w:val="single" w:color="auto" w:sz="4" w:space="0"/>
                    <w:right w:val="single" w:color="auto" w:sz="4" w:space="0"/>
                  </w:tcBorders>
                  <w:vAlign w:val="center"/>
                </w:tcPr>
                <w:p w14:paraId="4C0AD2C5">
                  <w:pPr>
                    <w:keepNext w:val="0"/>
                    <w:keepLines w:val="0"/>
                    <w:widowControl/>
                    <w:suppressLineNumbers w:val="0"/>
                    <w:jc w:val="center"/>
                    <w:textAlignment w:val="center"/>
                    <w:rPr>
                      <w:rFonts w:hint="eastAsia" w:ascii="Times New Roman" w:hAnsi="Times New Roman" w:eastAsia="宋体" w:cs="Times New Roman"/>
                      <w:sz w:val="18"/>
                      <w:szCs w:val="18"/>
                      <w:lang w:eastAsia="zh-CN"/>
                    </w:rPr>
                  </w:pPr>
                  <w:r>
                    <w:rPr>
                      <w:rFonts w:hint="eastAsia" w:ascii="宋体" w:hAnsi="宋体" w:cs="宋体"/>
                      <w:i w:val="0"/>
                      <w:iCs w:val="0"/>
                      <w:color w:val="000000"/>
                      <w:kern w:val="0"/>
                      <w:sz w:val="18"/>
                      <w:szCs w:val="18"/>
                      <w:u w:val="none"/>
                      <w:lang w:val="en-US" w:eastAsia="zh-CN" w:bidi="ar"/>
                    </w:rPr>
                    <w:t>迷宫式过滤箱</w:t>
                  </w:r>
                  <w:r>
                    <w:rPr>
                      <w:rFonts w:hint="eastAsia" w:ascii="宋体" w:hAnsi="宋体" w:eastAsia="宋体" w:cs="宋体"/>
                      <w:i w:val="0"/>
                      <w:iCs w:val="0"/>
                      <w:color w:val="000000"/>
                      <w:kern w:val="0"/>
                      <w:sz w:val="18"/>
                      <w:szCs w:val="18"/>
                      <w:u w:val="none"/>
                      <w:lang w:val="en-US" w:eastAsia="zh-CN" w:bidi="ar"/>
                    </w:rPr>
                    <w:t>（吸附过滤）</w:t>
                  </w:r>
                </w:p>
              </w:tc>
              <w:tc>
                <w:tcPr>
                  <w:tcW w:w="375" w:type="dxa"/>
                  <w:tcBorders>
                    <w:top w:val="single" w:color="auto" w:sz="4" w:space="0"/>
                    <w:left w:val="single" w:color="auto" w:sz="4" w:space="0"/>
                    <w:bottom w:val="single" w:color="auto" w:sz="4" w:space="0"/>
                    <w:right w:val="single" w:color="auto" w:sz="4" w:space="0"/>
                  </w:tcBorders>
                  <w:vAlign w:val="center"/>
                </w:tcPr>
                <w:p w14:paraId="25055C7D">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9</w:t>
                  </w:r>
                  <w:r>
                    <w:rPr>
                      <w:rFonts w:hint="eastAsia" w:cs="Times New Roman"/>
                      <w:i w:val="0"/>
                      <w:iCs w:val="0"/>
                      <w:color w:val="000000"/>
                      <w:kern w:val="0"/>
                      <w:sz w:val="18"/>
                      <w:szCs w:val="18"/>
                      <w:u w:val="none"/>
                      <w:lang w:val="en-US" w:eastAsia="zh-CN" w:bidi="ar"/>
                    </w:rPr>
                    <w:t>0</w:t>
                  </w:r>
                </w:p>
              </w:tc>
              <w:tc>
                <w:tcPr>
                  <w:tcW w:w="465" w:type="dxa"/>
                  <w:tcBorders>
                    <w:top w:val="single" w:color="auto" w:sz="4" w:space="0"/>
                    <w:left w:val="single" w:color="auto" w:sz="4" w:space="0"/>
                    <w:bottom w:val="single" w:color="auto" w:sz="4" w:space="0"/>
                    <w:right w:val="single" w:color="auto" w:sz="4" w:space="0"/>
                  </w:tcBorders>
                  <w:vAlign w:val="center"/>
                </w:tcPr>
                <w:p w14:paraId="0026A444">
                  <w:pPr>
                    <w:keepNext w:val="0"/>
                    <w:keepLines w:val="0"/>
                    <w:widowControl/>
                    <w:suppressLineNumbers w:val="0"/>
                    <w:jc w:val="center"/>
                    <w:textAlignment w:val="center"/>
                    <w:rPr>
                      <w:rFonts w:hint="default" w:ascii="Times New Roman" w:hAnsi="Times New Roman" w:eastAsia="宋体" w:cs="Times New Roman"/>
                      <w:sz w:val="18"/>
                      <w:szCs w:val="18"/>
                      <w:lang w:eastAsia="zh-CN"/>
                    </w:rPr>
                  </w:pPr>
                  <w:r>
                    <w:rPr>
                      <w:rFonts w:hint="eastAsia" w:ascii="宋体" w:hAnsi="宋体" w:eastAsia="宋体" w:cs="宋体"/>
                      <w:i w:val="0"/>
                      <w:iCs w:val="0"/>
                      <w:color w:val="000000"/>
                      <w:kern w:val="0"/>
                      <w:sz w:val="18"/>
                      <w:szCs w:val="18"/>
                      <w:u w:val="none"/>
                      <w:lang w:val="en-US" w:eastAsia="zh-CN" w:bidi="ar"/>
                    </w:rPr>
                    <w:t>是</w:t>
                  </w:r>
                </w:p>
              </w:tc>
              <w:tc>
                <w:tcPr>
                  <w:tcW w:w="598" w:type="dxa"/>
                  <w:tcBorders>
                    <w:top w:val="single" w:color="auto" w:sz="4" w:space="0"/>
                    <w:left w:val="single" w:color="auto" w:sz="4" w:space="0"/>
                    <w:bottom w:val="single" w:color="auto" w:sz="4" w:space="0"/>
                    <w:right w:val="single" w:color="auto" w:sz="4" w:space="0"/>
                  </w:tcBorders>
                  <w:vAlign w:val="center"/>
                </w:tcPr>
                <w:p w14:paraId="56030DC2">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0.0503</w:t>
                  </w:r>
                </w:p>
              </w:tc>
              <w:tc>
                <w:tcPr>
                  <w:tcW w:w="490" w:type="dxa"/>
                  <w:tcBorders>
                    <w:top w:val="single" w:color="auto" w:sz="4" w:space="0"/>
                    <w:left w:val="single" w:color="auto" w:sz="4" w:space="0"/>
                    <w:bottom w:val="single" w:color="auto" w:sz="4" w:space="0"/>
                    <w:right w:val="single" w:color="auto" w:sz="4" w:space="0"/>
                  </w:tcBorders>
                  <w:vAlign w:val="center"/>
                </w:tcPr>
                <w:p w14:paraId="4D29E2CB">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2.1</w:t>
                  </w:r>
                </w:p>
              </w:tc>
              <w:tc>
                <w:tcPr>
                  <w:tcW w:w="500" w:type="dxa"/>
                  <w:tcBorders>
                    <w:top w:val="single" w:color="auto" w:sz="4" w:space="0"/>
                    <w:left w:val="single" w:color="auto" w:sz="4" w:space="0"/>
                    <w:bottom w:val="single" w:color="auto" w:sz="4" w:space="0"/>
                    <w:right w:val="single" w:color="auto" w:sz="4" w:space="0"/>
                  </w:tcBorders>
                  <w:vAlign w:val="center"/>
                </w:tcPr>
                <w:p w14:paraId="048666B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0.0419</w:t>
                  </w:r>
                </w:p>
              </w:tc>
              <w:tc>
                <w:tcPr>
                  <w:tcW w:w="365" w:type="dxa"/>
                  <w:vMerge w:val="continue"/>
                  <w:tcBorders>
                    <w:left w:val="single" w:color="auto" w:sz="4" w:space="0"/>
                    <w:right w:val="single" w:color="auto" w:sz="4" w:space="0"/>
                  </w:tcBorders>
                  <w:vAlign w:val="center"/>
                </w:tcPr>
                <w:p w14:paraId="684C09CC">
                  <w:pPr>
                    <w:spacing w:line="240" w:lineRule="auto"/>
                    <w:jc w:val="center"/>
                    <w:rPr>
                      <w:rFonts w:hint="eastAsia" w:cs="Times New Roman"/>
                      <w:sz w:val="18"/>
                      <w:szCs w:val="18"/>
                      <w:lang w:val="en-US" w:eastAsia="zh-CN"/>
                    </w:rPr>
                  </w:pPr>
                </w:p>
              </w:tc>
              <w:tc>
                <w:tcPr>
                  <w:tcW w:w="341" w:type="dxa"/>
                  <w:vMerge w:val="continue"/>
                  <w:tcBorders>
                    <w:left w:val="single" w:color="auto" w:sz="4" w:space="0"/>
                    <w:right w:val="single" w:color="auto" w:sz="4" w:space="0"/>
                  </w:tcBorders>
                  <w:vAlign w:val="center"/>
                </w:tcPr>
                <w:p w14:paraId="1CB93A92">
                  <w:pPr>
                    <w:spacing w:line="240" w:lineRule="auto"/>
                    <w:jc w:val="center"/>
                    <w:rPr>
                      <w:rFonts w:hint="eastAsia" w:cs="Times New Roman"/>
                      <w:sz w:val="18"/>
                      <w:szCs w:val="18"/>
                      <w:lang w:val="en-US" w:eastAsia="zh-CN"/>
                    </w:rPr>
                  </w:pPr>
                </w:p>
              </w:tc>
            </w:tr>
            <w:tr w14:paraId="4D353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49493507">
                  <w:pPr>
                    <w:spacing w:line="240" w:lineRule="auto"/>
                    <w:jc w:val="center"/>
                    <w:rPr>
                      <w:rFonts w:hint="eastAsia" w:cs="Times New Roman"/>
                      <w:bCs/>
                      <w:sz w:val="18"/>
                      <w:szCs w:val="18"/>
                      <w:lang w:eastAsia="zh-CN"/>
                    </w:rPr>
                  </w:pPr>
                </w:p>
              </w:tc>
              <w:tc>
                <w:tcPr>
                  <w:tcW w:w="560" w:type="dxa"/>
                  <w:tcBorders>
                    <w:left w:val="single" w:color="auto" w:sz="4" w:space="0"/>
                    <w:right w:val="single" w:color="auto" w:sz="4" w:space="0"/>
                  </w:tcBorders>
                  <w:vAlign w:val="center"/>
                </w:tcPr>
                <w:p w14:paraId="7C68B46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臭气浓度</w:t>
                  </w:r>
                </w:p>
              </w:tc>
              <w:tc>
                <w:tcPr>
                  <w:tcW w:w="630" w:type="dxa"/>
                  <w:tcBorders>
                    <w:left w:val="single" w:color="auto" w:sz="4" w:space="0"/>
                    <w:right w:val="single" w:color="auto" w:sz="4" w:space="0"/>
                  </w:tcBorders>
                  <w:vAlign w:val="center"/>
                </w:tcPr>
                <w:p w14:paraId="42DDBAC1">
                  <w:pPr>
                    <w:keepNext w:val="0"/>
                    <w:keepLines w:val="0"/>
                    <w:widowControl/>
                    <w:suppressLineNumbers w:val="0"/>
                    <w:ind w:left="0" w:leftChars="0" w:right="0" w:rightChars="0" w:firstLine="0" w:firstLineChars="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35" w:type="dxa"/>
                  <w:tcBorders>
                    <w:top w:val="single" w:color="auto" w:sz="4" w:space="0"/>
                    <w:left w:val="single" w:color="auto" w:sz="4" w:space="0"/>
                    <w:bottom w:val="single" w:color="auto" w:sz="4" w:space="0"/>
                    <w:right w:val="single" w:color="auto" w:sz="4" w:space="0"/>
                  </w:tcBorders>
                  <w:vAlign w:val="center"/>
                </w:tcPr>
                <w:p w14:paraId="3AE019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5" w:type="dxa"/>
                  <w:tcBorders>
                    <w:top w:val="single" w:color="auto" w:sz="4" w:space="0"/>
                    <w:left w:val="single" w:color="auto" w:sz="4" w:space="0"/>
                    <w:bottom w:val="single" w:color="auto" w:sz="4" w:space="0"/>
                    <w:right w:val="single" w:color="auto" w:sz="4" w:space="0"/>
                  </w:tcBorders>
                  <w:vAlign w:val="center"/>
                </w:tcPr>
                <w:p w14:paraId="07A6072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4026F34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00" w:type="dxa"/>
                  <w:tcBorders>
                    <w:left w:val="single" w:color="auto" w:sz="4" w:space="0"/>
                    <w:bottom w:val="single" w:color="auto" w:sz="4" w:space="0"/>
                    <w:right w:val="single" w:color="auto" w:sz="4" w:space="0"/>
                  </w:tcBorders>
                  <w:vAlign w:val="center"/>
                </w:tcPr>
                <w:p w14:paraId="00F958C1">
                  <w:pPr>
                    <w:jc w:val="center"/>
                    <w:rPr>
                      <w:rFonts w:hint="eastAsia" w:cs="Times New Roman"/>
                      <w:sz w:val="18"/>
                      <w:szCs w:val="18"/>
                      <w:lang w:val="en-US" w:eastAsia="zh-CN"/>
                    </w:rPr>
                  </w:pPr>
                  <w:r>
                    <w:rPr>
                      <w:rFonts w:hint="eastAsia" w:cs="Times New Roman"/>
                      <w:i w:val="0"/>
                      <w:iCs w:val="0"/>
                      <w:color w:val="000000"/>
                      <w:kern w:val="0"/>
                      <w:sz w:val="18"/>
                      <w:szCs w:val="18"/>
                      <w:u w:val="none"/>
                      <w:lang w:val="en-US" w:eastAsia="zh-CN" w:bidi="ar"/>
                    </w:rPr>
                    <w:t>/</w:t>
                  </w:r>
                </w:p>
              </w:tc>
              <w:tc>
                <w:tcPr>
                  <w:tcW w:w="495" w:type="dxa"/>
                  <w:tcBorders>
                    <w:top w:val="single" w:color="auto" w:sz="4" w:space="0"/>
                    <w:left w:val="single" w:color="auto" w:sz="4" w:space="0"/>
                    <w:bottom w:val="single" w:color="auto" w:sz="4" w:space="0"/>
                    <w:right w:val="single" w:color="auto" w:sz="4" w:space="0"/>
                  </w:tcBorders>
                  <w:vAlign w:val="center"/>
                </w:tcPr>
                <w:p w14:paraId="270718B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25" w:type="dxa"/>
                  <w:tcBorders>
                    <w:top w:val="single" w:color="auto" w:sz="4" w:space="0"/>
                    <w:left w:val="single" w:color="auto" w:sz="4" w:space="0"/>
                    <w:bottom w:val="single" w:color="auto" w:sz="4" w:space="0"/>
                    <w:right w:val="single" w:color="auto" w:sz="4" w:space="0"/>
                  </w:tcBorders>
                  <w:vAlign w:val="center"/>
                </w:tcPr>
                <w:p w14:paraId="2C087BF4">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375" w:type="dxa"/>
                  <w:tcBorders>
                    <w:top w:val="single" w:color="auto" w:sz="4" w:space="0"/>
                    <w:left w:val="single" w:color="auto" w:sz="4" w:space="0"/>
                    <w:bottom w:val="single" w:color="auto" w:sz="4" w:space="0"/>
                    <w:right w:val="single" w:color="auto" w:sz="4" w:space="0"/>
                  </w:tcBorders>
                  <w:vAlign w:val="center"/>
                </w:tcPr>
                <w:p w14:paraId="2D6262E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465" w:type="dxa"/>
                  <w:tcBorders>
                    <w:top w:val="single" w:color="auto" w:sz="4" w:space="0"/>
                    <w:left w:val="single" w:color="auto" w:sz="4" w:space="0"/>
                    <w:bottom w:val="single" w:color="auto" w:sz="4" w:space="0"/>
                    <w:right w:val="single" w:color="auto" w:sz="4" w:space="0"/>
                  </w:tcBorders>
                  <w:vAlign w:val="center"/>
                </w:tcPr>
                <w:p w14:paraId="6AFFF8CA">
                  <w:pPr>
                    <w:keepNext w:val="0"/>
                    <w:keepLines w:val="0"/>
                    <w:widowControl/>
                    <w:suppressLineNumbers w:val="0"/>
                    <w:jc w:val="center"/>
                    <w:textAlignment w:val="center"/>
                    <w:rPr>
                      <w:rFonts w:hint="eastAsia" w:ascii="宋体" w:hAnsi="宋体" w:eastAsia="宋体" w:cs="宋体"/>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598" w:type="dxa"/>
                  <w:tcBorders>
                    <w:top w:val="single" w:color="auto" w:sz="4" w:space="0"/>
                    <w:left w:val="single" w:color="auto" w:sz="4" w:space="0"/>
                    <w:bottom w:val="single" w:color="auto" w:sz="4" w:space="0"/>
                    <w:right w:val="single" w:color="auto" w:sz="4" w:space="0"/>
                  </w:tcBorders>
                  <w:vAlign w:val="center"/>
                </w:tcPr>
                <w:p w14:paraId="22BBA22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微量</w:t>
                  </w:r>
                </w:p>
              </w:tc>
              <w:tc>
                <w:tcPr>
                  <w:tcW w:w="490" w:type="dxa"/>
                  <w:tcBorders>
                    <w:top w:val="single" w:color="auto" w:sz="4" w:space="0"/>
                    <w:left w:val="single" w:color="auto" w:sz="4" w:space="0"/>
                    <w:bottom w:val="single" w:color="auto" w:sz="4" w:space="0"/>
                    <w:right w:val="single" w:color="auto" w:sz="4" w:space="0"/>
                  </w:tcBorders>
                  <w:vAlign w:val="center"/>
                </w:tcPr>
                <w:p w14:paraId="5A40404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＜2000无量纲</w:t>
                  </w:r>
                </w:p>
              </w:tc>
              <w:tc>
                <w:tcPr>
                  <w:tcW w:w="500" w:type="dxa"/>
                  <w:tcBorders>
                    <w:top w:val="single" w:color="auto" w:sz="4" w:space="0"/>
                    <w:left w:val="single" w:color="auto" w:sz="4" w:space="0"/>
                    <w:bottom w:val="single" w:color="auto" w:sz="4" w:space="0"/>
                    <w:right w:val="single" w:color="auto" w:sz="4" w:space="0"/>
                  </w:tcBorders>
                  <w:vAlign w:val="center"/>
                </w:tcPr>
                <w:p w14:paraId="562B0F5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365" w:type="dxa"/>
                  <w:vMerge w:val="continue"/>
                  <w:tcBorders>
                    <w:left w:val="single" w:color="auto" w:sz="4" w:space="0"/>
                    <w:right w:val="single" w:color="auto" w:sz="4" w:space="0"/>
                  </w:tcBorders>
                  <w:vAlign w:val="center"/>
                </w:tcPr>
                <w:p w14:paraId="34C7F4DA">
                  <w:pPr>
                    <w:spacing w:line="240" w:lineRule="auto"/>
                    <w:jc w:val="center"/>
                    <w:rPr>
                      <w:rFonts w:hint="eastAsia" w:cs="Times New Roman"/>
                      <w:sz w:val="18"/>
                      <w:szCs w:val="18"/>
                      <w:lang w:val="en-US" w:eastAsia="zh-CN"/>
                    </w:rPr>
                  </w:pPr>
                </w:p>
              </w:tc>
              <w:tc>
                <w:tcPr>
                  <w:tcW w:w="341" w:type="dxa"/>
                  <w:vMerge w:val="continue"/>
                  <w:tcBorders>
                    <w:left w:val="single" w:color="auto" w:sz="4" w:space="0"/>
                    <w:right w:val="single" w:color="auto" w:sz="4" w:space="0"/>
                  </w:tcBorders>
                  <w:vAlign w:val="center"/>
                </w:tcPr>
                <w:p w14:paraId="6366C3F3">
                  <w:pPr>
                    <w:spacing w:line="240" w:lineRule="auto"/>
                    <w:jc w:val="center"/>
                    <w:rPr>
                      <w:rFonts w:hint="eastAsia" w:cs="Times New Roman"/>
                      <w:sz w:val="18"/>
                      <w:szCs w:val="18"/>
                      <w:lang w:val="en-US" w:eastAsia="zh-CN"/>
                    </w:rPr>
                  </w:pPr>
                </w:p>
              </w:tc>
            </w:tr>
            <w:tr w14:paraId="24E351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2AD93296">
                  <w:pPr>
                    <w:spacing w:line="240" w:lineRule="auto"/>
                    <w:jc w:val="center"/>
                    <w:rPr>
                      <w:rFonts w:hint="eastAsia" w:cs="Times New Roman"/>
                      <w:bCs/>
                      <w:sz w:val="18"/>
                      <w:szCs w:val="18"/>
                      <w:lang w:eastAsia="zh-CN"/>
                    </w:rPr>
                  </w:pPr>
                </w:p>
              </w:tc>
              <w:tc>
                <w:tcPr>
                  <w:tcW w:w="560" w:type="dxa"/>
                  <w:tcBorders>
                    <w:left w:val="single" w:color="auto" w:sz="4" w:space="0"/>
                    <w:right w:val="single" w:color="auto" w:sz="4" w:space="0"/>
                  </w:tcBorders>
                  <w:vAlign w:val="center"/>
                </w:tcPr>
                <w:p w14:paraId="329B0A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VOCs</w:t>
                  </w:r>
                </w:p>
              </w:tc>
              <w:tc>
                <w:tcPr>
                  <w:tcW w:w="630" w:type="dxa"/>
                  <w:tcBorders>
                    <w:left w:val="single" w:color="auto" w:sz="4" w:space="0"/>
                    <w:right w:val="single" w:color="auto" w:sz="4" w:space="0"/>
                  </w:tcBorders>
                  <w:vAlign w:val="center"/>
                </w:tcPr>
                <w:p w14:paraId="63ADD9C5">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735" w:type="dxa"/>
                  <w:tcBorders>
                    <w:top w:val="single" w:color="auto" w:sz="4" w:space="0"/>
                    <w:left w:val="single" w:color="auto" w:sz="4" w:space="0"/>
                    <w:bottom w:val="single" w:color="auto" w:sz="4" w:space="0"/>
                    <w:right w:val="single" w:color="auto" w:sz="4" w:space="0"/>
                  </w:tcBorders>
                  <w:vAlign w:val="center"/>
                </w:tcPr>
                <w:p w14:paraId="403A8253">
                  <w:pPr>
                    <w:keepNext w:val="0"/>
                    <w:keepLines w:val="0"/>
                    <w:widowControl/>
                    <w:suppressLineNumbers w:val="0"/>
                    <w:jc w:val="center"/>
                    <w:textAlignment w:val="center"/>
                    <w:rPr>
                      <w:rFonts w:hint="default" w:ascii="Times New Roman" w:hAnsi="Times New Roman"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w:t>
                  </w:r>
                  <w:r>
                    <w:rPr>
                      <w:rFonts w:hint="eastAsia" w:cs="Times New Roman"/>
                      <w:i w:val="0"/>
                      <w:iCs w:val="0"/>
                      <w:color w:val="000000"/>
                      <w:kern w:val="0"/>
                      <w:sz w:val="18"/>
                      <w:szCs w:val="18"/>
                      <w:u w:val="none"/>
                      <w:lang w:val="en-US" w:eastAsia="zh-CN" w:bidi="ar"/>
                    </w:rPr>
                    <w:t>701</w:t>
                  </w:r>
                </w:p>
              </w:tc>
              <w:tc>
                <w:tcPr>
                  <w:tcW w:w="645" w:type="dxa"/>
                  <w:tcBorders>
                    <w:top w:val="single" w:color="auto" w:sz="4" w:space="0"/>
                    <w:left w:val="single" w:color="auto" w:sz="4" w:space="0"/>
                    <w:bottom w:val="single" w:color="auto" w:sz="4" w:space="0"/>
                    <w:right w:val="single" w:color="auto" w:sz="4" w:space="0"/>
                  </w:tcBorders>
                  <w:vAlign w:val="center"/>
                </w:tcPr>
                <w:p w14:paraId="21CD7802">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1954CF8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0.058</w:t>
                  </w:r>
                  <w:r>
                    <w:rPr>
                      <w:rFonts w:hint="eastAsia" w:cs="Times New Roman"/>
                      <w:i w:val="0"/>
                      <w:iCs w:val="0"/>
                      <w:color w:val="000000"/>
                      <w:kern w:val="0"/>
                      <w:sz w:val="18"/>
                      <w:szCs w:val="18"/>
                      <w:u w:val="none"/>
                      <w:lang w:val="en-US" w:eastAsia="zh-CN" w:bidi="ar"/>
                    </w:rPr>
                    <w:t>4</w:t>
                  </w:r>
                </w:p>
              </w:tc>
              <w:tc>
                <w:tcPr>
                  <w:tcW w:w="600" w:type="dxa"/>
                  <w:tcBorders>
                    <w:top w:val="single" w:color="auto" w:sz="4" w:space="0"/>
                    <w:left w:val="single" w:color="auto" w:sz="4" w:space="0"/>
                    <w:bottom w:val="single" w:color="auto" w:sz="4" w:space="0"/>
                    <w:right w:val="single" w:color="auto" w:sz="4" w:space="0"/>
                  </w:tcBorders>
                  <w:vAlign w:val="center"/>
                </w:tcPr>
                <w:p w14:paraId="0CDF7D17">
                  <w:pPr>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5BAE8FFD">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4FD6AC2F">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0F9AB788">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6A4F4399">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0751D7F2">
                  <w:pPr>
                    <w:keepNext w:val="0"/>
                    <w:keepLines w:val="0"/>
                    <w:widowControl/>
                    <w:suppressLineNumbers w:val="0"/>
                    <w:jc w:val="center"/>
                    <w:textAlignment w:val="center"/>
                    <w:rPr>
                      <w:rFonts w:hint="default" w:ascii="Times New Roman" w:hAnsi="Times New Roman"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w:t>
                  </w:r>
                  <w:r>
                    <w:rPr>
                      <w:rFonts w:hint="eastAsia" w:cs="Times New Roman"/>
                      <w:i w:val="0"/>
                      <w:iCs w:val="0"/>
                      <w:color w:val="000000"/>
                      <w:kern w:val="0"/>
                      <w:sz w:val="18"/>
                      <w:szCs w:val="18"/>
                      <w:u w:val="none"/>
                      <w:lang w:val="en-US" w:eastAsia="zh-CN" w:bidi="ar"/>
                    </w:rPr>
                    <w:t>701</w:t>
                  </w:r>
                </w:p>
              </w:tc>
              <w:tc>
                <w:tcPr>
                  <w:tcW w:w="490" w:type="dxa"/>
                  <w:tcBorders>
                    <w:top w:val="single" w:color="auto" w:sz="4" w:space="0"/>
                    <w:left w:val="single" w:color="auto" w:sz="4" w:space="0"/>
                    <w:bottom w:val="single" w:color="auto" w:sz="4" w:space="0"/>
                    <w:right w:val="single" w:color="auto" w:sz="4" w:space="0"/>
                  </w:tcBorders>
                  <w:vAlign w:val="center"/>
                </w:tcPr>
                <w:p w14:paraId="3137A9E2">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00" w:type="dxa"/>
                  <w:tcBorders>
                    <w:top w:val="single" w:color="auto" w:sz="4" w:space="0"/>
                    <w:left w:val="single" w:color="auto" w:sz="4" w:space="0"/>
                    <w:bottom w:val="single" w:color="auto" w:sz="4" w:space="0"/>
                    <w:right w:val="single" w:color="auto" w:sz="4" w:space="0"/>
                  </w:tcBorders>
                  <w:vAlign w:val="center"/>
                </w:tcPr>
                <w:p w14:paraId="460CBFD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0.058</w:t>
                  </w:r>
                  <w:r>
                    <w:rPr>
                      <w:rFonts w:hint="eastAsia" w:cs="Times New Roman"/>
                      <w:i w:val="0"/>
                      <w:iCs w:val="0"/>
                      <w:color w:val="000000"/>
                      <w:kern w:val="0"/>
                      <w:sz w:val="18"/>
                      <w:szCs w:val="18"/>
                      <w:u w:val="none"/>
                      <w:lang w:val="en-US" w:eastAsia="zh-CN" w:bidi="ar"/>
                    </w:rPr>
                    <w:t>4</w:t>
                  </w:r>
                </w:p>
              </w:tc>
              <w:tc>
                <w:tcPr>
                  <w:tcW w:w="365" w:type="dxa"/>
                  <w:vMerge w:val="continue"/>
                  <w:tcBorders>
                    <w:left w:val="single" w:color="auto" w:sz="4" w:space="0"/>
                    <w:right w:val="single" w:color="auto" w:sz="4" w:space="0"/>
                  </w:tcBorders>
                  <w:vAlign w:val="center"/>
                </w:tcPr>
                <w:p w14:paraId="66D15DCB">
                  <w:pPr>
                    <w:spacing w:line="240" w:lineRule="auto"/>
                    <w:jc w:val="center"/>
                    <w:rPr>
                      <w:rFonts w:hint="eastAsia" w:cs="Times New Roman"/>
                      <w:sz w:val="18"/>
                      <w:szCs w:val="18"/>
                      <w:lang w:val="en-US" w:eastAsia="zh-CN"/>
                    </w:rPr>
                  </w:pPr>
                </w:p>
              </w:tc>
              <w:tc>
                <w:tcPr>
                  <w:tcW w:w="341" w:type="dxa"/>
                  <w:vMerge w:val="restart"/>
                  <w:tcBorders>
                    <w:left w:val="single" w:color="auto" w:sz="4" w:space="0"/>
                    <w:right w:val="single" w:color="auto" w:sz="4" w:space="0"/>
                  </w:tcBorders>
                  <w:vAlign w:val="center"/>
                </w:tcPr>
                <w:p w14:paraId="25A923F4">
                  <w:pPr>
                    <w:spacing w:line="240" w:lineRule="auto"/>
                    <w:jc w:val="center"/>
                    <w:rPr>
                      <w:rFonts w:hint="eastAsia" w:cs="Times New Roman"/>
                      <w:sz w:val="18"/>
                      <w:szCs w:val="18"/>
                      <w:lang w:val="en-US" w:eastAsia="zh-CN"/>
                    </w:rPr>
                  </w:pPr>
                  <w:r>
                    <w:rPr>
                      <w:rFonts w:hint="eastAsia" w:cs="Times New Roman"/>
                      <w:sz w:val="18"/>
                      <w:szCs w:val="18"/>
                      <w:lang w:val="en-US" w:eastAsia="zh-CN"/>
                    </w:rPr>
                    <w:t>无组织</w:t>
                  </w:r>
                </w:p>
              </w:tc>
            </w:tr>
            <w:tr w14:paraId="4A8E6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73E28869">
                  <w:pPr>
                    <w:spacing w:line="240" w:lineRule="auto"/>
                    <w:jc w:val="center"/>
                    <w:rPr>
                      <w:rFonts w:hint="eastAsia" w:cs="Times New Roman"/>
                      <w:bCs/>
                      <w:sz w:val="18"/>
                      <w:szCs w:val="18"/>
                      <w:lang w:eastAsia="zh-CN"/>
                    </w:rPr>
                  </w:pPr>
                </w:p>
              </w:tc>
              <w:tc>
                <w:tcPr>
                  <w:tcW w:w="560" w:type="dxa"/>
                  <w:tcBorders>
                    <w:left w:val="single" w:color="auto" w:sz="4" w:space="0"/>
                    <w:right w:val="single" w:color="auto" w:sz="4" w:space="0"/>
                  </w:tcBorders>
                  <w:vAlign w:val="center"/>
                </w:tcPr>
                <w:p w14:paraId="5113E09B">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苯乙烯</w:t>
                  </w:r>
                </w:p>
              </w:tc>
              <w:tc>
                <w:tcPr>
                  <w:tcW w:w="630" w:type="dxa"/>
                  <w:tcBorders>
                    <w:left w:val="single" w:color="auto" w:sz="4" w:space="0"/>
                    <w:right w:val="single" w:color="auto" w:sz="4" w:space="0"/>
                  </w:tcBorders>
                  <w:vAlign w:val="center"/>
                </w:tcPr>
                <w:p w14:paraId="5E3F80C4">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735" w:type="dxa"/>
                  <w:tcBorders>
                    <w:top w:val="single" w:color="auto" w:sz="4" w:space="0"/>
                    <w:left w:val="single" w:color="auto" w:sz="4" w:space="0"/>
                    <w:bottom w:val="single" w:color="auto" w:sz="4" w:space="0"/>
                    <w:right w:val="single" w:color="auto" w:sz="4" w:space="0"/>
                  </w:tcBorders>
                  <w:vAlign w:val="center"/>
                </w:tcPr>
                <w:p w14:paraId="7C61DD86">
                  <w:pPr>
                    <w:keepNext w:val="0"/>
                    <w:keepLines w:val="0"/>
                    <w:widowControl/>
                    <w:suppressLineNumbers w:val="0"/>
                    <w:jc w:val="center"/>
                    <w:textAlignment w:val="center"/>
                    <w:rPr>
                      <w:rFonts w:hint="default" w:ascii="Times New Roman" w:hAnsi="Times New Roman"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0.043</w:t>
                  </w:r>
                  <w:r>
                    <w:rPr>
                      <w:rFonts w:hint="eastAsia" w:cs="Times New Roman"/>
                      <w:i w:val="0"/>
                      <w:iCs w:val="0"/>
                      <w:color w:val="000000"/>
                      <w:kern w:val="0"/>
                      <w:sz w:val="18"/>
                      <w:szCs w:val="18"/>
                      <w:u w:val="none"/>
                      <w:lang w:val="en-US" w:eastAsia="zh-CN" w:bidi="ar"/>
                    </w:rPr>
                    <w:t>1</w:t>
                  </w:r>
                </w:p>
              </w:tc>
              <w:tc>
                <w:tcPr>
                  <w:tcW w:w="645" w:type="dxa"/>
                  <w:tcBorders>
                    <w:top w:val="single" w:color="auto" w:sz="4" w:space="0"/>
                    <w:left w:val="single" w:color="auto" w:sz="4" w:space="0"/>
                    <w:bottom w:val="single" w:color="auto" w:sz="4" w:space="0"/>
                    <w:right w:val="single" w:color="auto" w:sz="4" w:space="0"/>
                  </w:tcBorders>
                  <w:vAlign w:val="center"/>
                </w:tcPr>
                <w:p w14:paraId="4CE1FFC4">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bottom w:val="single" w:color="auto" w:sz="4" w:space="0"/>
                    <w:right w:val="single" w:color="auto" w:sz="4" w:space="0"/>
                  </w:tcBorders>
                  <w:vAlign w:val="center"/>
                </w:tcPr>
                <w:p w14:paraId="26231DB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0.035</w:t>
                  </w:r>
                  <w:r>
                    <w:rPr>
                      <w:rFonts w:hint="eastAsia" w:cs="Times New Roman"/>
                      <w:i w:val="0"/>
                      <w:iCs w:val="0"/>
                      <w:color w:val="000000"/>
                      <w:kern w:val="0"/>
                      <w:sz w:val="18"/>
                      <w:szCs w:val="18"/>
                      <w:u w:val="none"/>
                      <w:lang w:val="en-US" w:eastAsia="zh-CN" w:bidi="ar"/>
                    </w:rPr>
                    <w:t>9</w:t>
                  </w:r>
                </w:p>
              </w:tc>
              <w:tc>
                <w:tcPr>
                  <w:tcW w:w="600" w:type="dxa"/>
                  <w:tcBorders>
                    <w:top w:val="single" w:color="auto" w:sz="4" w:space="0"/>
                    <w:left w:val="single" w:color="auto" w:sz="4" w:space="0"/>
                    <w:bottom w:val="single" w:color="auto" w:sz="4" w:space="0"/>
                    <w:right w:val="single" w:color="auto" w:sz="4" w:space="0"/>
                  </w:tcBorders>
                  <w:vAlign w:val="center"/>
                </w:tcPr>
                <w:p w14:paraId="1EC399FF">
                  <w:pPr>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495" w:type="dxa"/>
                  <w:tcBorders>
                    <w:top w:val="single" w:color="auto" w:sz="4" w:space="0"/>
                    <w:left w:val="single" w:color="auto" w:sz="4" w:space="0"/>
                    <w:bottom w:val="single" w:color="auto" w:sz="4" w:space="0"/>
                    <w:right w:val="single" w:color="auto" w:sz="4" w:space="0"/>
                  </w:tcBorders>
                  <w:vAlign w:val="center"/>
                </w:tcPr>
                <w:p w14:paraId="72BB3781">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25" w:type="dxa"/>
                  <w:tcBorders>
                    <w:top w:val="single" w:color="auto" w:sz="4" w:space="0"/>
                    <w:left w:val="single" w:color="auto" w:sz="4" w:space="0"/>
                    <w:bottom w:val="single" w:color="auto" w:sz="4" w:space="0"/>
                    <w:right w:val="single" w:color="auto" w:sz="4" w:space="0"/>
                  </w:tcBorders>
                  <w:vAlign w:val="center"/>
                </w:tcPr>
                <w:p w14:paraId="6DC14148">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375" w:type="dxa"/>
                  <w:tcBorders>
                    <w:top w:val="single" w:color="auto" w:sz="4" w:space="0"/>
                    <w:left w:val="single" w:color="auto" w:sz="4" w:space="0"/>
                    <w:bottom w:val="single" w:color="auto" w:sz="4" w:space="0"/>
                    <w:right w:val="single" w:color="auto" w:sz="4" w:space="0"/>
                  </w:tcBorders>
                  <w:vAlign w:val="center"/>
                </w:tcPr>
                <w:p w14:paraId="09042629">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465" w:type="dxa"/>
                  <w:tcBorders>
                    <w:top w:val="single" w:color="auto" w:sz="4" w:space="0"/>
                    <w:left w:val="single" w:color="auto" w:sz="4" w:space="0"/>
                    <w:bottom w:val="single" w:color="auto" w:sz="4" w:space="0"/>
                    <w:right w:val="single" w:color="auto" w:sz="4" w:space="0"/>
                  </w:tcBorders>
                  <w:vAlign w:val="center"/>
                </w:tcPr>
                <w:p w14:paraId="2AB30CD9">
                  <w:pPr>
                    <w:jc w:val="center"/>
                    <w:rPr>
                      <w:rFonts w:hint="default" w:ascii="Times New Roman" w:hAnsi="Times New Roman" w:eastAsia="宋体" w:cs="Times New Roman"/>
                      <w:sz w:val="18"/>
                      <w:szCs w:val="18"/>
                      <w:lang w:val="en-US" w:eastAsia="zh-CN"/>
                    </w:rPr>
                  </w:pPr>
                  <w:r>
                    <w:rPr>
                      <w:rFonts w:hint="default" w:ascii="Times New Roman" w:hAnsi="Times New Roman" w:eastAsia="宋体"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0CA09D69">
                  <w:pPr>
                    <w:keepNext w:val="0"/>
                    <w:keepLines w:val="0"/>
                    <w:widowControl/>
                    <w:suppressLineNumbers w:val="0"/>
                    <w:jc w:val="center"/>
                    <w:textAlignment w:val="center"/>
                    <w:rPr>
                      <w:rFonts w:hint="default" w:ascii="Times New Roman" w:hAnsi="Times New Roman"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0.043</w:t>
                  </w:r>
                  <w:r>
                    <w:rPr>
                      <w:rFonts w:hint="eastAsia" w:cs="Times New Roman"/>
                      <w:i w:val="0"/>
                      <w:iCs w:val="0"/>
                      <w:color w:val="000000"/>
                      <w:kern w:val="0"/>
                      <w:sz w:val="18"/>
                      <w:szCs w:val="18"/>
                      <w:u w:val="none"/>
                      <w:lang w:val="en-US" w:eastAsia="zh-CN" w:bidi="ar"/>
                    </w:rPr>
                    <w:t>1</w:t>
                  </w:r>
                </w:p>
              </w:tc>
              <w:tc>
                <w:tcPr>
                  <w:tcW w:w="490" w:type="dxa"/>
                  <w:tcBorders>
                    <w:top w:val="single" w:color="auto" w:sz="4" w:space="0"/>
                    <w:left w:val="single" w:color="auto" w:sz="4" w:space="0"/>
                    <w:bottom w:val="single" w:color="auto" w:sz="4" w:space="0"/>
                    <w:right w:val="single" w:color="auto" w:sz="4" w:space="0"/>
                  </w:tcBorders>
                  <w:vAlign w:val="center"/>
                </w:tcPr>
                <w:p w14:paraId="40C015D9">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ascii="Times New Roman" w:hAnsi="Times New Roman" w:eastAsia="宋体" w:cs="Times New Roman"/>
                      <w:i w:val="0"/>
                      <w:iCs w:val="0"/>
                      <w:color w:val="000000"/>
                      <w:kern w:val="0"/>
                      <w:sz w:val="18"/>
                      <w:szCs w:val="18"/>
                      <w:u w:val="none"/>
                      <w:lang w:val="en-US" w:eastAsia="zh-CN" w:bidi="ar"/>
                    </w:rPr>
                    <w:t>/</w:t>
                  </w:r>
                </w:p>
              </w:tc>
              <w:tc>
                <w:tcPr>
                  <w:tcW w:w="500" w:type="dxa"/>
                  <w:tcBorders>
                    <w:top w:val="single" w:color="auto" w:sz="4" w:space="0"/>
                    <w:left w:val="single" w:color="auto" w:sz="4" w:space="0"/>
                    <w:bottom w:val="single" w:color="auto" w:sz="4" w:space="0"/>
                    <w:right w:val="single" w:color="auto" w:sz="4" w:space="0"/>
                  </w:tcBorders>
                  <w:vAlign w:val="center"/>
                </w:tcPr>
                <w:p w14:paraId="79C7444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default" w:ascii="Times New Roman" w:hAnsi="Times New Roman" w:eastAsia="宋体" w:cs="Times New Roman"/>
                      <w:i w:val="0"/>
                      <w:iCs w:val="0"/>
                      <w:color w:val="000000"/>
                      <w:kern w:val="0"/>
                      <w:sz w:val="18"/>
                      <w:szCs w:val="18"/>
                      <w:u w:val="none"/>
                      <w:lang w:val="en-US" w:eastAsia="zh-CN" w:bidi="ar"/>
                    </w:rPr>
                    <w:t>0.035</w:t>
                  </w:r>
                  <w:r>
                    <w:rPr>
                      <w:rFonts w:hint="eastAsia" w:cs="Times New Roman"/>
                      <w:i w:val="0"/>
                      <w:iCs w:val="0"/>
                      <w:color w:val="000000"/>
                      <w:kern w:val="0"/>
                      <w:sz w:val="18"/>
                      <w:szCs w:val="18"/>
                      <w:u w:val="none"/>
                      <w:lang w:val="en-US" w:eastAsia="zh-CN" w:bidi="ar"/>
                    </w:rPr>
                    <w:t>9</w:t>
                  </w:r>
                </w:p>
              </w:tc>
              <w:tc>
                <w:tcPr>
                  <w:tcW w:w="365" w:type="dxa"/>
                  <w:vMerge w:val="continue"/>
                  <w:tcBorders>
                    <w:left w:val="single" w:color="auto" w:sz="4" w:space="0"/>
                    <w:right w:val="single" w:color="auto" w:sz="4" w:space="0"/>
                  </w:tcBorders>
                  <w:vAlign w:val="center"/>
                </w:tcPr>
                <w:p w14:paraId="3C2D1786">
                  <w:pPr>
                    <w:spacing w:line="240" w:lineRule="auto"/>
                    <w:jc w:val="center"/>
                    <w:rPr>
                      <w:rFonts w:hint="eastAsia" w:cs="Times New Roman"/>
                      <w:sz w:val="18"/>
                      <w:szCs w:val="18"/>
                      <w:lang w:val="en-US" w:eastAsia="zh-CN"/>
                    </w:rPr>
                  </w:pPr>
                </w:p>
              </w:tc>
              <w:tc>
                <w:tcPr>
                  <w:tcW w:w="341" w:type="dxa"/>
                  <w:vMerge w:val="continue"/>
                  <w:tcBorders>
                    <w:left w:val="single" w:color="auto" w:sz="4" w:space="0"/>
                    <w:right w:val="single" w:color="auto" w:sz="4" w:space="0"/>
                  </w:tcBorders>
                  <w:vAlign w:val="center"/>
                </w:tcPr>
                <w:p w14:paraId="70EA530E">
                  <w:pPr>
                    <w:spacing w:line="240" w:lineRule="auto"/>
                    <w:jc w:val="center"/>
                    <w:rPr>
                      <w:rFonts w:hint="eastAsia" w:cs="Times New Roman"/>
                      <w:sz w:val="18"/>
                      <w:szCs w:val="18"/>
                      <w:lang w:val="en-US" w:eastAsia="zh-CN"/>
                    </w:rPr>
                  </w:pPr>
                </w:p>
              </w:tc>
            </w:tr>
            <w:tr w14:paraId="4E98A3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1" w:hRule="atLeast"/>
                <w:jc w:val="center"/>
              </w:trPr>
              <w:tc>
                <w:tcPr>
                  <w:tcW w:w="384" w:type="dxa"/>
                  <w:vMerge w:val="continue"/>
                  <w:tcBorders>
                    <w:left w:val="single" w:color="auto" w:sz="4" w:space="0"/>
                    <w:right w:val="single" w:color="auto" w:sz="4" w:space="0"/>
                  </w:tcBorders>
                  <w:vAlign w:val="center"/>
                </w:tcPr>
                <w:p w14:paraId="7319C0A3">
                  <w:pPr>
                    <w:spacing w:line="240" w:lineRule="auto"/>
                    <w:jc w:val="center"/>
                    <w:rPr>
                      <w:rFonts w:hint="eastAsia" w:cs="Times New Roman"/>
                      <w:bCs/>
                      <w:sz w:val="18"/>
                      <w:szCs w:val="18"/>
                      <w:lang w:eastAsia="zh-CN"/>
                    </w:rPr>
                  </w:pPr>
                </w:p>
              </w:tc>
              <w:tc>
                <w:tcPr>
                  <w:tcW w:w="560" w:type="dxa"/>
                  <w:tcBorders>
                    <w:left w:val="single" w:color="auto" w:sz="4" w:space="0"/>
                    <w:bottom w:val="single" w:color="auto" w:sz="4" w:space="0"/>
                    <w:right w:val="single" w:color="auto" w:sz="4" w:space="0"/>
                  </w:tcBorders>
                  <w:vAlign w:val="center"/>
                </w:tcPr>
                <w:p w14:paraId="0D5EF1A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臭气浓度</w:t>
                  </w:r>
                </w:p>
              </w:tc>
              <w:tc>
                <w:tcPr>
                  <w:tcW w:w="630" w:type="dxa"/>
                  <w:tcBorders>
                    <w:left w:val="single" w:color="auto" w:sz="4" w:space="0"/>
                    <w:bottom w:val="single" w:color="auto" w:sz="4" w:space="0"/>
                    <w:right w:val="single" w:color="auto" w:sz="4" w:space="0"/>
                  </w:tcBorders>
                  <w:vAlign w:val="center"/>
                </w:tcPr>
                <w:p w14:paraId="5BABD162">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735" w:type="dxa"/>
                  <w:tcBorders>
                    <w:top w:val="single" w:color="auto" w:sz="4" w:space="0"/>
                    <w:left w:val="single" w:color="auto" w:sz="4" w:space="0"/>
                    <w:bottom w:val="single" w:color="auto" w:sz="4" w:space="0"/>
                    <w:right w:val="single" w:color="auto" w:sz="4" w:space="0"/>
                  </w:tcBorders>
                  <w:vAlign w:val="center"/>
                </w:tcPr>
                <w:p w14:paraId="00B5813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45" w:type="dxa"/>
                  <w:tcBorders>
                    <w:top w:val="single" w:color="auto" w:sz="4" w:space="0"/>
                    <w:left w:val="single" w:color="auto" w:sz="4" w:space="0"/>
                    <w:bottom w:val="single" w:color="auto" w:sz="4" w:space="0"/>
                    <w:right w:val="single" w:color="auto" w:sz="4" w:space="0"/>
                  </w:tcBorders>
                  <w:vAlign w:val="center"/>
                </w:tcPr>
                <w:p w14:paraId="58C63CB7">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60" w:type="dxa"/>
                  <w:tcBorders>
                    <w:top w:val="single" w:color="auto" w:sz="4" w:space="0"/>
                    <w:left w:val="single" w:color="auto" w:sz="4" w:space="0"/>
                    <w:right w:val="single" w:color="auto" w:sz="4" w:space="0"/>
                  </w:tcBorders>
                  <w:vAlign w:val="center"/>
                </w:tcPr>
                <w:p w14:paraId="721E717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600" w:type="dxa"/>
                  <w:tcBorders>
                    <w:top w:val="single" w:color="auto" w:sz="4" w:space="0"/>
                    <w:left w:val="single" w:color="auto" w:sz="4" w:space="0"/>
                    <w:right w:val="single" w:color="auto" w:sz="4" w:space="0"/>
                  </w:tcBorders>
                  <w:vAlign w:val="center"/>
                </w:tcPr>
                <w:p w14:paraId="4DA46D0F">
                  <w:pPr>
                    <w:jc w:val="center"/>
                    <w:rPr>
                      <w:rFonts w:hint="default" w:ascii="Times New Roman" w:hAnsi="Times New Roman" w:cs="Times New Roman"/>
                      <w:sz w:val="18"/>
                      <w:szCs w:val="18"/>
                      <w:lang w:val="en-US" w:eastAsia="zh-CN"/>
                    </w:rPr>
                  </w:pPr>
                  <w:r>
                    <w:rPr>
                      <w:rFonts w:hint="eastAsia" w:cs="Times New Roman"/>
                      <w:sz w:val="18"/>
                      <w:szCs w:val="18"/>
                      <w:lang w:val="en-US" w:eastAsia="zh-CN"/>
                    </w:rPr>
                    <w:t>/</w:t>
                  </w:r>
                </w:p>
              </w:tc>
              <w:tc>
                <w:tcPr>
                  <w:tcW w:w="495" w:type="dxa"/>
                  <w:tcBorders>
                    <w:top w:val="single" w:color="auto" w:sz="4" w:space="0"/>
                    <w:left w:val="single" w:color="auto" w:sz="4" w:space="0"/>
                    <w:right w:val="single" w:color="auto" w:sz="4" w:space="0"/>
                  </w:tcBorders>
                  <w:vAlign w:val="center"/>
                </w:tcPr>
                <w:p w14:paraId="19B490C2">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25" w:type="dxa"/>
                  <w:tcBorders>
                    <w:top w:val="single" w:color="auto" w:sz="4" w:space="0"/>
                    <w:left w:val="single" w:color="auto" w:sz="4" w:space="0"/>
                    <w:right w:val="single" w:color="auto" w:sz="4" w:space="0"/>
                  </w:tcBorders>
                  <w:vAlign w:val="center"/>
                </w:tcPr>
                <w:p w14:paraId="71F4DC16">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375" w:type="dxa"/>
                  <w:tcBorders>
                    <w:top w:val="single" w:color="auto" w:sz="4" w:space="0"/>
                    <w:left w:val="single" w:color="auto" w:sz="4" w:space="0"/>
                    <w:right w:val="single" w:color="auto" w:sz="4" w:space="0"/>
                  </w:tcBorders>
                  <w:vAlign w:val="center"/>
                </w:tcPr>
                <w:p w14:paraId="070B753A">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465" w:type="dxa"/>
                  <w:tcBorders>
                    <w:top w:val="single" w:color="auto" w:sz="4" w:space="0"/>
                    <w:left w:val="single" w:color="auto" w:sz="4" w:space="0"/>
                    <w:right w:val="single" w:color="auto" w:sz="4" w:space="0"/>
                  </w:tcBorders>
                  <w:vAlign w:val="center"/>
                </w:tcPr>
                <w:p w14:paraId="12379313">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c>
                <w:tcPr>
                  <w:tcW w:w="598" w:type="dxa"/>
                  <w:tcBorders>
                    <w:top w:val="single" w:color="auto" w:sz="4" w:space="0"/>
                    <w:left w:val="single" w:color="auto" w:sz="4" w:space="0"/>
                    <w:bottom w:val="single" w:color="auto" w:sz="4" w:space="0"/>
                    <w:right w:val="single" w:color="auto" w:sz="4" w:space="0"/>
                  </w:tcBorders>
                  <w:vAlign w:val="center"/>
                </w:tcPr>
                <w:p w14:paraId="3F6CFF1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微量</w:t>
                  </w:r>
                </w:p>
              </w:tc>
              <w:tc>
                <w:tcPr>
                  <w:tcW w:w="490" w:type="dxa"/>
                  <w:tcBorders>
                    <w:top w:val="single" w:color="auto" w:sz="4" w:space="0"/>
                    <w:left w:val="single" w:color="auto" w:sz="4" w:space="0"/>
                    <w:bottom w:val="single" w:color="auto" w:sz="4" w:space="0"/>
                    <w:right w:val="single" w:color="auto" w:sz="4" w:space="0"/>
                  </w:tcBorders>
                  <w:vAlign w:val="center"/>
                </w:tcPr>
                <w:p w14:paraId="53BA5497">
                  <w:pPr>
                    <w:jc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＜20无量纲</w:t>
                  </w:r>
                </w:p>
              </w:tc>
              <w:tc>
                <w:tcPr>
                  <w:tcW w:w="500" w:type="dxa"/>
                  <w:tcBorders>
                    <w:top w:val="single" w:color="auto" w:sz="4" w:space="0"/>
                    <w:left w:val="single" w:color="auto" w:sz="4" w:space="0"/>
                    <w:bottom w:val="single" w:color="auto" w:sz="4" w:space="0"/>
                    <w:right w:val="single" w:color="auto" w:sz="4" w:space="0"/>
                  </w:tcBorders>
                  <w:vAlign w:val="center"/>
                </w:tcPr>
                <w:p w14:paraId="73160B6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w:t>
                  </w:r>
                </w:p>
              </w:tc>
              <w:tc>
                <w:tcPr>
                  <w:tcW w:w="365" w:type="dxa"/>
                  <w:vMerge w:val="continue"/>
                  <w:tcBorders>
                    <w:left w:val="single" w:color="auto" w:sz="4" w:space="0"/>
                    <w:right w:val="single" w:color="auto" w:sz="4" w:space="0"/>
                  </w:tcBorders>
                  <w:vAlign w:val="center"/>
                </w:tcPr>
                <w:p w14:paraId="3D7E78B3">
                  <w:pPr>
                    <w:spacing w:line="240" w:lineRule="auto"/>
                    <w:jc w:val="center"/>
                    <w:rPr>
                      <w:rFonts w:hint="eastAsia" w:cs="Times New Roman"/>
                      <w:sz w:val="18"/>
                      <w:szCs w:val="18"/>
                      <w:lang w:val="en-US" w:eastAsia="zh-CN"/>
                    </w:rPr>
                  </w:pPr>
                </w:p>
              </w:tc>
              <w:tc>
                <w:tcPr>
                  <w:tcW w:w="341" w:type="dxa"/>
                  <w:vMerge w:val="continue"/>
                  <w:tcBorders>
                    <w:left w:val="single" w:color="auto" w:sz="4" w:space="0"/>
                    <w:right w:val="single" w:color="auto" w:sz="4" w:space="0"/>
                  </w:tcBorders>
                  <w:vAlign w:val="center"/>
                </w:tcPr>
                <w:p w14:paraId="0E25BCAC">
                  <w:pPr>
                    <w:spacing w:line="240" w:lineRule="auto"/>
                    <w:jc w:val="center"/>
                    <w:rPr>
                      <w:rFonts w:hint="eastAsia" w:cs="Times New Roman"/>
                      <w:sz w:val="18"/>
                      <w:szCs w:val="18"/>
                      <w:lang w:val="en-US" w:eastAsia="zh-CN"/>
                    </w:rPr>
                  </w:pPr>
                </w:p>
              </w:tc>
            </w:tr>
          </w:tbl>
          <w:p w14:paraId="38818410">
            <w:pPr>
              <w:spacing w:line="360" w:lineRule="auto"/>
              <w:ind w:firstLine="420" w:firstLineChars="200"/>
              <w:jc w:val="both"/>
              <w:rPr>
                <w:rFonts w:hint="eastAsia" w:ascii="Times New Roman" w:hAnsi="Times New Roman" w:eastAsia="宋体" w:cs="Times New Roman"/>
                <w:bCs/>
                <w:color w:val="000000"/>
                <w:sz w:val="21"/>
                <w:szCs w:val="21"/>
                <w:lang w:val="en-US" w:eastAsia="zh-CN"/>
              </w:rPr>
            </w:pPr>
            <w:r>
              <w:rPr>
                <w:rFonts w:hint="eastAsia" w:ascii="Times New Roman" w:hAnsi="Times New Roman" w:eastAsia="宋体" w:cs="Times New Roman"/>
                <w:color w:val="auto"/>
                <w:sz w:val="21"/>
                <w:szCs w:val="21"/>
                <w:lang w:eastAsia="zh-CN"/>
              </w:rPr>
              <w:t>综上，本项目建成后，</w:t>
            </w:r>
            <w:r>
              <w:rPr>
                <w:rFonts w:hint="eastAsia" w:ascii="Times New Roman" w:hAnsi="Times New Roman" w:eastAsia="宋体" w:cs="Times New Roman"/>
                <w:color w:val="auto"/>
                <w:sz w:val="21"/>
                <w:szCs w:val="21"/>
                <w:lang w:val="en-US" w:eastAsia="zh-CN"/>
              </w:rPr>
              <w:t>DA00</w:t>
            </w:r>
            <w:r>
              <w:rPr>
                <w:rFonts w:hint="eastAsia"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排气筒</w:t>
            </w:r>
            <w:r>
              <w:rPr>
                <w:rFonts w:hint="eastAsia" w:cs="Times New Roman"/>
                <w:color w:val="auto"/>
                <w:sz w:val="21"/>
                <w:szCs w:val="21"/>
                <w:lang w:val="en-US" w:eastAsia="zh-CN"/>
              </w:rPr>
              <w:t>VOCs、苯乙烯</w:t>
            </w:r>
            <w:r>
              <w:rPr>
                <w:rFonts w:hint="eastAsia" w:ascii="Times New Roman" w:hAnsi="Times New Roman" w:eastAsia="宋体" w:cs="Times New Roman"/>
                <w:color w:val="auto"/>
                <w:sz w:val="21"/>
                <w:szCs w:val="21"/>
              </w:rPr>
              <w:t>排放满足</w:t>
            </w:r>
            <w:r>
              <w:rPr>
                <w:rFonts w:hint="default" w:ascii="Times New Roman" w:hAnsi="Times New Roman" w:cs="Times New Roman"/>
                <w:sz w:val="21"/>
                <w:szCs w:val="21"/>
              </w:rPr>
              <w:t>《挥发性有机物排放标准 第</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部分：</w:t>
            </w:r>
            <w:r>
              <w:rPr>
                <w:rFonts w:hint="default" w:ascii="Times New Roman" w:hAnsi="Times New Roman" w:cs="Times New Roman"/>
                <w:sz w:val="21"/>
                <w:szCs w:val="21"/>
                <w:lang w:eastAsia="zh-CN"/>
              </w:rPr>
              <w:t>表面涂装</w:t>
            </w:r>
            <w:r>
              <w:rPr>
                <w:rFonts w:hint="default" w:ascii="Times New Roman" w:hAnsi="Times New Roman" w:cs="Times New Roman"/>
                <w:sz w:val="21"/>
                <w:szCs w:val="21"/>
              </w:rPr>
              <w:t>行业》（DB37/2801.</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）表</w:t>
            </w:r>
            <w:r>
              <w:rPr>
                <w:rFonts w:hint="default" w:ascii="Times New Roman" w:hAnsi="Times New Roman" w:cs="Times New Roman"/>
                <w:sz w:val="21"/>
                <w:szCs w:val="21"/>
                <w:lang w:val="en-US" w:eastAsia="zh-CN"/>
              </w:rPr>
              <w:t>2</w:t>
            </w:r>
            <w:r>
              <w:rPr>
                <w:rFonts w:hint="eastAsia" w:ascii="宋体" w:hAnsi="宋体" w:eastAsia="宋体" w:cs="宋体"/>
                <w:color w:val="000000"/>
                <w:kern w:val="0"/>
                <w:sz w:val="21"/>
                <w:szCs w:val="21"/>
                <w:lang w:val="en-US" w:eastAsia="zh-CN" w:bidi="ar"/>
              </w:rPr>
              <w:t>通用设备制造业</w:t>
            </w:r>
            <w:r>
              <w:rPr>
                <w:rFonts w:hint="eastAsia" w:ascii="Times New Roman" w:hAnsi="Times New Roman" w:cs="Times New Roman"/>
                <w:sz w:val="21"/>
                <w:szCs w:val="21"/>
                <w:lang w:val="en-US" w:eastAsia="zh-CN"/>
              </w:rPr>
              <w:t>（C34）</w:t>
            </w:r>
            <w:r>
              <w:rPr>
                <w:rFonts w:hint="default" w:ascii="Times New Roman" w:hAnsi="Times New Roman" w:cs="Times New Roman"/>
                <w:sz w:val="21"/>
                <w:szCs w:val="21"/>
              </w:rPr>
              <w:t>VOCs排放限值</w:t>
            </w:r>
            <w:r>
              <w:rPr>
                <w:rFonts w:hint="eastAsia"/>
                <w:kern w:val="0"/>
                <w:sz w:val="21"/>
                <w:szCs w:val="21"/>
              </w:rPr>
              <w:t>（</w:t>
            </w:r>
            <w:r>
              <w:rPr>
                <w:rFonts w:hint="eastAsia"/>
                <w:kern w:val="0"/>
                <w:sz w:val="21"/>
                <w:szCs w:val="21"/>
                <w:lang w:val="en-US" w:eastAsia="zh-CN"/>
              </w:rPr>
              <w:t>VOCs7</w:t>
            </w:r>
            <w:r>
              <w:rPr>
                <w:kern w:val="0"/>
                <w:sz w:val="21"/>
                <w:szCs w:val="21"/>
              </w:rPr>
              <w:t>0</w:t>
            </w:r>
            <w:r>
              <w:rPr>
                <w:rFonts w:hint="eastAsia"/>
                <w:kern w:val="0"/>
                <w:sz w:val="21"/>
                <w:szCs w:val="21"/>
              </w:rPr>
              <w:t>mg/m</w:t>
            </w:r>
            <w:r>
              <w:rPr>
                <w:kern w:val="0"/>
                <w:sz w:val="21"/>
                <w:szCs w:val="21"/>
                <w:vertAlign w:val="superscript"/>
              </w:rPr>
              <w:t>3</w:t>
            </w:r>
            <w:r>
              <w:rPr>
                <w:rFonts w:hint="eastAsia"/>
                <w:kern w:val="0"/>
                <w:sz w:val="21"/>
                <w:szCs w:val="21"/>
                <w:lang w:eastAsia="zh-CN"/>
              </w:rPr>
              <w:t>、</w:t>
            </w:r>
            <w:r>
              <w:rPr>
                <w:rFonts w:hint="eastAsia"/>
                <w:kern w:val="0"/>
                <w:sz w:val="21"/>
                <w:szCs w:val="21"/>
                <w:lang w:val="en-US" w:eastAsia="zh-CN"/>
              </w:rPr>
              <w:t>2.4kg/h</w:t>
            </w:r>
            <w:r>
              <w:rPr>
                <w:rFonts w:hint="eastAsia"/>
                <w:kern w:val="0"/>
                <w:sz w:val="21"/>
                <w:szCs w:val="21"/>
              </w:rPr>
              <w:t>）</w:t>
            </w:r>
            <w:r>
              <w:rPr>
                <w:rFonts w:hint="eastAsia"/>
                <w:kern w:val="0"/>
                <w:sz w:val="21"/>
                <w:szCs w:val="21"/>
                <w:lang w:eastAsia="zh-CN"/>
              </w:rPr>
              <w:t>；也满足</w:t>
            </w:r>
            <w:r>
              <w:rPr>
                <w:rFonts w:hint="eastAsia" w:eastAsiaTheme="minorEastAsia"/>
                <w:sz w:val="21"/>
                <w:szCs w:val="21"/>
                <w:lang w:val="en-US" w:eastAsia="zh-CN"/>
              </w:rPr>
              <w:t>《</w:t>
            </w:r>
            <w:r>
              <w:rPr>
                <w:rFonts w:hint="eastAsia" w:ascii="Times New Roman" w:hAnsi="Times New Roman" w:cs="Times New Roman" w:eastAsiaTheme="minorEastAsia"/>
                <w:sz w:val="21"/>
                <w:szCs w:val="21"/>
                <w:lang w:val="en-US" w:eastAsia="zh-CN"/>
              </w:rPr>
              <w:t>挥发性有机物排放标准 第 6 部分：有机化工行业》（</w:t>
            </w:r>
            <w:r>
              <w:rPr>
                <w:rFonts w:hint="default" w:ascii="Times New Roman" w:hAnsi="Times New Roman" w:cs="Times New Roman" w:eastAsiaTheme="minorEastAsia"/>
                <w:sz w:val="21"/>
                <w:szCs w:val="21"/>
                <w:lang w:val="en-US" w:eastAsia="zh-CN"/>
              </w:rPr>
              <w:t>D</w:t>
            </w:r>
            <w:r>
              <w:rPr>
                <w:rFonts w:hint="default" w:ascii="Times New Roman" w:hAnsi="Times New Roman" w:cs="Times New Roman"/>
                <w:sz w:val="21"/>
                <w:szCs w:val="21"/>
              </w:rPr>
              <w:t>B37/2801.</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eastAsia" w:eastAsiaTheme="minorEastAsia"/>
                <w:sz w:val="21"/>
                <w:szCs w:val="21"/>
                <w:lang w:val="en-US" w:eastAsia="zh-CN"/>
              </w:rPr>
              <w:t>）表1其他行业VOCs排放限值及表2中苯乙烯排放限值</w:t>
            </w:r>
            <w:r>
              <w:rPr>
                <w:rFonts w:hint="eastAsia"/>
                <w:kern w:val="0"/>
                <w:sz w:val="21"/>
                <w:szCs w:val="21"/>
              </w:rPr>
              <w:t>（</w:t>
            </w:r>
            <w:r>
              <w:rPr>
                <w:rFonts w:hint="eastAsia"/>
                <w:kern w:val="0"/>
                <w:sz w:val="21"/>
                <w:szCs w:val="21"/>
                <w:lang w:val="en-US" w:eastAsia="zh-CN"/>
              </w:rPr>
              <w:t>VOCs6</w:t>
            </w:r>
            <w:r>
              <w:rPr>
                <w:kern w:val="0"/>
                <w:sz w:val="21"/>
                <w:szCs w:val="21"/>
              </w:rPr>
              <w:t>0</w:t>
            </w:r>
            <w:r>
              <w:rPr>
                <w:rFonts w:hint="eastAsia"/>
                <w:kern w:val="0"/>
                <w:sz w:val="21"/>
                <w:szCs w:val="21"/>
              </w:rPr>
              <w:t>mg/m</w:t>
            </w:r>
            <w:r>
              <w:rPr>
                <w:kern w:val="0"/>
                <w:sz w:val="21"/>
                <w:szCs w:val="21"/>
                <w:vertAlign w:val="superscript"/>
              </w:rPr>
              <w:t>3</w:t>
            </w:r>
            <w:r>
              <w:rPr>
                <w:rFonts w:hint="eastAsia"/>
                <w:kern w:val="0"/>
                <w:sz w:val="21"/>
                <w:szCs w:val="21"/>
                <w:lang w:eastAsia="zh-CN"/>
              </w:rPr>
              <w:t>、</w:t>
            </w:r>
            <w:r>
              <w:rPr>
                <w:rFonts w:hint="eastAsia"/>
                <w:kern w:val="0"/>
                <w:sz w:val="21"/>
                <w:szCs w:val="21"/>
                <w:lang w:val="en-US" w:eastAsia="zh-CN"/>
              </w:rPr>
              <w:t>3.0kg/h；苯乙烯20</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rPr>
              <w:t>）</w:t>
            </w:r>
            <w:r>
              <w:rPr>
                <w:rFonts w:hint="eastAsia"/>
                <w:kern w:val="0"/>
                <w:sz w:val="21"/>
                <w:szCs w:val="21"/>
                <w:lang w:eastAsia="zh-CN"/>
              </w:rPr>
              <w:t>，颗粒物排放浓度满足</w:t>
            </w:r>
            <w:r>
              <w:rPr>
                <w:rFonts w:hint="default" w:ascii="Times New Roman" w:hAnsi="Times New Roman" w:cs="Times New Roman"/>
                <w:sz w:val="21"/>
                <w:szCs w:val="21"/>
              </w:rPr>
              <w:t>《区域性大气污染物综合排放标准》（DB37/2376-2019）表1中“重点控制区”标准限值</w:t>
            </w:r>
            <w:r>
              <w:rPr>
                <w:rFonts w:hint="eastAsia" w:cs="Times New Roman"/>
                <w:sz w:val="21"/>
                <w:szCs w:val="21"/>
                <w:lang w:eastAsia="zh-CN"/>
              </w:rPr>
              <w:t>（</w:t>
            </w:r>
            <w:r>
              <w:rPr>
                <w:rFonts w:hint="eastAsia"/>
                <w:kern w:val="0"/>
                <w:sz w:val="21"/>
                <w:szCs w:val="21"/>
                <w:lang w:val="en-US" w:eastAsia="zh-CN"/>
              </w:rPr>
              <w:t>颗粒物1</w:t>
            </w:r>
            <w:r>
              <w:rPr>
                <w:kern w:val="0"/>
                <w:sz w:val="21"/>
                <w:szCs w:val="21"/>
              </w:rPr>
              <w:t>0</w:t>
            </w:r>
            <w:r>
              <w:rPr>
                <w:rFonts w:hint="eastAsia"/>
                <w:kern w:val="0"/>
                <w:sz w:val="21"/>
                <w:szCs w:val="21"/>
              </w:rPr>
              <w:t>mg/m</w:t>
            </w:r>
            <w:r>
              <w:rPr>
                <w:kern w:val="0"/>
                <w:sz w:val="21"/>
                <w:szCs w:val="21"/>
                <w:vertAlign w:val="superscript"/>
              </w:rPr>
              <w:t>3</w:t>
            </w:r>
            <w:r>
              <w:rPr>
                <w:rFonts w:hint="eastAsia" w:cs="Times New Roman"/>
                <w:sz w:val="21"/>
                <w:szCs w:val="21"/>
                <w:lang w:eastAsia="zh-CN"/>
              </w:rPr>
              <w:t>）</w:t>
            </w:r>
            <w:r>
              <w:rPr>
                <w:rFonts w:hint="eastAsia"/>
                <w:kern w:val="0"/>
                <w:sz w:val="21"/>
                <w:szCs w:val="21"/>
                <w:lang w:eastAsia="zh-CN"/>
              </w:rPr>
              <w:t>。</w:t>
            </w:r>
          </w:p>
          <w:p w14:paraId="17B2673B">
            <w:pPr>
              <w:pStyle w:val="381"/>
              <w:numPr>
                <w:ilvl w:val="0"/>
                <w:numId w:val="0"/>
              </w:numPr>
              <w:ind w:firstLine="420" w:firstLineChars="200"/>
              <w:rPr>
                <w:rFonts w:hint="eastAsia" w:ascii="Times New Roman" w:hAnsi="Times New Roman" w:eastAsia="宋体" w:cs="Times New Roman"/>
                <w:color w:val="000000"/>
                <w:sz w:val="21"/>
                <w:szCs w:val="21"/>
                <w:lang w:val="en-US" w:eastAsia="zh-CN"/>
              </w:rPr>
            </w:pPr>
            <w:r>
              <w:rPr>
                <w:rFonts w:hint="eastAsia" w:ascii="Times New Roman" w:hAnsi="Times New Roman" w:eastAsia="宋体" w:cs="Times New Roman"/>
                <w:color w:val="000000"/>
                <w:sz w:val="21"/>
                <w:szCs w:val="21"/>
                <w:lang w:eastAsia="zh-CN"/>
              </w:rPr>
              <w:t>类比同类工程恶臭气体排放浓度</w:t>
            </w:r>
            <w:r>
              <w:rPr>
                <w:rFonts w:hint="eastAsia" w:cs="Times New Roman"/>
                <w:color w:val="000000"/>
                <w:sz w:val="21"/>
                <w:szCs w:val="21"/>
                <w:lang w:val="en-US" w:eastAsia="zh-CN"/>
              </w:rPr>
              <w:t>较</w:t>
            </w:r>
            <w:r>
              <w:rPr>
                <w:rFonts w:hint="eastAsia" w:ascii="Times New Roman" w:hAnsi="Times New Roman" w:eastAsia="宋体" w:cs="Times New Roman"/>
                <w:color w:val="000000"/>
                <w:sz w:val="21"/>
                <w:szCs w:val="21"/>
                <w:lang w:eastAsia="zh-CN"/>
              </w:rPr>
              <w:t>小，</w:t>
            </w:r>
            <w:r>
              <w:rPr>
                <w:rFonts w:hint="eastAsia" w:cs="Times New Roman"/>
                <w:color w:val="000000"/>
                <w:sz w:val="21"/>
                <w:szCs w:val="21"/>
                <w:lang w:val="en-US" w:eastAsia="zh-CN"/>
              </w:rPr>
              <w:t>因此</w:t>
            </w:r>
            <w:r>
              <w:rPr>
                <w:rFonts w:hint="eastAsia" w:ascii="Times New Roman" w:hAnsi="Times New Roman" w:eastAsia="宋体" w:cs="Times New Roman"/>
                <w:color w:val="000000"/>
                <w:sz w:val="21"/>
                <w:szCs w:val="21"/>
                <w:lang w:eastAsia="zh-CN"/>
              </w:rPr>
              <w:t>不进行定量分析。</w:t>
            </w:r>
            <w:r>
              <w:rPr>
                <w:rFonts w:hint="default" w:ascii="Times New Roman" w:hAnsi="Times New Roman" w:cs="Times New Roman"/>
                <w:sz w:val="21"/>
                <w:szCs w:val="21"/>
                <w:highlight w:val="none"/>
                <w:lang w:val="en-US" w:eastAsia="zh-CN"/>
              </w:rPr>
              <w:t>有组织</w:t>
            </w:r>
            <w:r>
              <w:rPr>
                <w:rFonts w:hint="default" w:ascii="Times New Roman" w:hAnsi="Times New Roman" w:cs="Times New Roman"/>
                <w:color w:val="000000"/>
                <w:kern w:val="0"/>
                <w:sz w:val="21"/>
                <w:szCs w:val="21"/>
                <w:lang w:val="en-US" w:eastAsia="zh-CN" w:bidi="ar"/>
              </w:rPr>
              <w:t>臭气浓度排放满足《恶</w:t>
            </w:r>
            <w:r>
              <w:rPr>
                <w:rFonts w:hint="default" w:ascii="Times New Roman" w:hAnsi="Times New Roman" w:eastAsia="宋体" w:cs="Times New Roman"/>
                <w:sz w:val="21"/>
                <w:szCs w:val="21"/>
                <w:lang w:val="en-US" w:eastAsia="zh-CN"/>
              </w:rPr>
              <w:t>臭污染物排放标准》（GB14554-93）表2恶臭污染物排放限值（臭气浓度：2000无量纲）</w:t>
            </w:r>
            <w:r>
              <w:rPr>
                <w:rFonts w:hint="eastAsia" w:ascii="Times New Roman" w:hAnsi="Times New Roman" w:eastAsia="宋体" w:cs="Times New Roman"/>
                <w:sz w:val="21"/>
                <w:szCs w:val="21"/>
                <w:lang w:val="en-US" w:eastAsia="zh-CN"/>
              </w:rPr>
              <w:t>。</w:t>
            </w:r>
            <w:r>
              <w:rPr>
                <w:rFonts w:hint="eastAsia" w:ascii="Times New Roman" w:hAnsi="Times New Roman" w:eastAsia="宋体" w:cs="Times New Roman"/>
                <w:color w:val="000000"/>
                <w:sz w:val="21"/>
                <w:szCs w:val="21"/>
                <w:lang w:eastAsia="zh-CN"/>
              </w:rPr>
              <w:t>通过采取尽可能降低生产工艺温度、加强车间密闭、厂区绿化等措施后，臭气浓度</w:t>
            </w:r>
            <w:r>
              <w:rPr>
                <w:rFonts w:hint="eastAsia" w:cs="Times New Roman"/>
                <w:color w:val="000000"/>
                <w:sz w:val="21"/>
                <w:szCs w:val="21"/>
                <w:lang w:eastAsia="zh-CN"/>
              </w:rPr>
              <w:t>可以</w:t>
            </w:r>
            <w:r>
              <w:rPr>
                <w:rFonts w:hint="eastAsia" w:ascii="Times New Roman" w:hAnsi="Times New Roman" w:eastAsia="宋体" w:cs="Times New Roman"/>
                <w:color w:val="000000"/>
                <w:sz w:val="21"/>
                <w:szCs w:val="21"/>
                <w:lang w:eastAsia="zh-CN"/>
              </w:rPr>
              <w:t>满足</w:t>
            </w:r>
            <w:r>
              <w:rPr>
                <w:rFonts w:hint="eastAsia" w:ascii="Times New Roman" w:hAnsi="Times New Roman" w:eastAsia="宋体" w:cs="Times New Roman"/>
                <w:color w:val="000000"/>
                <w:sz w:val="21"/>
                <w:szCs w:val="21"/>
                <w:lang w:val="en-US" w:eastAsia="zh-CN"/>
              </w:rPr>
              <w:t>《恶臭污染物排放标准》（GB14554-93）表1厂界排放限值和表2排放限值。</w:t>
            </w:r>
          </w:p>
          <w:p w14:paraId="4DA3AFA1">
            <w:pPr>
              <w:pStyle w:val="381"/>
              <w:numPr>
                <w:ilvl w:val="0"/>
                <w:numId w:val="0"/>
              </w:numPr>
              <w:ind w:firstLine="420" w:firstLineChars="200"/>
              <w:rPr>
                <w:rFonts w:hint="eastAsia"/>
                <w:sz w:val="21"/>
                <w:szCs w:val="21"/>
                <w:lang w:val="en-US" w:eastAsia="zh-CN"/>
              </w:rPr>
            </w:pPr>
            <w:r>
              <w:rPr>
                <w:rFonts w:hint="eastAsia" w:ascii="Times New Roman" w:hAnsi="Times New Roman" w:eastAsia="宋体" w:cs="Times New Roman"/>
                <w:kern w:val="2"/>
                <w:sz w:val="21"/>
                <w:szCs w:val="21"/>
                <w:lang w:val="en-US" w:eastAsia="zh-CN" w:bidi="ar-SA"/>
              </w:rPr>
              <w:t>2）</w:t>
            </w:r>
            <w:r>
              <w:rPr>
                <w:rFonts w:hint="eastAsia"/>
                <w:sz w:val="21"/>
                <w:szCs w:val="21"/>
                <w:lang w:val="en-US" w:eastAsia="zh-CN"/>
              </w:rPr>
              <w:t>DA002排气筒</w:t>
            </w:r>
          </w:p>
          <w:p w14:paraId="79B9FAA4">
            <w:pPr>
              <w:pStyle w:val="381"/>
              <w:numPr>
                <w:ilvl w:val="0"/>
                <w:numId w:val="0"/>
              </w:numPr>
              <w:ind w:firstLine="420" w:firstLineChars="200"/>
              <w:rPr>
                <w:rFonts w:hint="eastAsia" w:cs="Times New Roman"/>
                <w:b w:val="0"/>
                <w:bCs w:val="0"/>
                <w:sz w:val="21"/>
                <w:szCs w:val="21"/>
                <w:lang w:val="en-US" w:eastAsia="zh-CN"/>
              </w:rPr>
            </w:pPr>
            <w:r>
              <w:rPr>
                <w:rFonts w:hint="eastAsia" w:cs="Times New Roman"/>
                <w:sz w:val="21"/>
                <w:szCs w:val="21"/>
                <w:highlight w:val="none"/>
                <w:lang w:val="en-US" w:eastAsia="zh-CN"/>
              </w:rPr>
              <w:t>喷塑工序产生的颗粒物经喷塑房底部集气罩收集后经配套滤筒除尘器处理后经15mDA002排气筒有组织排放。</w:t>
            </w:r>
          </w:p>
          <w:p w14:paraId="7F95C330">
            <w:pPr>
              <w:pStyle w:val="381"/>
              <w:ind w:firstLine="31680"/>
              <w:rPr>
                <w:rFonts w:hint="default" w:ascii="Times New Roman" w:hAnsi="Times New Roman" w:cs="Times New Roman"/>
                <w:sz w:val="21"/>
                <w:szCs w:val="21"/>
                <w:lang w:val="en-US" w:eastAsia="zh-CN"/>
              </w:rPr>
            </w:pPr>
            <w:r>
              <w:rPr>
                <w:rFonts w:hint="eastAsia" w:cs="Times New Roman"/>
                <w:sz w:val="21"/>
                <w:szCs w:val="21"/>
                <w:lang w:val="en-US" w:eastAsia="zh-CN"/>
              </w:rPr>
              <w:t>喷塑工序</w:t>
            </w:r>
            <w:r>
              <w:rPr>
                <w:rFonts w:hint="default" w:ascii="Times New Roman" w:hAnsi="Times New Roman" w:cs="Times New Roman"/>
                <w:sz w:val="21"/>
                <w:szCs w:val="21"/>
                <w:lang w:val="en-US" w:eastAsia="zh-CN"/>
              </w:rPr>
              <w:t>集气罩收集效率按9</w:t>
            </w:r>
            <w:r>
              <w:rPr>
                <w:rFonts w:hint="eastAsia" w:ascii="Times New Roman" w:hAnsi="Times New Roman" w:cs="Times New Roman"/>
                <w:sz w:val="21"/>
                <w:szCs w:val="21"/>
                <w:lang w:val="en-US" w:eastAsia="zh-CN"/>
              </w:rPr>
              <w:t>0</w:t>
            </w:r>
            <w:r>
              <w:rPr>
                <w:rFonts w:hint="default" w:ascii="Times New Roman" w:hAnsi="Times New Roman" w:cs="Times New Roman"/>
                <w:sz w:val="21"/>
                <w:szCs w:val="21"/>
                <w:lang w:val="en-US" w:eastAsia="zh-CN"/>
              </w:rPr>
              <w:t>%计，</w:t>
            </w:r>
            <w:r>
              <w:rPr>
                <w:rFonts w:hint="eastAsia" w:cs="Times New Roman"/>
                <w:sz w:val="21"/>
                <w:szCs w:val="21"/>
                <w:lang w:val="en-US" w:eastAsia="zh-CN"/>
              </w:rPr>
              <w:t>配套</w:t>
            </w:r>
            <w:r>
              <w:rPr>
                <w:rFonts w:hint="eastAsia" w:cs="Times New Roman"/>
                <w:sz w:val="21"/>
                <w:szCs w:val="21"/>
                <w:highlight w:val="none"/>
                <w:lang w:val="en-US" w:eastAsia="zh-CN"/>
              </w:rPr>
              <w:t>两级滤筒除尘器</w:t>
            </w:r>
            <w:r>
              <w:rPr>
                <w:rFonts w:hint="eastAsia" w:ascii="Times New Roman" w:hAnsi="Times New Roman" w:cs="Times New Roman"/>
                <w:sz w:val="21"/>
                <w:szCs w:val="21"/>
                <w:lang w:val="en-US" w:eastAsia="zh-CN"/>
              </w:rPr>
              <w:t>除尘效率</w:t>
            </w:r>
            <w:r>
              <w:rPr>
                <w:rFonts w:hint="default" w:ascii="Times New Roman" w:hAnsi="Times New Roman" w:cs="Times New Roman"/>
                <w:sz w:val="21"/>
                <w:szCs w:val="21"/>
                <w:lang w:val="en-US" w:eastAsia="zh-CN"/>
              </w:rPr>
              <w:t>按</w:t>
            </w:r>
            <w:r>
              <w:rPr>
                <w:rFonts w:hint="eastAsia" w:ascii="Times New Roman" w:hAnsi="Times New Roman" w:cs="Times New Roman"/>
                <w:sz w:val="21"/>
                <w:szCs w:val="21"/>
                <w:lang w:val="en-US" w:eastAsia="zh-CN"/>
              </w:rPr>
              <w:t>95</w:t>
            </w:r>
            <w:r>
              <w:rPr>
                <w:rFonts w:hint="default" w:ascii="Times New Roman" w:hAnsi="Times New Roman" w:cs="Times New Roman"/>
                <w:sz w:val="21"/>
                <w:szCs w:val="21"/>
                <w:lang w:val="en-US" w:eastAsia="zh-CN"/>
              </w:rPr>
              <w:t>%计，配套风机风量为</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lang w:val="en-US" w:eastAsia="zh-CN"/>
              </w:rPr>
              <w:t>000m</w:t>
            </w:r>
            <w:r>
              <w:rPr>
                <w:rFonts w:hint="default" w:ascii="Times New Roman" w:hAnsi="Times New Roman" w:cs="Times New Roman"/>
                <w:sz w:val="21"/>
                <w:szCs w:val="21"/>
                <w:vertAlign w:val="superscript"/>
                <w:lang w:val="en-US" w:eastAsia="zh-CN"/>
              </w:rPr>
              <w:t>3</w:t>
            </w:r>
            <w:r>
              <w:rPr>
                <w:rFonts w:hint="default" w:ascii="Times New Roman" w:hAnsi="Times New Roman" w:cs="Times New Roman"/>
                <w:sz w:val="21"/>
                <w:szCs w:val="21"/>
                <w:vertAlign w:val="baseline"/>
                <w:lang w:val="en-US" w:eastAsia="zh-CN"/>
              </w:rPr>
              <w:t>/h，</w:t>
            </w:r>
            <w:r>
              <w:rPr>
                <w:rFonts w:hint="eastAsia" w:ascii="Times New Roman" w:hAnsi="Times New Roman" w:cs="Times New Roman"/>
                <w:sz w:val="21"/>
                <w:szCs w:val="21"/>
                <w:vertAlign w:val="baseline"/>
                <w:lang w:val="en-US" w:eastAsia="zh-CN"/>
              </w:rPr>
              <w:t>喷塑</w:t>
            </w:r>
            <w:r>
              <w:rPr>
                <w:rFonts w:hint="default" w:ascii="Times New Roman" w:hAnsi="Times New Roman" w:cs="Times New Roman"/>
                <w:sz w:val="21"/>
                <w:szCs w:val="21"/>
                <w:lang w:val="en-US" w:eastAsia="zh-CN"/>
              </w:rPr>
              <w:t>工序</w:t>
            </w:r>
            <w:r>
              <w:rPr>
                <w:rFonts w:hint="default" w:ascii="Times New Roman" w:hAnsi="Times New Roman" w:cs="Times New Roman"/>
                <w:bCs/>
                <w:sz w:val="21"/>
                <w:szCs w:val="21"/>
                <w:lang w:eastAsia="zh-CN"/>
              </w:rPr>
              <w:t>年工作时间</w:t>
            </w:r>
            <w:r>
              <w:rPr>
                <w:rFonts w:hint="eastAsia" w:cs="Times New Roman"/>
                <w:bCs/>
                <w:sz w:val="21"/>
                <w:szCs w:val="21"/>
                <w:lang w:val="en-US" w:eastAsia="zh-CN"/>
              </w:rPr>
              <w:t>120</w:t>
            </w:r>
            <w:r>
              <w:rPr>
                <w:rFonts w:hint="default" w:ascii="Times New Roman" w:hAnsi="Times New Roman" w:cs="Times New Roman"/>
                <w:bCs/>
                <w:sz w:val="21"/>
                <w:szCs w:val="21"/>
                <w:lang w:val="en-US" w:eastAsia="zh-CN"/>
              </w:rPr>
              <w:t>0h/a</w:t>
            </w:r>
            <w:r>
              <w:rPr>
                <w:rFonts w:hint="eastAsia" w:ascii="Times New Roman" w:hAnsi="Times New Roman" w:cs="Times New Roman"/>
                <w:bCs/>
                <w:sz w:val="21"/>
                <w:szCs w:val="21"/>
                <w:lang w:val="en-US" w:eastAsia="zh-CN"/>
              </w:rPr>
              <w:t>，废气</w:t>
            </w:r>
            <w:r>
              <w:rPr>
                <w:rFonts w:hint="default" w:ascii="Times New Roman" w:hAnsi="Times New Roman" w:cs="Times New Roman"/>
                <w:sz w:val="21"/>
                <w:szCs w:val="21"/>
                <w:lang w:val="en-US" w:eastAsia="zh-CN"/>
              </w:rPr>
              <w:t>产生及排放情况见下表。</w:t>
            </w:r>
          </w:p>
          <w:p w14:paraId="0AC6C69B">
            <w:pPr>
              <w:pStyle w:val="381"/>
              <w:ind w:left="0" w:leftChars="0" w:firstLine="0" w:firstLineChars="0"/>
              <w:jc w:val="center"/>
              <w:rPr>
                <w:rFonts w:hint="default" w:ascii="Times New Roman" w:hAnsi="Times New Roman" w:eastAsia="宋体" w:cs="Times New Roman"/>
                <w:b/>
                <w:bCs/>
                <w:sz w:val="21"/>
                <w:szCs w:val="21"/>
                <w:lang w:eastAsia="zh-CN"/>
              </w:rPr>
            </w:pPr>
            <w:r>
              <w:rPr>
                <w:rFonts w:hint="default" w:ascii="Times New Roman" w:hAnsi="Times New Roman" w:eastAsia="宋体" w:cs="Times New Roman"/>
                <w:b/>
                <w:bCs/>
                <w:sz w:val="21"/>
                <w:szCs w:val="21"/>
                <w:lang w:eastAsia="zh-CN"/>
              </w:rPr>
              <w:t>表</w:t>
            </w:r>
            <w:r>
              <w:rPr>
                <w:rFonts w:hint="default" w:ascii="Times New Roman" w:hAnsi="Times New Roman" w:eastAsia="宋体" w:cs="Times New Roman"/>
                <w:b/>
                <w:bCs/>
                <w:sz w:val="21"/>
                <w:szCs w:val="21"/>
                <w:lang w:val="en-US" w:eastAsia="zh-CN"/>
              </w:rPr>
              <w:t>4-10</w:t>
            </w:r>
            <w:r>
              <w:rPr>
                <w:rFonts w:hint="eastAsia" w:ascii="Times New Roman" w:hAnsi="Times New Roman" w:eastAsia="宋体" w:cs="Times New Roman"/>
                <w:b/>
                <w:bCs/>
                <w:sz w:val="21"/>
                <w:szCs w:val="21"/>
                <w:lang w:val="en-US" w:eastAsia="zh-CN"/>
              </w:rPr>
              <w:t xml:space="preserve"> </w:t>
            </w:r>
            <w:r>
              <w:rPr>
                <w:rFonts w:hint="default" w:ascii="Times New Roman" w:hAnsi="Times New Roman" w:eastAsia="宋体" w:cs="Times New Roman"/>
                <w:b/>
                <w:bCs/>
                <w:sz w:val="21"/>
                <w:szCs w:val="21"/>
                <w:lang w:val="en-US" w:eastAsia="zh-CN"/>
              </w:rPr>
              <w:t xml:space="preserve"> 喷塑工序废气产生及排放情况一览表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15"/>
              <w:gridCol w:w="486"/>
              <w:gridCol w:w="532"/>
              <w:gridCol w:w="635"/>
              <w:gridCol w:w="575"/>
              <w:gridCol w:w="605"/>
              <w:gridCol w:w="515"/>
              <w:gridCol w:w="364"/>
              <w:gridCol w:w="499"/>
              <w:gridCol w:w="394"/>
              <w:gridCol w:w="425"/>
              <w:gridCol w:w="541"/>
              <w:gridCol w:w="519"/>
              <w:gridCol w:w="652"/>
              <w:gridCol w:w="574"/>
              <w:gridCol w:w="636"/>
            </w:tblGrid>
            <w:tr w14:paraId="030186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1" w:hRule="atLeast"/>
                <w:jc w:val="center"/>
              </w:trPr>
              <w:tc>
                <w:tcPr>
                  <w:tcW w:w="419" w:type="dxa"/>
                  <w:vMerge w:val="restart"/>
                  <w:tcBorders>
                    <w:top w:val="single" w:color="auto" w:sz="4" w:space="0"/>
                    <w:left w:val="single" w:color="auto" w:sz="4" w:space="0"/>
                    <w:right w:val="single" w:color="auto" w:sz="4" w:space="0"/>
                  </w:tcBorders>
                  <w:noWrap w:val="0"/>
                  <w:vAlign w:val="center"/>
                </w:tcPr>
                <w:p w14:paraId="5FBD0CA8">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产污环节</w:t>
                  </w:r>
                </w:p>
              </w:tc>
              <w:tc>
                <w:tcPr>
                  <w:tcW w:w="490" w:type="dxa"/>
                  <w:vMerge w:val="restart"/>
                  <w:tcBorders>
                    <w:top w:val="single" w:color="auto" w:sz="4" w:space="0"/>
                    <w:left w:val="single" w:color="auto" w:sz="4" w:space="0"/>
                    <w:bottom w:val="single" w:color="auto" w:sz="4" w:space="0"/>
                    <w:right w:val="single" w:color="auto" w:sz="4" w:space="0"/>
                  </w:tcBorders>
                  <w:noWrap w:val="0"/>
                  <w:vAlign w:val="center"/>
                </w:tcPr>
                <w:p w14:paraId="4DB8DEF5">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污染物</w:t>
                  </w:r>
                </w:p>
                <w:p w14:paraId="317F98AE">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种类</w:t>
                  </w:r>
                </w:p>
              </w:tc>
              <w:tc>
                <w:tcPr>
                  <w:tcW w:w="536" w:type="dxa"/>
                  <w:vMerge w:val="restart"/>
                  <w:tcBorders>
                    <w:top w:val="single" w:color="auto" w:sz="4" w:space="0"/>
                    <w:left w:val="single" w:color="auto" w:sz="4" w:space="0"/>
                    <w:right w:val="single" w:color="auto" w:sz="4" w:space="0"/>
                  </w:tcBorders>
                  <w:noWrap w:val="0"/>
                  <w:vAlign w:val="center"/>
                </w:tcPr>
                <w:p w14:paraId="34D74BE6">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产生量t/a</w:t>
                  </w:r>
                </w:p>
              </w:tc>
              <w:tc>
                <w:tcPr>
                  <w:tcW w:w="1830" w:type="dxa"/>
                  <w:gridSpan w:val="3"/>
                  <w:tcBorders>
                    <w:top w:val="single" w:color="auto" w:sz="4" w:space="0"/>
                    <w:left w:val="single" w:color="auto" w:sz="4" w:space="0"/>
                    <w:bottom w:val="single" w:color="auto" w:sz="4" w:space="0"/>
                    <w:right w:val="single" w:color="auto" w:sz="4" w:space="0"/>
                  </w:tcBorders>
                  <w:noWrap w:val="0"/>
                  <w:vAlign w:val="center"/>
                </w:tcPr>
                <w:p w14:paraId="7077C3D4">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污染物产生</w:t>
                  </w:r>
                </w:p>
              </w:tc>
              <w:tc>
                <w:tcPr>
                  <w:tcW w:w="2214" w:type="dxa"/>
                  <w:gridSpan w:val="5"/>
                  <w:tcBorders>
                    <w:top w:val="single" w:color="auto" w:sz="4" w:space="0"/>
                    <w:left w:val="single" w:color="auto" w:sz="4" w:space="0"/>
                    <w:bottom w:val="single" w:color="auto" w:sz="4" w:space="0"/>
                    <w:right w:val="single" w:color="auto" w:sz="4" w:space="0"/>
                  </w:tcBorders>
                  <w:noWrap w:val="0"/>
                  <w:vAlign w:val="center"/>
                </w:tcPr>
                <w:p w14:paraId="24003A44">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治理设施</w:t>
                  </w:r>
                </w:p>
              </w:tc>
              <w:tc>
                <w:tcPr>
                  <w:tcW w:w="2945" w:type="dxa"/>
                  <w:gridSpan w:val="5"/>
                  <w:tcBorders>
                    <w:top w:val="single" w:color="auto" w:sz="4" w:space="0"/>
                    <w:left w:val="single" w:color="auto" w:sz="4" w:space="0"/>
                    <w:bottom w:val="single" w:color="auto" w:sz="4" w:space="0"/>
                    <w:right w:val="single" w:color="auto" w:sz="4" w:space="0"/>
                  </w:tcBorders>
                  <w:noWrap w:val="0"/>
                  <w:vAlign w:val="center"/>
                </w:tcPr>
                <w:p w14:paraId="76890295">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污染物排放</w:t>
                  </w:r>
                </w:p>
              </w:tc>
            </w:tr>
            <w:tr w14:paraId="0FB033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34" w:hRule="atLeast"/>
                <w:jc w:val="center"/>
              </w:trPr>
              <w:tc>
                <w:tcPr>
                  <w:tcW w:w="419" w:type="dxa"/>
                  <w:vMerge w:val="continue"/>
                  <w:tcBorders>
                    <w:left w:val="single" w:color="auto" w:sz="4" w:space="0"/>
                    <w:bottom w:val="single" w:color="auto" w:sz="4" w:space="0"/>
                    <w:right w:val="single" w:color="auto" w:sz="4" w:space="0"/>
                  </w:tcBorders>
                  <w:noWrap w:val="0"/>
                  <w:vAlign w:val="center"/>
                </w:tcPr>
                <w:p w14:paraId="4FC7E38E">
                  <w:pPr>
                    <w:spacing w:line="240" w:lineRule="auto"/>
                    <w:jc w:val="center"/>
                    <w:rPr>
                      <w:rFonts w:hint="default" w:ascii="Times New Roman" w:hAnsi="Times New Roman" w:cs="Times New Roman"/>
                      <w:sz w:val="18"/>
                      <w:szCs w:val="18"/>
                    </w:rPr>
                  </w:pPr>
                </w:p>
              </w:tc>
              <w:tc>
                <w:tcPr>
                  <w:tcW w:w="490" w:type="dxa"/>
                  <w:vMerge w:val="continue"/>
                  <w:tcBorders>
                    <w:top w:val="single" w:color="auto" w:sz="4" w:space="0"/>
                    <w:left w:val="single" w:color="auto" w:sz="4" w:space="0"/>
                    <w:bottom w:val="single" w:color="auto" w:sz="4" w:space="0"/>
                    <w:right w:val="single" w:color="auto" w:sz="4" w:space="0"/>
                  </w:tcBorders>
                  <w:noWrap w:val="0"/>
                  <w:vAlign w:val="center"/>
                </w:tcPr>
                <w:p w14:paraId="0BB521C2">
                  <w:pPr>
                    <w:spacing w:line="240" w:lineRule="auto"/>
                    <w:jc w:val="center"/>
                    <w:rPr>
                      <w:rFonts w:hint="default" w:ascii="Times New Roman" w:hAnsi="Times New Roman" w:cs="Times New Roman"/>
                      <w:sz w:val="18"/>
                      <w:szCs w:val="18"/>
                    </w:rPr>
                  </w:pPr>
                </w:p>
              </w:tc>
              <w:tc>
                <w:tcPr>
                  <w:tcW w:w="536" w:type="dxa"/>
                  <w:vMerge w:val="continue"/>
                  <w:tcBorders>
                    <w:left w:val="single" w:color="auto" w:sz="4" w:space="0"/>
                    <w:bottom w:val="single" w:color="auto" w:sz="4" w:space="0"/>
                    <w:right w:val="single" w:color="auto" w:sz="4" w:space="0"/>
                  </w:tcBorders>
                  <w:noWrap w:val="0"/>
                  <w:vAlign w:val="center"/>
                </w:tcPr>
                <w:p w14:paraId="373D65FE">
                  <w:pPr>
                    <w:spacing w:line="240" w:lineRule="auto"/>
                    <w:jc w:val="center"/>
                    <w:rPr>
                      <w:rFonts w:hint="default" w:ascii="Times New Roman" w:hAnsi="Times New Roman" w:cs="Times New Roman"/>
                      <w:sz w:val="18"/>
                      <w:szCs w:val="18"/>
                    </w:rPr>
                  </w:pPr>
                </w:p>
              </w:tc>
              <w:tc>
                <w:tcPr>
                  <w:tcW w:w="640" w:type="dxa"/>
                  <w:tcBorders>
                    <w:top w:val="single" w:color="auto" w:sz="4" w:space="0"/>
                    <w:left w:val="single" w:color="auto" w:sz="4" w:space="0"/>
                    <w:bottom w:val="single" w:color="auto" w:sz="4" w:space="0"/>
                    <w:right w:val="single" w:color="auto" w:sz="4" w:space="0"/>
                  </w:tcBorders>
                  <w:noWrap w:val="0"/>
                  <w:vAlign w:val="center"/>
                </w:tcPr>
                <w:p w14:paraId="45C5D416">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lang w:eastAsia="zh-CN"/>
                    </w:rPr>
                    <w:t>有组织</w:t>
                  </w:r>
                  <w:r>
                    <w:rPr>
                      <w:rFonts w:hint="default" w:ascii="Times New Roman" w:hAnsi="Times New Roman" w:cs="Times New Roman"/>
                      <w:sz w:val="18"/>
                      <w:szCs w:val="18"/>
                    </w:rPr>
                    <w:t>产生量t/a</w:t>
                  </w:r>
                </w:p>
              </w:tc>
              <w:tc>
                <w:tcPr>
                  <w:tcW w:w="580" w:type="dxa"/>
                  <w:tcBorders>
                    <w:top w:val="single" w:color="auto" w:sz="4" w:space="0"/>
                    <w:left w:val="single" w:color="auto" w:sz="4" w:space="0"/>
                    <w:bottom w:val="single" w:color="auto" w:sz="4" w:space="0"/>
                    <w:right w:val="single" w:color="auto" w:sz="4" w:space="0"/>
                  </w:tcBorders>
                  <w:noWrap w:val="0"/>
                  <w:vAlign w:val="center"/>
                </w:tcPr>
                <w:p w14:paraId="4BAD047F">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产生浓度mg/m</w:t>
                  </w:r>
                  <w:r>
                    <w:rPr>
                      <w:rFonts w:hint="default" w:ascii="Times New Roman" w:hAnsi="Times New Roman" w:cs="Times New Roman"/>
                      <w:sz w:val="18"/>
                      <w:szCs w:val="18"/>
                      <w:vertAlign w:val="superscript"/>
                    </w:rPr>
                    <w:t>3</w:t>
                  </w:r>
                </w:p>
              </w:tc>
              <w:tc>
                <w:tcPr>
                  <w:tcW w:w="610" w:type="dxa"/>
                  <w:tcBorders>
                    <w:top w:val="single" w:color="auto" w:sz="4" w:space="0"/>
                    <w:left w:val="single" w:color="auto" w:sz="4" w:space="0"/>
                    <w:bottom w:val="single" w:color="auto" w:sz="4" w:space="0"/>
                    <w:right w:val="single" w:color="auto" w:sz="4" w:space="0"/>
                  </w:tcBorders>
                  <w:noWrap w:val="0"/>
                  <w:vAlign w:val="center"/>
                </w:tcPr>
                <w:p w14:paraId="5A3397A8">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eastAsia="zh-CN"/>
                    </w:rPr>
                    <w:t>产生速率</w:t>
                  </w:r>
                  <w:r>
                    <w:rPr>
                      <w:rFonts w:hint="default" w:ascii="Times New Roman" w:hAnsi="Times New Roman" w:cs="Times New Roman"/>
                      <w:sz w:val="18"/>
                      <w:szCs w:val="18"/>
                      <w:lang w:val="en-US" w:eastAsia="zh-CN"/>
                    </w:rPr>
                    <w:t>kg/h</w:t>
                  </w:r>
                </w:p>
              </w:tc>
              <w:tc>
                <w:tcPr>
                  <w:tcW w:w="519" w:type="dxa"/>
                  <w:tcBorders>
                    <w:top w:val="single" w:color="auto" w:sz="4" w:space="0"/>
                    <w:left w:val="single" w:color="auto" w:sz="4" w:space="0"/>
                    <w:bottom w:val="single" w:color="auto" w:sz="4" w:space="0"/>
                    <w:right w:val="single" w:color="auto" w:sz="4" w:space="0"/>
                  </w:tcBorders>
                  <w:noWrap w:val="0"/>
                  <w:vAlign w:val="center"/>
                </w:tcPr>
                <w:p w14:paraId="5B914BA0">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处理能力m</w:t>
                  </w:r>
                  <w:r>
                    <w:rPr>
                      <w:rFonts w:hint="default" w:ascii="Times New Roman" w:hAnsi="Times New Roman" w:cs="Times New Roman"/>
                      <w:sz w:val="18"/>
                      <w:szCs w:val="18"/>
                      <w:vertAlign w:val="superscript"/>
                    </w:rPr>
                    <w:t>3</w:t>
                  </w:r>
                  <w:r>
                    <w:rPr>
                      <w:rFonts w:hint="default" w:ascii="Times New Roman" w:hAnsi="Times New Roman" w:cs="Times New Roman"/>
                      <w:sz w:val="18"/>
                      <w:szCs w:val="18"/>
                    </w:rPr>
                    <w:t>/</w:t>
                  </w:r>
                  <w:r>
                    <w:rPr>
                      <w:rFonts w:hint="default" w:ascii="Times New Roman" w:hAnsi="Times New Roman" w:cs="Times New Roman"/>
                      <w:sz w:val="18"/>
                      <w:szCs w:val="18"/>
                      <w:lang w:val="en-US" w:eastAsia="zh-CN"/>
                    </w:rPr>
                    <w:t>h</w:t>
                  </w:r>
                </w:p>
              </w:tc>
              <w:tc>
                <w:tcPr>
                  <w:tcW w:w="367" w:type="dxa"/>
                  <w:tcBorders>
                    <w:top w:val="single" w:color="auto" w:sz="4" w:space="0"/>
                    <w:left w:val="single" w:color="auto" w:sz="4" w:space="0"/>
                    <w:bottom w:val="single" w:color="auto" w:sz="4" w:space="0"/>
                    <w:right w:val="single" w:color="auto" w:sz="4" w:space="0"/>
                  </w:tcBorders>
                  <w:noWrap w:val="0"/>
                  <w:vAlign w:val="center"/>
                </w:tcPr>
                <w:p w14:paraId="585D83C6">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收集率%</w:t>
                  </w:r>
                </w:p>
              </w:tc>
              <w:tc>
                <w:tcPr>
                  <w:tcW w:w="503" w:type="dxa"/>
                  <w:tcBorders>
                    <w:top w:val="single" w:color="auto" w:sz="4" w:space="0"/>
                    <w:left w:val="single" w:color="auto" w:sz="4" w:space="0"/>
                    <w:bottom w:val="single" w:color="auto" w:sz="4" w:space="0"/>
                    <w:right w:val="single" w:color="auto" w:sz="4" w:space="0"/>
                  </w:tcBorders>
                  <w:noWrap w:val="0"/>
                  <w:vAlign w:val="center"/>
                </w:tcPr>
                <w:p w14:paraId="1AA557A4">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治理工艺</w:t>
                  </w:r>
                </w:p>
              </w:tc>
              <w:tc>
                <w:tcPr>
                  <w:tcW w:w="397" w:type="dxa"/>
                  <w:tcBorders>
                    <w:top w:val="single" w:color="auto" w:sz="4" w:space="0"/>
                    <w:left w:val="single" w:color="auto" w:sz="4" w:space="0"/>
                    <w:bottom w:val="single" w:color="auto" w:sz="4" w:space="0"/>
                    <w:right w:val="single" w:color="auto" w:sz="4" w:space="0"/>
                  </w:tcBorders>
                  <w:noWrap w:val="0"/>
                  <w:vAlign w:val="center"/>
                </w:tcPr>
                <w:p w14:paraId="41CD4185">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去除率%</w:t>
                  </w:r>
                </w:p>
              </w:tc>
              <w:tc>
                <w:tcPr>
                  <w:tcW w:w="428" w:type="dxa"/>
                  <w:tcBorders>
                    <w:top w:val="single" w:color="auto" w:sz="4" w:space="0"/>
                    <w:left w:val="single" w:color="auto" w:sz="4" w:space="0"/>
                    <w:bottom w:val="single" w:color="auto" w:sz="4" w:space="0"/>
                    <w:right w:val="single" w:color="auto" w:sz="4" w:space="0"/>
                  </w:tcBorders>
                  <w:noWrap w:val="0"/>
                  <w:vAlign w:val="center"/>
                </w:tcPr>
                <w:p w14:paraId="0E6AFFE3">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是否为可行技术</w:t>
                  </w:r>
                </w:p>
              </w:tc>
              <w:tc>
                <w:tcPr>
                  <w:tcW w:w="545" w:type="dxa"/>
                  <w:tcBorders>
                    <w:top w:val="single" w:color="auto" w:sz="4" w:space="0"/>
                    <w:left w:val="single" w:color="auto" w:sz="4" w:space="0"/>
                    <w:bottom w:val="single" w:color="auto" w:sz="4" w:space="0"/>
                    <w:right w:val="single" w:color="auto" w:sz="4" w:space="0"/>
                  </w:tcBorders>
                  <w:noWrap w:val="0"/>
                  <w:vAlign w:val="center"/>
                </w:tcPr>
                <w:p w14:paraId="3FA28610">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排放量t/a</w:t>
                  </w:r>
                </w:p>
              </w:tc>
              <w:tc>
                <w:tcPr>
                  <w:tcW w:w="523" w:type="dxa"/>
                  <w:tcBorders>
                    <w:top w:val="single" w:color="auto" w:sz="4" w:space="0"/>
                    <w:left w:val="single" w:color="auto" w:sz="4" w:space="0"/>
                    <w:bottom w:val="single" w:color="auto" w:sz="4" w:space="0"/>
                    <w:right w:val="single" w:color="auto" w:sz="4" w:space="0"/>
                  </w:tcBorders>
                  <w:noWrap w:val="0"/>
                  <w:vAlign w:val="center"/>
                </w:tcPr>
                <w:p w14:paraId="714E8A91">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排放浓度mg/m</w:t>
                  </w:r>
                  <w:r>
                    <w:rPr>
                      <w:rFonts w:hint="default" w:ascii="Times New Roman" w:hAnsi="Times New Roman" w:cs="Times New Roman"/>
                      <w:sz w:val="18"/>
                      <w:szCs w:val="18"/>
                      <w:vertAlign w:val="superscript"/>
                    </w:rPr>
                    <w:t>3</w:t>
                  </w:r>
                </w:p>
              </w:tc>
              <w:tc>
                <w:tcPr>
                  <w:tcW w:w="657" w:type="dxa"/>
                  <w:tcBorders>
                    <w:top w:val="single" w:color="auto" w:sz="4" w:space="0"/>
                    <w:left w:val="single" w:color="auto" w:sz="4" w:space="0"/>
                    <w:bottom w:val="single" w:color="auto" w:sz="4" w:space="0"/>
                    <w:right w:val="single" w:color="auto" w:sz="4" w:space="0"/>
                  </w:tcBorders>
                  <w:noWrap w:val="0"/>
                  <w:vAlign w:val="center"/>
                </w:tcPr>
                <w:p w14:paraId="0B279EC0">
                  <w:pPr>
                    <w:spacing w:line="240" w:lineRule="auto"/>
                    <w:jc w:val="center"/>
                    <w:rPr>
                      <w:rFonts w:hint="default" w:ascii="Times New Roman" w:hAnsi="Times New Roman" w:cs="Times New Roman"/>
                      <w:sz w:val="18"/>
                      <w:szCs w:val="18"/>
                    </w:rPr>
                  </w:pPr>
                  <w:r>
                    <w:rPr>
                      <w:rFonts w:hint="default" w:ascii="Times New Roman" w:hAnsi="Times New Roman" w:cs="Times New Roman"/>
                      <w:sz w:val="18"/>
                      <w:szCs w:val="18"/>
                    </w:rPr>
                    <w:t>排放速率kg/h</w:t>
                  </w:r>
                </w:p>
              </w:tc>
              <w:tc>
                <w:tcPr>
                  <w:tcW w:w="579" w:type="dxa"/>
                  <w:tcBorders>
                    <w:top w:val="single" w:color="auto" w:sz="4" w:space="0"/>
                    <w:left w:val="single" w:color="auto" w:sz="4" w:space="0"/>
                    <w:bottom w:val="single" w:color="auto" w:sz="4" w:space="0"/>
                    <w:right w:val="single" w:color="auto" w:sz="4" w:space="0"/>
                  </w:tcBorders>
                  <w:noWrap w:val="0"/>
                  <w:vAlign w:val="center"/>
                </w:tcPr>
                <w:p w14:paraId="174F2A0C">
                  <w:pPr>
                    <w:spacing w:line="240" w:lineRule="auto"/>
                    <w:jc w:val="center"/>
                    <w:rPr>
                      <w:rFonts w:hint="default" w:ascii="Times New Roman" w:hAnsi="Times New Roman" w:cs="Times New Roman"/>
                      <w:sz w:val="18"/>
                      <w:szCs w:val="18"/>
                      <w:lang w:eastAsia="zh-CN"/>
                    </w:rPr>
                  </w:pPr>
                  <w:r>
                    <w:rPr>
                      <w:rFonts w:hint="default" w:ascii="Times New Roman" w:hAnsi="Times New Roman" w:cs="Times New Roman"/>
                      <w:sz w:val="18"/>
                      <w:szCs w:val="18"/>
                      <w:lang w:eastAsia="zh-CN"/>
                    </w:rPr>
                    <w:t>持续时间</w:t>
                  </w:r>
                </w:p>
                <w:p w14:paraId="598E28AB">
                  <w:pPr>
                    <w:pStyle w:val="2"/>
                    <w:spacing w:line="240" w:lineRule="auto"/>
                    <w:ind w:left="0" w:leftChars="0" w:firstLine="0" w:firstLineChars="0"/>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h/a</w:t>
                  </w:r>
                </w:p>
              </w:tc>
              <w:tc>
                <w:tcPr>
                  <w:tcW w:w="641" w:type="dxa"/>
                  <w:tcBorders>
                    <w:top w:val="single" w:color="auto" w:sz="4" w:space="0"/>
                    <w:left w:val="single" w:color="auto" w:sz="4" w:space="0"/>
                    <w:bottom w:val="single" w:color="auto" w:sz="4" w:space="0"/>
                    <w:right w:val="single" w:color="auto" w:sz="4" w:space="0"/>
                  </w:tcBorders>
                  <w:noWrap w:val="0"/>
                  <w:vAlign w:val="center"/>
                </w:tcPr>
                <w:p w14:paraId="07EABD8A">
                  <w:pPr>
                    <w:spacing w:line="240" w:lineRule="auto"/>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lang w:eastAsia="zh-CN"/>
                    </w:rPr>
                    <w:t>排放形式</w:t>
                  </w:r>
                </w:p>
              </w:tc>
            </w:tr>
            <w:tr w14:paraId="49466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419" w:type="dxa"/>
                  <w:vMerge w:val="restart"/>
                  <w:tcBorders>
                    <w:top w:val="single" w:color="auto" w:sz="4" w:space="0"/>
                    <w:left w:val="single" w:color="auto" w:sz="4" w:space="0"/>
                    <w:right w:val="single" w:color="auto" w:sz="4" w:space="0"/>
                  </w:tcBorders>
                  <w:noWrap w:val="0"/>
                  <w:vAlign w:val="center"/>
                </w:tcPr>
                <w:p w14:paraId="757416C4">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静电喷塑</w:t>
                  </w:r>
                </w:p>
              </w:tc>
              <w:tc>
                <w:tcPr>
                  <w:tcW w:w="490" w:type="dxa"/>
                  <w:vMerge w:val="restart"/>
                  <w:tcBorders>
                    <w:top w:val="single" w:color="auto" w:sz="4" w:space="0"/>
                    <w:left w:val="single" w:color="auto" w:sz="4" w:space="0"/>
                    <w:right w:val="single" w:color="auto" w:sz="4" w:space="0"/>
                  </w:tcBorders>
                  <w:noWrap w:val="0"/>
                  <w:vAlign w:val="center"/>
                </w:tcPr>
                <w:p w14:paraId="4568E60C">
                  <w:pPr>
                    <w:spacing w:line="240" w:lineRule="auto"/>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颗粒物</w:t>
                  </w:r>
                </w:p>
              </w:tc>
              <w:tc>
                <w:tcPr>
                  <w:tcW w:w="536" w:type="dxa"/>
                  <w:vMerge w:val="restart"/>
                  <w:tcBorders>
                    <w:top w:val="single" w:color="auto" w:sz="4" w:space="0"/>
                    <w:left w:val="single" w:color="auto" w:sz="4" w:space="0"/>
                    <w:right w:val="single" w:color="auto" w:sz="4" w:space="0"/>
                  </w:tcBorders>
                  <w:noWrap w:val="0"/>
                  <w:vAlign w:val="center"/>
                </w:tcPr>
                <w:p w14:paraId="68D971FD">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1.494</w:t>
                  </w:r>
                </w:p>
              </w:tc>
              <w:tc>
                <w:tcPr>
                  <w:tcW w:w="640" w:type="dxa"/>
                  <w:tcBorders>
                    <w:top w:val="single" w:color="auto" w:sz="4" w:space="0"/>
                    <w:left w:val="single" w:color="auto" w:sz="4" w:space="0"/>
                    <w:bottom w:val="single" w:color="auto" w:sz="4" w:space="0"/>
                    <w:right w:val="single" w:color="auto" w:sz="4" w:space="0"/>
                  </w:tcBorders>
                  <w:noWrap w:val="0"/>
                  <w:vAlign w:val="center"/>
                </w:tcPr>
                <w:p w14:paraId="1D1386A0">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vertAlign w:val="baseline"/>
                      <w:lang w:val="en-US" w:eastAsia="zh-CN"/>
                    </w:rPr>
                    <w:t>1.345</w:t>
                  </w:r>
                </w:p>
              </w:tc>
              <w:tc>
                <w:tcPr>
                  <w:tcW w:w="580" w:type="dxa"/>
                  <w:tcBorders>
                    <w:top w:val="single" w:color="auto" w:sz="4" w:space="0"/>
                    <w:left w:val="single" w:color="auto" w:sz="4" w:space="0"/>
                    <w:bottom w:val="single" w:color="auto" w:sz="4" w:space="0"/>
                    <w:right w:val="single" w:color="auto" w:sz="4" w:space="0"/>
                  </w:tcBorders>
                  <w:noWrap w:val="0"/>
                  <w:vAlign w:val="center"/>
                </w:tcPr>
                <w:p w14:paraId="372BC487">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186.8</w:t>
                  </w:r>
                </w:p>
              </w:tc>
              <w:tc>
                <w:tcPr>
                  <w:tcW w:w="610" w:type="dxa"/>
                  <w:tcBorders>
                    <w:top w:val="single" w:color="auto" w:sz="4" w:space="0"/>
                    <w:left w:val="single" w:color="auto" w:sz="4" w:space="0"/>
                    <w:bottom w:val="single" w:color="auto" w:sz="4" w:space="0"/>
                    <w:right w:val="single" w:color="auto" w:sz="4" w:space="0"/>
                  </w:tcBorders>
                  <w:noWrap w:val="0"/>
                  <w:vAlign w:val="center"/>
                </w:tcPr>
                <w:p w14:paraId="3E0DC7D5">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1.1208</w:t>
                  </w:r>
                </w:p>
              </w:tc>
              <w:tc>
                <w:tcPr>
                  <w:tcW w:w="519" w:type="dxa"/>
                  <w:tcBorders>
                    <w:top w:val="single" w:color="auto" w:sz="4" w:space="0"/>
                    <w:left w:val="single" w:color="auto" w:sz="4" w:space="0"/>
                    <w:bottom w:val="single" w:color="auto" w:sz="4" w:space="0"/>
                    <w:right w:val="single" w:color="auto" w:sz="4" w:space="0"/>
                  </w:tcBorders>
                  <w:noWrap w:val="0"/>
                  <w:vAlign w:val="center"/>
                </w:tcPr>
                <w:p w14:paraId="371A84BA">
                  <w:pPr>
                    <w:spacing w:line="240" w:lineRule="auto"/>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6000</w:t>
                  </w:r>
                </w:p>
              </w:tc>
              <w:tc>
                <w:tcPr>
                  <w:tcW w:w="367" w:type="dxa"/>
                  <w:tcBorders>
                    <w:top w:val="single" w:color="auto" w:sz="4" w:space="0"/>
                    <w:left w:val="single" w:color="auto" w:sz="4" w:space="0"/>
                    <w:bottom w:val="single" w:color="auto" w:sz="4" w:space="0"/>
                    <w:right w:val="single" w:color="auto" w:sz="4" w:space="0"/>
                  </w:tcBorders>
                  <w:noWrap w:val="0"/>
                  <w:vAlign w:val="center"/>
                </w:tcPr>
                <w:p w14:paraId="73374C7D">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9</w:t>
                  </w:r>
                  <w:r>
                    <w:rPr>
                      <w:rFonts w:hint="eastAsia" w:ascii="Times New Roman" w:hAnsi="Times New Roman" w:cs="Times New Roman"/>
                      <w:sz w:val="18"/>
                      <w:szCs w:val="18"/>
                      <w:lang w:val="en-US" w:eastAsia="zh-CN"/>
                    </w:rPr>
                    <w:t>0</w:t>
                  </w:r>
                </w:p>
              </w:tc>
              <w:tc>
                <w:tcPr>
                  <w:tcW w:w="503" w:type="dxa"/>
                  <w:tcBorders>
                    <w:top w:val="single" w:color="auto" w:sz="4" w:space="0"/>
                    <w:left w:val="single" w:color="auto" w:sz="4" w:space="0"/>
                    <w:bottom w:val="single" w:color="auto" w:sz="4" w:space="0"/>
                    <w:right w:val="single" w:color="auto" w:sz="4" w:space="0"/>
                  </w:tcBorders>
                  <w:noWrap w:val="0"/>
                  <w:vAlign w:val="center"/>
                </w:tcPr>
                <w:p w14:paraId="25FE2F9F">
                  <w:pPr>
                    <w:spacing w:line="240" w:lineRule="auto"/>
                    <w:jc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滤筒除尘</w:t>
                  </w:r>
                </w:p>
              </w:tc>
              <w:tc>
                <w:tcPr>
                  <w:tcW w:w="397" w:type="dxa"/>
                  <w:tcBorders>
                    <w:top w:val="single" w:color="auto" w:sz="4" w:space="0"/>
                    <w:left w:val="single" w:color="auto" w:sz="4" w:space="0"/>
                    <w:bottom w:val="single" w:color="auto" w:sz="4" w:space="0"/>
                    <w:right w:val="single" w:color="auto" w:sz="4" w:space="0"/>
                  </w:tcBorders>
                  <w:noWrap w:val="0"/>
                  <w:vAlign w:val="center"/>
                </w:tcPr>
                <w:p w14:paraId="75DD7120">
                  <w:pPr>
                    <w:spacing w:line="240" w:lineRule="auto"/>
                    <w:jc w:val="center"/>
                    <w:rPr>
                      <w:rFonts w:hint="default" w:ascii="Times New Roman" w:hAnsi="Times New Roman" w:eastAsia="宋体" w:cs="Times New Roman"/>
                      <w:sz w:val="18"/>
                      <w:szCs w:val="18"/>
                      <w:lang w:val="en-US" w:eastAsia="zh-CN"/>
                    </w:rPr>
                  </w:pPr>
                  <w:r>
                    <w:rPr>
                      <w:rFonts w:hint="eastAsia" w:ascii="Times New Roman" w:hAnsi="Times New Roman" w:cs="Times New Roman"/>
                      <w:sz w:val="18"/>
                      <w:szCs w:val="18"/>
                      <w:lang w:val="en-US" w:eastAsia="zh-CN"/>
                    </w:rPr>
                    <w:t>95</w:t>
                  </w:r>
                </w:p>
              </w:tc>
              <w:tc>
                <w:tcPr>
                  <w:tcW w:w="428" w:type="dxa"/>
                  <w:tcBorders>
                    <w:top w:val="single" w:color="auto" w:sz="4" w:space="0"/>
                    <w:left w:val="single" w:color="auto" w:sz="4" w:space="0"/>
                    <w:bottom w:val="single" w:color="auto" w:sz="4" w:space="0"/>
                    <w:right w:val="single" w:color="auto" w:sz="4" w:space="0"/>
                  </w:tcBorders>
                  <w:noWrap w:val="0"/>
                  <w:vAlign w:val="center"/>
                </w:tcPr>
                <w:p w14:paraId="79A74EB2">
                  <w:pPr>
                    <w:spacing w:line="240" w:lineRule="auto"/>
                    <w:jc w:val="center"/>
                    <w:rPr>
                      <w:rFonts w:hint="default" w:ascii="Times New Roman" w:hAnsi="Times New Roman" w:eastAsia="宋体" w:cs="Times New Roman"/>
                      <w:sz w:val="18"/>
                      <w:szCs w:val="18"/>
                      <w:lang w:eastAsia="zh-CN"/>
                    </w:rPr>
                  </w:pPr>
                  <w:r>
                    <w:rPr>
                      <w:rFonts w:hint="eastAsia" w:cs="Times New Roman"/>
                      <w:sz w:val="18"/>
                      <w:szCs w:val="18"/>
                      <w:lang w:val="en-US" w:eastAsia="zh-CN"/>
                    </w:rPr>
                    <w:t>是</w:t>
                  </w:r>
                </w:p>
              </w:tc>
              <w:tc>
                <w:tcPr>
                  <w:tcW w:w="545" w:type="dxa"/>
                  <w:tcBorders>
                    <w:top w:val="single" w:color="auto" w:sz="4" w:space="0"/>
                    <w:left w:val="single" w:color="auto" w:sz="4" w:space="0"/>
                    <w:bottom w:val="single" w:color="auto" w:sz="4" w:space="0"/>
                    <w:right w:val="single" w:color="auto" w:sz="4" w:space="0"/>
                  </w:tcBorders>
                  <w:noWrap w:val="0"/>
                  <w:vAlign w:val="center"/>
                </w:tcPr>
                <w:p w14:paraId="41DFE7B4">
                  <w:pPr>
                    <w:keepNext w:val="0"/>
                    <w:keepLines w:val="0"/>
                    <w:widowControl/>
                    <w:suppressLineNumbers w:val="0"/>
                    <w:jc w:val="center"/>
                    <w:textAlignment w:val="center"/>
                    <w:rPr>
                      <w:rFonts w:hint="default" w:ascii="Times New Roman" w:hAnsi="Times New Roman" w:eastAsia="宋体" w:cs="Times New Roman"/>
                      <w:kern w:val="0"/>
                      <w:sz w:val="18"/>
                      <w:szCs w:val="18"/>
                      <w:lang w:val="en-US" w:eastAsia="zh-CN"/>
                    </w:rPr>
                  </w:pPr>
                  <w:r>
                    <w:rPr>
                      <w:rFonts w:hint="eastAsia" w:ascii="Times New Roman" w:hAnsi="Times New Roman" w:eastAsia="宋体" w:cs="Times New Roman"/>
                      <w:kern w:val="0"/>
                      <w:sz w:val="18"/>
                      <w:szCs w:val="18"/>
                      <w:lang w:val="en-US" w:eastAsia="zh-CN"/>
                    </w:rPr>
                    <w:t>0.067</w:t>
                  </w:r>
                </w:p>
              </w:tc>
              <w:tc>
                <w:tcPr>
                  <w:tcW w:w="523" w:type="dxa"/>
                  <w:tcBorders>
                    <w:top w:val="single" w:color="auto" w:sz="4" w:space="0"/>
                    <w:left w:val="single" w:color="auto" w:sz="4" w:space="0"/>
                    <w:bottom w:val="single" w:color="auto" w:sz="4" w:space="0"/>
                    <w:right w:val="single" w:color="auto" w:sz="4" w:space="0"/>
                  </w:tcBorders>
                  <w:noWrap w:val="0"/>
                  <w:vAlign w:val="center"/>
                </w:tcPr>
                <w:p w14:paraId="66515ED4">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9.3</w:t>
                  </w:r>
                </w:p>
              </w:tc>
              <w:tc>
                <w:tcPr>
                  <w:tcW w:w="657" w:type="dxa"/>
                  <w:tcBorders>
                    <w:top w:val="single" w:color="auto" w:sz="4" w:space="0"/>
                    <w:left w:val="single" w:color="auto" w:sz="4" w:space="0"/>
                    <w:bottom w:val="single" w:color="auto" w:sz="4" w:space="0"/>
                    <w:right w:val="single" w:color="auto" w:sz="4" w:space="0"/>
                  </w:tcBorders>
                  <w:noWrap w:val="0"/>
                  <w:vAlign w:val="center"/>
                </w:tcPr>
                <w:p w14:paraId="0BCC233D">
                  <w:pPr>
                    <w:keepNext w:val="0"/>
                    <w:keepLines w:val="0"/>
                    <w:widowControl/>
                    <w:suppressLineNumbers w:val="0"/>
                    <w:jc w:val="center"/>
                    <w:textAlignment w:val="center"/>
                    <w:rPr>
                      <w:rFonts w:hint="default" w:ascii="Times New Roman" w:hAnsi="Times New Roman" w:eastAsia="宋体" w:cs="Times New Roman"/>
                      <w:sz w:val="18"/>
                      <w:szCs w:val="18"/>
                      <w:lang w:val="en-US" w:eastAsia="zh-CN"/>
                    </w:rPr>
                  </w:pPr>
                  <w:r>
                    <w:rPr>
                      <w:rFonts w:hint="eastAsia" w:ascii="Times New Roman" w:hAnsi="Times New Roman" w:eastAsia="宋体" w:cs="Times New Roman"/>
                      <w:sz w:val="18"/>
                      <w:szCs w:val="18"/>
                      <w:lang w:val="en-US" w:eastAsia="zh-CN"/>
                    </w:rPr>
                    <w:t>0.0558</w:t>
                  </w:r>
                </w:p>
              </w:tc>
              <w:tc>
                <w:tcPr>
                  <w:tcW w:w="579" w:type="dxa"/>
                  <w:vMerge w:val="restart"/>
                  <w:tcBorders>
                    <w:top w:val="single" w:color="auto" w:sz="4" w:space="0"/>
                    <w:left w:val="single" w:color="auto" w:sz="4" w:space="0"/>
                    <w:right w:val="single" w:color="auto" w:sz="4" w:space="0"/>
                  </w:tcBorders>
                  <w:noWrap w:val="0"/>
                  <w:vAlign w:val="center"/>
                </w:tcPr>
                <w:p w14:paraId="16207A7B">
                  <w:pPr>
                    <w:spacing w:line="240" w:lineRule="auto"/>
                    <w:jc w:val="center"/>
                    <w:rPr>
                      <w:rFonts w:hint="default" w:ascii="Times New Roman" w:hAnsi="Times New Roman" w:cs="Times New Roman"/>
                      <w:sz w:val="18"/>
                      <w:szCs w:val="18"/>
                      <w:lang w:val="en-US" w:eastAsia="zh-CN"/>
                    </w:rPr>
                  </w:pPr>
                  <w:r>
                    <w:rPr>
                      <w:rFonts w:hint="eastAsia" w:cs="Times New Roman"/>
                      <w:sz w:val="18"/>
                      <w:szCs w:val="18"/>
                      <w:lang w:val="en-US" w:eastAsia="zh-CN"/>
                    </w:rPr>
                    <w:t>1200</w:t>
                  </w:r>
                </w:p>
              </w:tc>
              <w:tc>
                <w:tcPr>
                  <w:tcW w:w="641" w:type="dxa"/>
                  <w:tcBorders>
                    <w:top w:val="single" w:color="auto" w:sz="4" w:space="0"/>
                    <w:left w:val="single" w:color="auto" w:sz="4" w:space="0"/>
                    <w:bottom w:val="single" w:color="auto" w:sz="4" w:space="0"/>
                    <w:right w:val="single" w:color="auto" w:sz="4" w:space="0"/>
                  </w:tcBorders>
                  <w:noWrap w:val="0"/>
                  <w:vAlign w:val="center"/>
                </w:tcPr>
                <w:p w14:paraId="3FE5C9F6">
                  <w:pPr>
                    <w:spacing w:line="240" w:lineRule="auto"/>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DA00</w:t>
                  </w:r>
                  <w:r>
                    <w:rPr>
                      <w:rFonts w:hint="eastAsia" w:ascii="Times New Roman" w:hAnsi="Times New Roman" w:cs="Times New Roman"/>
                      <w:sz w:val="18"/>
                      <w:szCs w:val="18"/>
                      <w:lang w:val="en-US" w:eastAsia="zh-CN"/>
                    </w:rPr>
                    <w:t>2</w:t>
                  </w:r>
                  <w:r>
                    <w:rPr>
                      <w:rFonts w:hint="default" w:ascii="Times New Roman" w:hAnsi="Times New Roman" w:cs="Times New Roman"/>
                      <w:sz w:val="18"/>
                      <w:szCs w:val="18"/>
                      <w:lang w:val="en-US" w:eastAsia="zh-CN"/>
                    </w:rPr>
                    <w:t>排气筒</w:t>
                  </w:r>
                </w:p>
              </w:tc>
            </w:tr>
            <w:tr w14:paraId="3167E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0" w:hRule="atLeast"/>
                <w:jc w:val="center"/>
              </w:trPr>
              <w:tc>
                <w:tcPr>
                  <w:tcW w:w="419" w:type="dxa"/>
                  <w:vMerge w:val="continue"/>
                  <w:tcBorders>
                    <w:left w:val="single" w:color="auto" w:sz="4" w:space="0"/>
                    <w:right w:val="single" w:color="auto" w:sz="4" w:space="0"/>
                  </w:tcBorders>
                  <w:noWrap w:val="0"/>
                  <w:vAlign w:val="center"/>
                </w:tcPr>
                <w:p w14:paraId="0E8D8818">
                  <w:pPr>
                    <w:spacing w:line="240" w:lineRule="auto"/>
                    <w:jc w:val="center"/>
                    <w:rPr>
                      <w:rFonts w:hint="default" w:ascii="Times New Roman" w:hAnsi="Times New Roman" w:cs="Times New Roman"/>
                      <w:sz w:val="18"/>
                      <w:szCs w:val="18"/>
                      <w:lang w:val="en-US" w:eastAsia="zh-CN"/>
                    </w:rPr>
                  </w:pPr>
                </w:p>
              </w:tc>
              <w:tc>
                <w:tcPr>
                  <w:tcW w:w="490" w:type="dxa"/>
                  <w:vMerge w:val="continue"/>
                  <w:tcBorders>
                    <w:left w:val="single" w:color="auto" w:sz="4" w:space="0"/>
                    <w:right w:val="single" w:color="auto" w:sz="4" w:space="0"/>
                  </w:tcBorders>
                  <w:noWrap w:val="0"/>
                  <w:vAlign w:val="center"/>
                </w:tcPr>
                <w:p w14:paraId="5A16A421">
                  <w:pPr>
                    <w:spacing w:line="240" w:lineRule="auto"/>
                    <w:jc w:val="center"/>
                    <w:rPr>
                      <w:rFonts w:hint="default" w:ascii="Times New Roman" w:hAnsi="Times New Roman" w:cs="Times New Roman"/>
                      <w:sz w:val="18"/>
                      <w:szCs w:val="18"/>
                      <w:lang w:val="en-US" w:eastAsia="zh-CN"/>
                    </w:rPr>
                  </w:pPr>
                </w:p>
              </w:tc>
              <w:tc>
                <w:tcPr>
                  <w:tcW w:w="536" w:type="dxa"/>
                  <w:vMerge w:val="continue"/>
                  <w:tcBorders>
                    <w:left w:val="single" w:color="auto" w:sz="4" w:space="0"/>
                    <w:right w:val="single" w:color="auto" w:sz="4" w:space="0"/>
                  </w:tcBorders>
                  <w:noWrap w:val="0"/>
                  <w:vAlign w:val="center"/>
                </w:tcPr>
                <w:p w14:paraId="583F36DA">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p>
              </w:tc>
              <w:tc>
                <w:tcPr>
                  <w:tcW w:w="640" w:type="dxa"/>
                  <w:tcBorders>
                    <w:top w:val="single" w:color="auto" w:sz="4" w:space="0"/>
                    <w:left w:val="single" w:color="auto" w:sz="4" w:space="0"/>
                    <w:bottom w:val="single" w:color="auto" w:sz="4" w:space="0"/>
                    <w:right w:val="single" w:color="auto" w:sz="4" w:space="0"/>
                  </w:tcBorders>
                  <w:noWrap w:val="0"/>
                  <w:vAlign w:val="center"/>
                </w:tcPr>
                <w:p w14:paraId="354040E9">
                  <w:pPr>
                    <w:keepNext w:val="0"/>
                    <w:keepLines w:val="0"/>
                    <w:widowControl/>
                    <w:suppressLineNumbers w:val="0"/>
                    <w:jc w:val="center"/>
                    <w:textAlignment w:val="center"/>
                    <w:rPr>
                      <w:rFonts w:hint="default" w:ascii="Times New Roman" w:hAnsi="Times New Roman" w:cs="Times New Roman"/>
                      <w:sz w:val="18"/>
                      <w:szCs w:val="18"/>
                      <w:vertAlign w:val="baseline"/>
                      <w:lang w:val="en-US" w:eastAsia="zh-CN"/>
                    </w:rPr>
                  </w:pPr>
                  <w:r>
                    <w:rPr>
                      <w:rFonts w:hint="eastAsia" w:ascii="Times New Roman" w:hAnsi="Times New Roman" w:cs="Times New Roman"/>
                      <w:sz w:val="18"/>
                      <w:szCs w:val="18"/>
                      <w:vertAlign w:val="baseline"/>
                      <w:lang w:val="en-US" w:eastAsia="zh-CN"/>
                    </w:rPr>
                    <w:t>0.149</w:t>
                  </w:r>
                </w:p>
              </w:tc>
              <w:tc>
                <w:tcPr>
                  <w:tcW w:w="580" w:type="dxa"/>
                  <w:tcBorders>
                    <w:top w:val="single" w:color="auto" w:sz="4" w:space="0"/>
                    <w:left w:val="single" w:color="auto" w:sz="4" w:space="0"/>
                    <w:bottom w:val="single" w:color="auto" w:sz="4" w:space="0"/>
                    <w:right w:val="single" w:color="auto" w:sz="4" w:space="0"/>
                  </w:tcBorders>
                  <w:noWrap w:val="0"/>
                  <w:vAlign w:val="center"/>
                </w:tcPr>
                <w:p w14:paraId="0B7B6DA8">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10" w:type="dxa"/>
                  <w:tcBorders>
                    <w:top w:val="single" w:color="auto" w:sz="4" w:space="0"/>
                    <w:left w:val="single" w:color="auto" w:sz="4" w:space="0"/>
                    <w:bottom w:val="single" w:color="auto" w:sz="4" w:space="0"/>
                    <w:right w:val="single" w:color="auto" w:sz="4" w:space="0"/>
                  </w:tcBorders>
                  <w:noWrap w:val="0"/>
                  <w:vAlign w:val="center"/>
                </w:tcPr>
                <w:p w14:paraId="7BD237AF">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r>
                    <w:rPr>
                      <w:rFonts w:hint="eastAsia" w:ascii="Times New Roman" w:hAnsi="Times New Roman" w:cs="Times New Roman"/>
                      <w:sz w:val="18"/>
                      <w:szCs w:val="18"/>
                      <w:lang w:val="en-US" w:eastAsia="zh-CN"/>
                    </w:rPr>
                    <w:t>1242</w:t>
                  </w:r>
                </w:p>
              </w:tc>
              <w:tc>
                <w:tcPr>
                  <w:tcW w:w="519" w:type="dxa"/>
                  <w:tcBorders>
                    <w:top w:val="single" w:color="auto" w:sz="4" w:space="0"/>
                    <w:left w:val="single" w:color="auto" w:sz="4" w:space="0"/>
                    <w:bottom w:val="single" w:color="auto" w:sz="4" w:space="0"/>
                    <w:right w:val="single" w:color="auto" w:sz="4" w:space="0"/>
                  </w:tcBorders>
                  <w:noWrap w:val="0"/>
                  <w:vAlign w:val="center"/>
                </w:tcPr>
                <w:p w14:paraId="120C4D6B">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367" w:type="dxa"/>
                  <w:tcBorders>
                    <w:top w:val="single" w:color="auto" w:sz="4" w:space="0"/>
                    <w:left w:val="single" w:color="auto" w:sz="4" w:space="0"/>
                    <w:bottom w:val="single" w:color="auto" w:sz="4" w:space="0"/>
                    <w:right w:val="single" w:color="auto" w:sz="4" w:space="0"/>
                  </w:tcBorders>
                  <w:noWrap w:val="0"/>
                  <w:vAlign w:val="center"/>
                </w:tcPr>
                <w:p w14:paraId="17F82BC3">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03" w:type="dxa"/>
                  <w:tcBorders>
                    <w:top w:val="single" w:color="auto" w:sz="4" w:space="0"/>
                    <w:left w:val="single" w:color="auto" w:sz="4" w:space="0"/>
                    <w:bottom w:val="single" w:color="auto" w:sz="4" w:space="0"/>
                    <w:right w:val="single" w:color="auto" w:sz="4" w:space="0"/>
                  </w:tcBorders>
                  <w:noWrap w:val="0"/>
                  <w:vAlign w:val="center"/>
                </w:tcPr>
                <w:p w14:paraId="73714A40">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397" w:type="dxa"/>
                  <w:tcBorders>
                    <w:top w:val="single" w:color="auto" w:sz="4" w:space="0"/>
                    <w:left w:val="single" w:color="auto" w:sz="4" w:space="0"/>
                    <w:bottom w:val="single" w:color="auto" w:sz="4" w:space="0"/>
                    <w:right w:val="single" w:color="auto" w:sz="4" w:space="0"/>
                  </w:tcBorders>
                  <w:noWrap w:val="0"/>
                  <w:vAlign w:val="center"/>
                </w:tcPr>
                <w:p w14:paraId="52B84D27">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428" w:type="dxa"/>
                  <w:tcBorders>
                    <w:top w:val="single" w:color="auto" w:sz="4" w:space="0"/>
                    <w:left w:val="single" w:color="auto" w:sz="4" w:space="0"/>
                    <w:bottom w:val="single" w:color="auto" w:sz="4" w:space="0"/>
                    <w:right w:val="single" w:color="auto" w:sz="4" w:space="0"/>
                  </w:tcBorders>
                  <w:noWrap w:val="0"/>
                  <w:vAlign w:val="center"/>
                </w:tcPr>
                <w:p w14:paraId="5191C2DA">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545" w:type="dxa"/>
                  <w:tcBorders>
                    <w:top w:val="single" w:color="auto" w:sz="4" w:space="0"/>
                    <w:left w:val="single" w:color="auto" w:sz="4" w:space="0"/>
                    <w:bottom w:val="single" w:color="auto" w:sz="4" w:space="0"/>
                    <w:right w:val="single" w:color="auto" w:sz="4" w:space="0"/>
                  </w:tcBorders>
                  <w:noWrap w:val="0"/>
                  <w:vAlign w:val="center"/>
                </w:tcPr>
                <w:p w14:paraId="7FAC125A">
                  <w:pPr>
                    <w:keepNext w:val="0"/>
                    <w:keepLines w:val="0"/>
                    <w:widowControl/>
                    <w:suppressLineNumbers w:val="0"/>
                    <w:jc w:val="center"/>
                    <w:textAlignment w:val="center"/>
                    <w:rPr>
                      <w:rFonts w:hint="default" w:ascii="Times New Roman" w:hAnsi="Times New Roman" w:cs="Times New Roman"/>
                      <w:kern w:val="0"/>
                      <w:sz w:val="18"/>
                      <w:szCs w:val="18"/>
                      <w:lang w:val="en-US" w:eastAsia="zh-CN"/>
                    </w:rPr>
                  </w:pPr>
                  <w:r>
                    <w:rPr>
                      <w:rFonts w:hint="default" w:ascii="Times New Roman" w:hAnsi="Times New Roman" w:cs="Times New Roman"/>
                      <w:sz w:val="18"/>
                      <w:szCs w:val="18"/>
                      <w:vertAlign w:val="baseline"/>
                      <w:lang w:val="en-US" w:eastAsia="zh-CN"/>
                    </w:rPr>
                    <w:t>0.</w:t>
                  </w:r>
                  <w:r>
                    <w:rPr>
                      <w:rFonts w:hint="eastAsia" w:ascii="Times New Roman" w:hAnsi="Times New Roman" w:cs="Times New Roman"/>
                      <w:sz w:val="18"/>
                      <w:szCs w:val="18"/>
                      <w:vertAlign w:val="baseline"/>
                      <w:lang w:val="en-US" w:eastAsia="zh-CN"/>
                    </w:rPr>
                    <w:t>149</w:t>
                  </w:r>
                </w:p>
              </w:tc>
              <w:tc>
                <w:tcPr>
                  <w:tcW w:w="523" w:type="dxa"/>
                  <w:tcBorders>
                    <w:top w:val="single" w:color="auto" w:sz="4" w:space="0"/>
                    <w:left w:val="single" w:color="auto" w:sz="4" w:space="0"/>
                    <w:bottom w:val="single" w:color="auto" w:sz="4" w:space="0"/>
                    <w:right w:val="single" w:color="auto" w:sz="4" w:space="0"/>
                  </w:tcBorders>
                  <w:noWrap w:val="0"/>
                  <w:vAlign w:val="center"/>
                </w:tcPr>
                <w:p w14:paraId="29EA9CBA">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w:t>
                  </w:r>
                </w:p>
              </w:tc>
              <w:tc>
                <w:tcPr>
                  <w:tcW w:w="657" w:type="dxa"/>
                  <w:tcBorders>
                    <w:top w:val="single" w:color="auto" w:sz="4" w:space="0"/>
                    <w:left w:val="single" w:color="auto" w:sz="4" w:space="0"/>
                    <w:bottom w:val="single" w:color="auto" w:sz="4" w:space="0"/>
                    <w:right w:val="single" w:color="auto" w:sz="4" w:space="0"/>
                  </w:tcBorders>
                  <w:noWrap w:val="0"/>
                  <w:vAlign w:val="center"/>
                </w:tcPr>
                <w:p w14:paraId="315F1693">
                  <w:pPr>
                    <w:keepNext w:val="0"/>
                    <w:keepLines w:val="0"/>
                    <w:widowControl/>
                    <w:suppressLineNumbers w:val="0"/>
                    <w:jc w:val="center"/>
                    <w:textAlignment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0.</w:t>
                  </w:r>
                  <w:r>
                    <w:rPr>
                      <w:rFonts w:hint="eastAsia" w:ascii="Times New Roman" w:hAnsi="Times New Roman" w:cs="Times New Roman"/>
                      <w:sz w:val="18"/>
                      <w:szCs w:val="18"/>
                      <w:lang w:val="en-US" w:eastAsia="zh-CN"/>
                    </w:rPr>
                    <w:t>1242</w:t>
                  </w:r>
                </w:p>
              </w:tc>
              <w:tc>
                <w:tcPr>
                  <w:tcW w:w="579" w:type="dxa"/>
                  <w:vMerge w:val="continue"/>
                  <w:tcBorders>
                    <w:left w:val="single" w:color="auto" w:sz="4" w:space="0"/>
                    <w:right w:val="single" w:color="auto" w:sz="4" w:space="0"/>
                  </w:tcBorders>
                  <w:noWrap w:val="0"/>
                  <w:vAlign w:val="center"/>
                </w:tcPr>
                <w:p w14:paraId="425D0B5B">
                  <w:pPr>
                    <w:spacing w:line="240" w:lineRule="auto"/>
                    <w:jc w:val="center"/>
                    <w:rPr>
                      <w:rFonts w:hint="default" w:ascii="Times New Roman" w:hAnsi="Times New Roman" w:cs="Times New Roman"/>
                      <w:sz w:val="18"/>
                      <w:szCs w:val="18"/>
                      <w:lang w:val="en-US" w:eastAsia="zh-CN"/>
                    </w:rPr>
                  </w:pPr>
                </w:p>
              </w:tc>
              <w:tc>
                <w:tcPr>
                  <w:tcW w:w="641" w:type="dxa"/>
                  <w:tcBorders>
                    <w:top w:val="single" w:color="auto" w:sz="4" w:space="0"/>
                    <w:left w:val="single" w:color="auto" w:sz="4" w:space="0"/>
                    <w:bottom w:val="single" w:color="auto" w:sz="4" w:space="0"/>
                    <w:right w:val="single" w:color="auto" w:sz="4" w:space="0"/>
                  </w:tcBorders>
                  <w:noWrap w:val="0"/>
                  <w:vAlign w:val="center"/>
                </w:tcPr>
                <w:p w14:paraId="049A12B3">
                  <w:pPr>
                    <w:spacing w:line="240" w:lineRule="auto"/>
                    <w:jc w:val="center"/>
                    <w:rPr>
                      <w:rFonts w:hint="default" w:ascii="Times New Roman" w:hAnsi="Times New Roman" w:cs="Times New Roman"/>
                      <w:sz w:val="18"/>
                      <w:szCs w:val="18"/>
                      <w:lang w:val="en-US" w:eastAsia="zh-CN"/>
                    </w:rPr>
                  </w:pPr>
                  <w:r>
                    <w:rPr>
                      <w:rFonts w:hint="default" w:ascii="Times New Roman" w:hAnsi="Times New Roman" w:cs="Times New Roman"/>
                      <w:sz w:val="18"/>
                      <w:szCs w:val="18"/>
                      <w:lang w:val="en-US" w:eastAsia="zh-CN"/>
                    </w:rPr>
                    <w:t>无组织</w:t>
                  </w:r>
                </w:p>
              </w:tc>
            </w:tr>
          </w:tbl>
          <w:p w14:paraId="1D7FD503">
            <w:pPr>
              <w:spacing w:line="360" w:lineRule="auto"/>
              <w:ind w:firstLine="420" w:firstLineChars="200"/>
              <w:rPr>
                <w:rFonts w:hint="default"/>
                <w:lang w:val="en-US" w:eastAsia="zh-CN"/>
              </w:rPr>
            </w:pPr>
            <w:r>
              <w:rPr>
                <w:rFonts w:hint="default" w:ascii="Times New Roman" w:hAnsi="Times New Roman" w:cs="Times New Roman"/>
                <w:sz w:val="21"/>
                <w:szCs w:val="21"/>
                <w:lang w:eastAsia="zh-CN"/>
              </w:rPr>
              <w:t>综上，</w:t>
            </w:r>
            <w:r>
              <w:rPr>
                <w:rFonts w:hint="default" w:ascii="Times New Roman" w:hAnsi="Times New Roman" w:cs="Times New Roman"/>
                <w:sz w:val="21"/>
                <w:szCs w:val="21"/>
              </w:rPr>
              <w:t>本项目</w:t>
            </w:r>
            <w:r>
              <w:rPr>
                <w:rFonts w:hint="default" w:ascii="Times New Roman" w:hAnsi="Times New Roman" w:cs="Times New Roman"/>
                <w:sz w:val="21"/>
                <w:szCs w:val="21"/>
                <w:lang w:eastAsia="zh-CN"/>
              </w:rPr>
              <w:t>营运期</w:t>
            </w:r>
            <w:r>
              <w:rPr>
                <w:rFonts w:hint="default" w:ascii="Times New Roman" w:hAnsi="Times New Roman" w:cs="Times New Roman"/>
                <w:sz w:val="21"/>
                <w:szCs w:val="21"/>
                <w:lang w:val="en-US" w:eastAsia="zh-CN"/>
              </w:rPr>
              <w:t>DA00</w:t>
            </w:r>
            <w:r>
              <w:rPr>
                <w:rFonts w:hint="eastAsia" w:cs="Times New Roman"/>
                <w:sz w:val="21"/>
                <w:szCs w:val="21"/>
                <w:lang w:val="en-US" w:eastAsia="zh-CN"/>
              </w:rPr>
              <w:t>2</w:t>
            </w:r>
            <w:r>
              <w:rPr>
                <w:rFonts w:hint="default" w:ascii="Times New Roman" w:hAnsi="Times New Roman" w:cs="Times New Roman"/>
                <w:sz w:val="21"/>
                <w:szCs w:val="21"/>
                <w:lang w:val="en-US" w:eastAsia="zh-CN"/>
              </w:rPr>
              <w:t>排气筒有组织</w:t>
            </w:r>
            <w:r>
              <w:rPr>
                <w:rFonts w:hint="eastAsia" w:ascii="Times New Roman" w:hAnsi="Times New Roman" w:cs="Times New Roman"/>
                <w:sz w:val="21"/>
                <w:szCs w:val="21"/>
                <w:lang w:val="en-US" w:eastAsia="zh-CN"/>
              </w:rPr>
              <w:t>颗粒物</w:t>
            </w:r>
            <w:r>
              <w:rPr>
                <w:rFonts w:hint="default" w:ascii="Times New Roman" w:hAnsi="Times New Roman" w:cs="Times New Roman"/>
                <w:sz w:val="21"/>
                <w:szCs w:val="21"/>
                <w:lang w:val="en-US" w:eastAsia="zh-CN"/>
              </w:rPr>
              <w:t>排放满足</w:t>
            </w:r>
            <w:r>
              <w:rPr>
                <w:rFonts w:hint="default" w:ascii="Times New Roman" w:hAnsi="Times New Roman" w:cs="Times New Roman"/>
                <w:color w:val="auto"/>
                <w:sz w:val="21"/>
                <w:szCs w:val="21"/>
                <w:lang w:eastAsia="zh-CN"/>
              </w:rPr>
              <w:t>《区域性大气污染物综合排放标准》（DB37/2376-2019）表1大气污染物排放浓度限值重点控制区要求（颗粒物：</w:t>
            </w:r>
            <w:r>
              <w:rPr>
                <w:rFonts w:hint="default" w:ascii="Times New Roman" w:hAnsi="Times New Roman" w:cs="Times New Roman"/>
                <w:color w:val="auto"/>
                <w:sz w:val="21"/>
                <w:szCs w:val="21"/>
                <w:lang w:val="en-US" w:eastAsia="zh-CN"/>
              </w:rPr>
              <w:t>1</w:t>
            </w:r>
            <w:r>
              <w:rPr>
                <w:rFonts w:hint="default" w:ascii="Times New Roman" w:hAnsi="Times New Roman" w:cs="Times New Roman"/>
                <w:kern w:val="0"/>
                <w:sz w:val="21"/>
                <w:szCs w:val="21"/>
                <w:lang w:val="en-US" w:eastAsia="zh-CN"/>
              </w:rPr>
              <w:t>0</w:t>
            </w:r>
            <w:r>
              <w:rPr>
                <w:rFonts w:hint="default" w:ascii="Times New Roman" w:hAnsi="Times New Roman" w:cs="Times New Roman"/>
                <w:kern w:val="0"/>
                <w:sz w:val="21"/>
                <w:szCs w:val="21"/>
              </w:rPr>
              <w:t>mg/m</w:t>
            </w:r>
            <w:r>
              <w:rPr>
                <w:rFonts w:hint="default" w:ascii="Times New Roman" w:hAnsi="Times New Roman" w:cs="Times New Roman"/>
                <w:kern w:val="0"/>
                <w:sz w:val="21"/>
                <w:szCs w:val="21"/>
                <w:vertAlign w:val="superscript"/>
              </w:rPr>
              <w:t>3</w:t>
            </w:r>
            <w:r>
              <w:rPr>
                <w:rFonts w:hint="default" w:ascii="Times New Roman" w:hAnsi="Times New Roman" w:cs="Times New Roman"/>
                <w:color w:val="auto"/>
                <w:sz w:val="21"/>
                <w:szCs w:val="21"/>
                <w:lang w:eastAsia="zh-CN"/>
              </w:rPr>
              <w:t>）</w:t>
            </w:r>
            <w:r>
              <w:rPr>
                <w:rFonts w:hint="default" w:ascii="Times New Roman" w:hAnsi="Times New Roman" w:cs="Times New Roman"/>
                <w:sz w:val="21"/>
                <w:szCs w:val="21"/>
                <w:lang w:eastAsia="zh-CN"/>
              </w:rPr>
              <w:t>。</w:t>
            </w:r>
          </w:p>
          <w:p w14:paraId="096D140E">
            <w:pPr>
              <w:spacing w:line="360" w:lineRule="auto"/>
              <w:ind w:firstLine="420" w:firstLineChars="200"/>
              <w:rPr>
                <w:rFonts w:hint="eastAsia"/>
                <w:lang w:eastAsia="zh-CN"/>
              </w:rPr>
            </w:pPr>
            <w:r>
              <w:rPr>
                <w:rFonts w:hint="eastAsia"/>
                <w:lang w:eastAsia="zh-CN"/>
              </w:rPr>
              <w:t>（</w:t>
            </w:r>
            <w:r>
              <w:rPr>
                <w:rFonts w:hint="eastAsia"/>
                <w:lang w:val="en-US" w:eastAsia="zh-CN"/>
              </w:rPr>
              <w:t>2</w:t>
            </w:r>
            <w:r>
              <w:rPr>
                <w:rFonts w:hint="eastAsia"/>
                <w:lang w:eastAsia="zh-CN"/>
              </w:rPr>
              <w:t>）无组织废气</w:t>
            </w:r>
          </w:p>
          <w:p w14:paraId="4F9B7BD2">
            <w:pPr>
              <w:spacing w:line="360" w:lineRule="auto"/>
              <w:ind w:firstLine="420" w:firstLineChars="200"/>
              <w:jc w:val="both"/>
              <w:rPr>
                <w:rFonts w:hint="eastAsia" w:ascii="Times New Roman" w:hAnsi="Times New Roman" w:cs="Times New Roman"/>
                <w:bCs/>
                <w:color w:val="000000"/>
                <w:sz w:val="21"/>
                <w:szCs w:val="21"/>
                <w:lang w:val="en-US" w:eastAsia="zh-CN"/>
              </w:rPr>
            </w:pPr>
            <w:r>
              <w:rPr>
                <w:rFonts w:hint="eastAsia"/>
                <w:sz w:val="21"/>
                <w:szCs w:val="21"/>
                <w:lang w:eastAsia="zh-CN"/>
              </w:rPr>
              <w:t>无组织废气主要为</w:t>
            </w:r>
            <w:r>
              <w:rPr>
                <w:rFonts w:hint="eastAsia" w:cs="Times New Roman"/>
                <w:b w:val="0"/>
                <w:bCs w:val="0"/>
                <w:kern w:val="2"/>
                <w:sz w:val="21"/>
                <w:szCs w:val="21"/>
                <w:lang w:val="en-US" w:eastAsia="zh-CN" w:bidi="ar-SA"/>
              </w:rPr>
              <w:t>碳钢板/不锈钢板下料、开孔</w:t>
            </w:r>
            <w:r>
              <w:rPr>
                <w:rFonts w:hint="eastAsia" w:cs="Times New Roman"/>
                <w:sz w:val="21"/>
                <w:szCs w:val="21"/>
                <w:lang w:eastAsia="zh-CN"/>
              </w:rPr>
              <w:t>工序产生的颗粒物（</w:t>
            </w:r>
            <w:r>
              <w:rPr>
                <w:rFonts w:hint="eastAsia" w:cs="Times New Roman"/>
                <w:sz w:val="21"/>
                <w:szCs w:val="21"/>
                <w:lang w:val="en-US" w:eastAsia="zh-CN"/>
              </w:rPr>
              <w:t>G3</w:t>
            </w:r>
            <w:r>
              <w:rPr>
                <w:rFonts w:hint="eastAsia" w:cs="Times New Roman"/>
                <w:sz w:val="21"/>
                <w:szCs w:val="21"/>
                <w:lang w:eastAsia="zh-CN"/>
              </w:rPr>
              <w:t>）；</w:t>
            </w:r>
            <w:r>
              <w:rPr>
                <w:rFonts w:hint="default" w:ascii="Times New Roman" w:hAnsi="Times New Roman" w:cs="Times New Roman"/>
                <w:sz w:val="21"/>
                <w:szCs w:val="21"/>
              </w:rPr>
              <w:t>焊接过程产生的</w:t>
            </w:r>
            <w:r>
              <w:rPr>
                <w:rFonts w:hint="eastAsia" w:cs="Times New Roman"/>
                <w:sz w:val="21"/>
                <w:szCs w:val="21"/>
                <w:lang w:eastAsia="zh-CN"/>
              </w:rPr>
              <w:t>颗粒物（</w:t>
            </w:r>
            <w:r>
              <w:rPr>
                <w:rFonts w:hint="eastAsia" w:cs="Times New Roman"/>
                <w:sz w:val="21"/>
                <w:szCs w:val="21"/>
                <w:lang w:val="en-US" w:eastAsia="zh-CN"/>
              </w:rPr>
              <w:t>G4</w:t>
            </w:r>
            <w:r>
              <w:rPr>
                <w:rFonts w:hint="eastAsia" w:cs="Times New Roman"/>
                <w:sz w:val="21"/>
                <w:szCs w:val="21"/>
                <w:lang w:eastAsia="zh-CN"/>
              </w:rPr>
              <w:t>）；</w:t>
            </w: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PPH缠绕罐开孔过程产生的颗粒物（G10）及</w:t>
            </w:r>
            <w:r>
              <w:rPr>
                <w:rFonts w:hint="eastAsia"/>
                <w:sz w:val="21"/>
                <w:szCs w:val="21"/>
              </w:rPr>
              <w:t>集气罩未收集的</w:t>
            </w:r>
            <w:r>
              <w:rPr>
                <w:rFonts w:hint="eastAsia"/>
                <w:sz w:val="21"/>
                <w:szCs w:val="21"/>
                <w:lang w:val="en-US" w:eastAsia="zh-CN"/>
              </w:rPr>
              <w:t>颗粒物、VOCs、苯乙烯</w:t>
            </w:r>
            <w:r>
              <w:rPr>
                <w:rFonts w:hint="eastAsia"/>
                <w:sz w:val="21"/>
                <w:szCs w:val="21"/>
              </w:rPr>
              <w:t>。</w:t>
            </w:r>
          </w:p>
          <w:p w14:paraId="6E3B9AF7">
            <w:pPr>
              <w:spacing w:line="360" w:lineRule="auto"/>
              <w:ind w:firstLine="420" w:firstLineChars="200"/>
              <w:rPr>
                <w:rFonts w:hint="eastAsia"/>
                <w:lang w:val="en-US" w:eastAsia="zh-CN"/>
              </w:rPr>
            </w:pPr>
            <w:r>
              <w:rPr>
                <w:rFonts w:hint="eastAsia"/>
                <w:lang w:val="en-US" w:eastAsia="zh-CN"/>
              </w:rPr>
              <w:t>1）</w:t>
            </w:r>
            <w:r>
              <w:rPr>
                <w:rFonts w:hint="eastAsia" w:cs="Times New Roman"/>
                <w:b w:val="0"/>
                <w:bCs w:val="0"/>
                <w:kern w:val="2"/>
                <w:sz w:val="21"/>
                <w:szCs w:val="21"/>
                <w:lang w:val="en-US" w:eastAsia="zh-CN" w:bidi="ar-SA"/>
              </w:rPr>
              <w:t>碳钢板/不锈钢板下料、开孔</w:t>
            </w:r>
            <w:r>
              <w:rPr>
                <w:rFonts w:hint="eastAsia" w:cs="Times New Roman"/>
                <w:sz w:val="21"/>
                <w:szCs w:val="21"/>
                <w:lang w:eastAsia="zh-CN"/>
              </w:rPr>
              <w:t>工序产生的颗粒物（</w:t>
            </w:r>
            <w:r>
              <w:rPr>
                <w:rFonts w:hint="eastAsia" w:cs="Times New Roman"/>
                <w:sz w:val="21"/>
                <w:szCs w:val="21"/>
                <w:lang w:val="en-US" w:eastAsia="zh-CN"/>
              </w:rPr>
              <w:t>G3</w:t>
            </w:r>
            <w:r>
              <w:rPr>
                <w:rFonts w:hint="eastAsia" w:cs="Times New Roman"/>
                <w:sz w:val="21"/>
                <w:szCs w:val="21"/>
                <w:lang w:eastAsia="zh-CN"/>
              </w:rPr>
              <w:t>）</w:t>
            </w:r>
          </w:p>
          <w:p w14:paraId="7CEF81FF">
            <w:pPr>
              <w:spacing w:line="360" w:lineRule="auto"/>
              <w:ind w:firstLine="420" w:firstLineChars="200"/>
              <w:rPr>
                <w:rFonts w:hint="default" w:cs="Times New Roman"/>
                <w:sz w:val="21"/>
                <w:szCs w:val="21"/>
                <w:lang w:val="en-US" w:eastAsia="zh-CN"/>
              </w:rPr>
            </w:pPr>
            <w:r>
              <w:rPr>
                <w:rFonts w:hint="eastAsia" w:cs="Times New Roman"/>
                <w:b w:val="0"/>
                <w:bCs w:val="0"/>
                <w:kern w:val="2"/>
                <w:sz w:val="21"/>
                <w:szCs w:val="21"/>
                <w:lang w:val="en-US" w:eastAsia="zh-CN" w:bidi="ar-SA"/>
              </w:rPr>
              <w:t>碳钢板/不锈钢板下料、开孔</w:t>
            </w:r>
            <w:r>
              <w:rPr>
                <w:rFonts w:hint="eastAsia" w:cs="Times New Roman"/>
                <w:sz w:val="21"/>
                <w:szCs w:val="21"/>
                <w:lang w:eastAsia="zh-CN"/>
              </w:rPr>
              <w:t>工序颗粒物产生量为</w:t>
            </w:r>
            <w:r>
              <w:rPr>
                <w:rFonts w:hint="eastAsia" w:cs="Times New Roman"/>
                <w:sz w:val="21"/>
                <w:szCs w:val="21"/>
                <w:lang w:val="en-US" w:eastAsia="zh-CN"/>
              </w:rPr>
              <w:t>1.6t/a，经移动式焊烟净化器（集气罩收集效率按80%，除尘效率按80%）收集处理后再经车间内洒水降尘处理后（除尘效率按70%）无组织排放，年工作时间800h，颗粒物无组织排放量为0.173t/a，排放速率为0.2163kg/h。</w:t>
            </w:r>
          </w:p>
          <w:p w14:paraId="10F76969">
            <w:pPr>
              <w:spacing w:line="360" w:lineRule="auto"/>
              <w:ind w:firstLine="420" w:firstLineChars="200"/>
              <w:rPr>
                <w:rFonts w:hint="eastAsia"/>
                <w:lang w:val="en-US" w:eastAsia="zh-CN"/>
              </w:rPr>
            </w:pPr>
            <w:r>
              <w:rPr>
                <w:rFonts w:hint="eastAsia" w:cs="Times New Roman"/>
                <w:sz w:val="21"/>
                <w:szCs w:val="21"/>
                <w:lang w:val="en-US" w:eastAsia="zh-CN"/>
              </w:rPr>
              <w:t>2）</w:t>
            </w:r>
            <w:r>
              <w:rPr>
                <w:rFonts w:hint="default" w:ascii="Times New Roman" w:hAnsi="Times New Roman" w:cs="Times New Roman"/>
                <w:sz w:val="21"/>
                <w:szCs w:val="21"/>
              </w:rPr>
              <w:t>焊接过程产生的</w:t>
            </w:r>
            <w:r>
              <w:rPr>
                <w:rFonts w:hint="eastAsia" w:cs="Times New Roman"/>
                <w:sz w:val="21"/>
                <w:szCs w:val="21"/>
                <w:lang w:eastAsia="zh-CN"/>
              </w:rPr>
              <w:t>颗粒物（</w:t>
            </w:r>
            <w:r>
              <w:rPr>
                <w:rFonts w:hint="eastAsia" w:cs="Times New Roman"/>
                <w:sz w:val="21"/>
                <w:szCs w:val="21"/>
                <w:lang w:val="en-US" w:eastAsia="zh-CN"/>
              </w:rPr>
              <w:t>G4</w:t>
            </w:r>
            <w:r>
              <w:rPr>
                <w:rFonts w:hint="eastAsia" w:cs="Times New Roman"/>
                <w:sz w:val="21"/>
                <w:szCs w:val="21"/>
                <w:lang w:eastAsia="zh-CN"/>
              </w:rPr>
              <w:t>）</w:t>
            </w:r>
          </w:p>
          <w:p w14:paraId="6C9564BF">
            <w:pPr>
              <w:spacing w:line="360" w:lineRule="auto"/>
              <w:ind w:firstLine="420" w:firstLineChars="200"/>
              <w:rPr>
                <w:rFonts w:hint="default" w:cs="Times New Roman"/>
                <w:sz w:val="21"/>
                <w:szCs w:val="21"/>
                <w:lang w:val="en-US" w:eastAsia="zh-CN"/>
              </w:rPr>
            </w:pPr>
            <w:r>
              <w:rPr>
                <w:rFonts w:hint="eastAsia" w:cs="Times New Roman"/>
                <w:sz w:val="21"/>
                <w:szCs w:val="21"/>
                <w:highlight w:val="none"/>
                <w:lang w:eastAsia="zh-CN"/>
              </w:rPr>
              <w:t>焊接工序颗粒物产生量为</w:t>
            </w:r>
            <w:r>
              <w:rPr>
                <w:rFonts w:hint="eastAsia" w:cs="Times New Roman"/>
                <w:sz w:val="21"/>
                <w:szCs w:val="21"/>
                <w:highlight w:val="none"/>
                <w:lang w:val="en-US" w:eastAsia="zh-CN"/>
              </w:rPr>
              <w:t>0.224t/a，</w:t>
            </w:r>
            <w:r>
              <w:rPr>
                <w:rFonts w:hint="eastAsia" w:cs="Times New Roman"/>
                <w:sz w:val="21"/>
                <w:szCs w:val="21"/>
                <w:lang w:val="en-US" w:eastAsia="zh-CN"/>
              </w:rPr>
              <w:t>经移动式焊烟净化器（集气罩收集效率按80%，除尘效率按80%）收集处理后再经车间内洒水降尘处理后（除尘效率按70%）无组织排放，年工作时间600h，颗粒物无组织排放量为0.024t/a，排放速率为0.04kg/h。</w:t>
            </w:r>
          </w:p>
          <w:p w14:paraId="5ACEC624">
            <w:pPr>
              <w:spacing w:line="360" w:lineRule="auto"/>
              <w:ind w:firstLine="420" w:firstLineChars="200"/>
              <w:rPr>
                <w:rFonts w:hint="default"/>
                <w:lang w:val="en-US" w:eastAsia="zh-CN"/>
              </w:rPr>
            </w:pPr>
            <w:r>
              <w:rPr>
                <w:rFonts w:hint="eastAsia"/>
                <w:lang w:val="en-US" w:eastAsia="zh-CN"/>
              </w:rPr>
              <w:t>3）</w:t>
            </w: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PPH缠绕罐开孔过程产生的颗粒物（G10）</w:t>
            </w:r>
          </w:p>
          <w:p w14:paraId="3EDC76BA">
            <w:pPr>
              <w:spacing w:line="360" w:lineRule="auto"/>
              <w:ind w:firstLine="420" w:firstLineChars="200"/>
              <w:rPr>
                <w:rFonts w:hint="default" w:cs="Times New Roman"/>
                <w:sz w:val="21"/>
                <w:szCs w:val="21"/>
                <w:lang w:val="en-US" w:eastAsia="zh-CN"/>
              </w:rPr>
            </w:pPr>
            <w:r>
              <w:rPr>
                <w:rFonts w:hint="eastAsia" w:cs="Times New Roman"/>
                <w:bCs/>
                <w:color w:val="auto"/>
                <w:sz w:val="21"/>
                <w:szCs w:val="21"/>
                <w:lang w:eastAsia="zh-CN"/>
              </w:rPr>
              <w:t>玻璃钢缠绕罐、</w:t>
            </w:r>
            <w:r>
              <w:rPr>
                <w:rFonts w:hint="eastAsia" w:cs="Times New Roman"/>
                <w:b w:val="0"/>
                <w:bCs w:val="0"/>
                <w:kern w:val="2"/>
                <w:sz w:val="21"/>
                <w:szCs w:val="21"/>
                <w:lang w:val="en-US" w:eastAsia="zh-CN" w:bidi="ar-SA"/>
              </w:rPr>
              <w:t>PPH缠绕罐开孔过程颗粒物产生量为0.027t/a，</w:t>
            </w:r>
            <w:r>
              <w:rPr>
                <w:rFonts w:hint="eastAsia" w:cs="Times New Roman"/>
                <w:sz w:val="21"/>
                <w:szCs w:val="21"/>
                <w:lang w:val="en-US" w:eastAsia="zh-CN"/>
              </w:rPr>
              <w:t>经移动式焊烟净化器（集气罩收集效率按80%，除尘效率按80%）收集处理后再经车间内洒水降尘处理后（除尘效率按70%）无组织排放，年工作时间100h，颗粒物无组织排放量为0.003t/a，排放速率为0.03kg/h。</w:t>
            </w:r>
          </w:p>
          <w:p w14:paraId="27EC00BB">
            <w:pPr>
              <w:numPr>
                <w:ilvl w:val="0"/>
                <w:numId w:val="0"/>
              </w:numPr>
              <w:spacing w:line="360" w:lineRule="auto"/>
              <w:ind w:firstLine="420" w:firstLineChars="200"/>
              <w:rPr>
                <w:rFonts w:hint="eastAsia"/>
                <w:lang w:val="en-US" w:eastAsia="zh-CN"/>
              </w:rPr>
            </w:pPr>
            <w:r>
              <w:rPr>
                <w:rFonts w:hint="eastAsia" w:ascii="Times New Roman" w:hAnsi="Times New Roman" w:eastAsia="宋体" w:cs="Times New Roman"/>
                <w:kern w:val="2"/>
                <w:sz w:val="21"/>
                <w:szCs w:val="21"/>
                <w:lang w:val="en-US" w:eastAsia="zh-CN" w:bidi="ar-SA"/>
              </w:rPr>
              <w:t>4）</w:t>
            </w:r>
            <w:r>
              <w:rPr>
                <w:rFonts w:hint="eastAsia"/>
                <w:lang w:val="en-US" w:eastAsia="zh-CN"/>
              </w:rPr>
              <w:t>集气罩未收集的颗粒物</w:t>
            </w:r>
          </w:p>
          <w:p w14:paraId="6B6FCB61">
            <w:pPr>
              <w:numPr>
                <w:ilvl w:val="0"/>
                <w:numId w:val="0"/>
              </w:numPr>
              <w:spacing w:line="360" w:lineRule="auto"/>
              <w:ind w:firstLine="420" w:firstLineChars="200"/>
              <w:rPr>
                <w:rFonts w:hint="eastAsia"/>
                <w:lang w:val="en-US" w:eastAsia="zh-CN"/>
              </w:rPr>
            </w:pPr>
            <w:r>
              <w:rPr>
                <w:rFonts w:hint="eastAsia"/>
                <w:lang w:eastAsia="zh-CN"/>
              </w:rPr>
              <w:t>项目集气罩收集效率为</w:t>
            </w:r>
            <w:r>
              <w:rPr>
                <w:rFonts w:hint="eastAsia"/>
                <w:lang w:val="en-US" w:eastAsia="zh-CN"/>
              </w:rPr>
              <w:t>90%，工作时间按1200h/a计，</w:t>
            </w:r>
            <w:r>
              <w:rPr>
                <w:rFonts w:hint="eastAsia"/>
                <w:lang w:eastAsia="zh-CN"/>
              </w:rPr>
              <w:t>集气罩未收集的</w:t>
            </w:r>
            <w:r>
              <w:rPr>
                <w:rFonts w:hint="eastAsia"/>
                <w:lang w:val="en-US" w:eastAsia="zh-CN"/>
              </w:rPr>
              <w:t>颗粒物产生</w:t>
            </w:r>
            <w:r>
              <w:rPr>
                <w:rFonts w:hint="eastAsia"/>
                <w:lang w:eastAsia="zh-CN"/>
              </w:rPr>
              <w:t>量为</w:t>
            </w:r>
            <w:r>
              <w:rPr>
                <w:rFonts w:hint="eastAsia"/>
                <w:lang w:val="en-US" w:eastAsia="zh-CN"/>
              </w:rPr>
              <w:t>0.149t/a，</w:t>
            </w:r>
            <w:r>
              <w:rPr>
                <w:rFonts w:hint="eastAsia" w:cs="Times New Roman"/>
                <w:sz w:val="21"/>
                <w:szCs w:val="21"/>
                <w:lang w:val="en-US" w:eastAsia="zh-CN"/>
              </w:rPr>
              <w:t>经车间内洒水降尘处理后（除尘效率按70%）无组织排放，无组织排放量为0.045t/a，</w:t>
            </w:r>
            <w:r>
              <w:rPr>
                <w:rFonts w:hint="eastAsia"/>
                <w:lang w:val="en-US" w:eastAsia="zh-CN"/>
              </w:rPr>
              <w:t>排放速率0.0375kg/h。</w:t>
            </w:r>
          </w:p>
          <w:p w14:paraId="307D355C">
            <w:pPr>
              <w:numPr>
                <w:ilvl w:val="0"/>
                <w:numId w:val="0"/>
              </w:numPr>
              <w:spacing w:line="360" w:lineRule="auto"/>
              <w:ind w:firstLine="420" w:firstLineChars="200"/>
              <w:rPr>
                <w:rFonts w:hint="default" w:eastAsia="宋体"/>
                <w:lang w:val="en-US" w:eastAsia="zh-CN"/>
              </w:rPr>
            </w:pPr>
            <w:r>
              <w:rPr>
                <w:rFonts w:hint="default" w:ascii="Times New Roman" w:hAnsi="Times New Roman" w:eastAsia="宋体" w:cs="Times New Roman"/>
                <w:kern w:val="2"/>
                <w:sz w:val="21"/>
                <w:szCs w:val="21"/>
                <w:lang w:val="en-US" w:eastAsia="zh-CN" w:bidi="ar-SA"/>
              </w:rPr>
              <w:t>5）</w:t>
            </w:r>
            <w:r>
              <w:rPr>
                <w:rFonts w:hint="eastAsia"/>
                <w:lang w:val="en-US" w:eastAsia="zh-CN"/>
              </w:rPr>
              <w:t>集气罩未收集的VOCs、苯乙烯</w:t>
            </w:r>
          </w:p>
          <w:p w14:paraId="19C0EB9E">
            <w:pPr>
              <w:spacing w:line="360" w:lineRule="auto"/>
              <w:ind w:firstLine="420" w:firstLineChars="200"/>
              <w:rPr>
                <w:rFonts w:hint="eastAsia"/>
                <w:lang w:val="en-US" w:eastAsia="zh-CN"/>
              </w:rPr>
            </w:pPr>
            <w:r>
              <w:rPr>
                <w:rFonts w:hint="eastAsia"/>
                <w:lang w:eastAsia="zh-CN"/>
              </w:rPr>
              <w:t>项目集气罩收集效率为</w:t>
            </w:r>
            <w:r>
              <w:rPr>
                <w:rFonts w:hint="eastAsia"/>
                <w:lang w:val="en-US" w:eastAsia="zh-CN"/>
              </w:rPr>
              <w:t>90%，工作时间按1200h/a计，</w:t>
            </w:r>
            <w:r>
              <w:rPr>
                <w:rFonts w:hint="eastAsia"/>
                <w:lang w:eastAsia="zh-CN"/>
              </w:rPr>
              <w:t>集气罩未收集的</w:t>
            </w:r>
            <w:r>
              <w:rPr>
                <w:rFonts w:hint="eastAsia"/>
                <w:lang w:val="en-US" w:eastAsia="zh-CN"/>
              </w:rPr>
              <w:t>VOCs</w:t>
            </w:r>
            <w:r>
              <w:rPr>
                <w:rFonts w:hint="eastAsia"/>
                <w:lang w:eastAsia="zh-CN"/>
              </w:rPr>
              <w:t>产生量为</w:t>
            </w:r>
            <w:r>
              <w:rPr>
                <w:rFonts w:hint="eastAsia"/>
                <w:lang w:val="en-US" w:eastAsia="zh-CN"/>
              </w:rPr>
              <w:t>0.0701t/a，未收集的苯乙烯产生量为0.0431t/a，全部无组织排放，车间采取密闭措施，无组织VOCs排放量为0.0701t/a，排放速率0.0584kg/h；无组织苯乙烯排放量为0.0431t/a，排放速率0.0359kg/h。</w:t>
            </w:r>
          </w:p>
          <w:p w14:paraId="24B6F0A7">
            <w:pPr>
              <w:spacing w:line="360" w:lineRule="auto"/>
              <w:ind w:firstLine="420" w:firstLineChars="200"/>
              <w:rPr>
                <w:rFonts w:hint="default" w:eastAsia="宋体"/>
                <w:lang w:val="en-US" w:eastAsia="zh-CN"/>
              </w:rPr>
            </w:pPr>
            <w:r>
              <w:rPr>
                <w:rFonts w:hint="eastAsia" w:cs="Times New Roman"/>
                <w:kern w:val="2"/>
                <w:sz w:val="21"/>
                <w:szCs w:val="21"/>
                <w:lang w:val="en-US" w:eastAsia="zh-CN" w:bidi="ar-SA"/>
              </w:rPr>
              <w:t>综上，本项目颗粒物无组织排放量为0.245t/a，</w:t>
            </w:r>
            <w:r>
              <w:rPr>
                <w:rFonts w:hint="eastAsia" w:cs="Times New Roman"/>
                <w:sz w:val="21"/>
                <w:szCs w:val="21"/>
                <w:lang w:val="en-US" w:eastAsia="zh-CN"/>
              </w:rPr>
              <w:t>排放速率0.3238kg/h；无组织VOCs排放量为0.0701t/a</w:t>
            </w:r>
            <w:r>
              <w:rPr>
                <w:rFonts w:hint="eastAsia"/>
                <w:lang w:val="en-US" w:eastAsia="zh-CN"/>
              </w:rPr>
              <w:t>，排放速率0.0584kg/h；无组织苯乙烯排放量为0.0431t/a，排放速率0.0359kg/h</w:t>
            </w:r>
            <w:r>
              <w:rPr>
                <w:rFonts w:hint="eastAsia" w:cs="Times New Roman"/>
                <w:sz w:val="21"/>
                <w:szCs w:val="21"/>
                <w:lang w:val="en-US" w:eastAsia="zh-CN"/>
              </w:rPr>
              <w:t>。</w:t>
            </w:r>
          </w:p>
          <w:p w14:paraId="3CBAC881">
            <w:pPr>
              <w:pStyle w:val="381"/>
              <w:ind w:firstLine="422"/>
              <w:rPr>
                <w:b/>
                <w:bCs/>
                <w:sz w:val="21"/>
              </w:rPr>
            </w:pPr>
            <w:r>
              <w:rPr>
                <w:b/>
                <w:bCs/>
                <w:sz w:val="21"/>
                <w:lang w:val="en-US"/>
              </w:rPr>
              <w:t>2、污染治理设施的可行性分析</w:t>
            </w:r>
          </w:p>
          <w:p w14:paraId="735B5972">
            <w:pPr>
              <w:pStyle w:val="1388"/>
              <w:ind w:firstLine="420"/>
              <w:rPr>
                <w:rFonts w:hint="eastAsia"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（1）废气量分析：</w:t>
            </w:r>
          </w:p>
          <w:p w14:paraId="6710F6C2">
            <w:pPr>
              <w:pStyle w:val="1388"/>
              <w:ind w:firstLine="420"/>
            </w:pPr>
            <w:r>
              <w:rPr>
                <w:rFonts w:hint="eastAsia" w:ascii="Times New Roman" w:hAnsi="Times New Roman" w:cs="Times New Roman"/>
                <w:bCs/>
                <w:color w:val="000000"/>
                <w:sz w:val="21"/>
                <w:szCs w:val="21"/>
                <w:lang w:val="en-US" w:eastAsia="zh-CN"/>
              </w:rPr>
              <w:t>①</w:t>
            </w:r>
            <w:r>
              <w:rPr>
                <w:rFonts w:hint="eastAsia" w:cs="Times New Roman"/>
                <w:sz w:val="21"/>
                <w:szCs w:val="21"/>
                <w:lang w:eastAsia="zh-CN"/>
              </w:rPr>
              <w:t>喷漆房</w:t>
            </w:r>
            <w:r>
              <w:rPr>
                <w:rFonts w:hint="default" w:ascii="Times New Roman" w:hAnsi="Times New Roman" w:cs="Times New Roman"/>
                <w:sz w:val="21"/>
                <w:szCs w:val="21"/>
              </w:rPr>
              <w:t>涂装过程</w:t>
            </w:r>
            <w:r>
              <w:rPr>
                <w:rFonts w:hint="eastAsia" w:cs="Times New Roman"/>
                <w:sz w:val="21"/>
                <w:szCs w:val="21"/>
                <w:lang w:eastAsia="zh-CN"/>
              </w:rPr>
              <w:t>产生的漆雾颗粒、</w:t>
            </w:r>
            <w:r>
              <w:rPr>
                <w:rFonts w:hint="eastAsia" w:cs="Times New Roman"/>
                <w:sz w:val="21"/>
                <w:szCs w:val="21"/>
                <w:lang w:val="en-US" w:eastAsia="zh-CN"/>
              </w:rPr>
              <w:t>VOCs</w:t>
            </w:r>
            <w:r>
              <w:rPr>
                <w:rFonts w:hint="eastAsia" w:cs="Times New Roman"/>
                <w:sz w:val="21"/>
                <w:szCs w:val="21"/>
                <w:lang w:eastAsia="zh-CN"/>
              </w:rPr>
              <w:t>经迷宫式过滤箱处理漆雾颗粒后；</w:t>
            </w:r>
            <w:r>
              <w:rPr>
                <w:rFonts w:hint="eastAsia" w:cs="Times New Roman"/>
                <w:sz w:val="21"/>
                <w:szCs w:val="21"/>
                <w:lang w:val="en-US" w:eastAsia="zh-CN"/>
              </w:rPr>
              <w:t>静电喷塑后固化产生后全部收集的VOCs；</w:t>
            </w:r>
            <w:r>
              <w:rPr>
                <w:rFonts w:hint="eastAsia" w:cs="Times New Roman"/>
                <w:bCs/>
                <w:color w:val="auto"/>
                <w:sz w:val="21"/>
                <w:szCs w:val="21"/>
                <w:lang w:eastAsia="zh-CN"/>
              </w:rPr>
              <w:t>玻璃钢缠绕罐原料投料、缠绕成型、</w:t>
            </w:r>
            <w:r>
              <w:rPr>
                <w:rFonts w:hint="eastAsia" w:cs="Times New Roman"/>
                <w:b w:val="0"/>
                <w:bCs w:val="0"/>
                <w:kern w:val="2"/>
                <w:sz w:val="21"/>
                <w:szCs w:val="21"/>
                <w:lang w:val="en-US" w:eastAsia="zh-CN" w:bidi="ar-SA"/>
              </w:rPr>
              <w:t>常温固化、原料装模、组装、粘接工序集气罩收集的</w:t>
            </w:r>
            <w:r>
              <w:rPr>
                <w:rFonts w:hint="eastAsia" w:ascii="Times New Roman" w:hAnsi="Times New Roman" w:cs="Times New Roman"/>
                <w:b w:val="0"/>
                <w:bCs w:val="0"/>
                <w:kern w:val="2"/>
                <w:sz w:val="21"/>
                <w:szCs w:val="21"/>
                <w:lang w:val="en-US" w:eastAsia="zh-CN" w:bidi="ar-SA"/>
              </w:rPr>
              <w:t>VOCs、苯乙烯</w:t>
            </w:r>
            <w:r>
              <w:rPr>
                <w:rFonts w:hint="eastAsia" w:cs="Times New Roman"/>
                <w:b w:val="0"/>
                <w:bCs w:val="0"/>
                <w:kern w:val="2"/>
                <w:sz w:val="21"/>
                <w:szCs w:val="21"/>
                <w:lang w:val="en-US" w:eastAsia="zh-CN" w:bidi="ar-SA"/>
              </w:rPr>
              <w:t>；PPH缠绕罐加热熔融、缠绕成型、常温固化、人工装模、组装、粘接工序集气罩收集的VOCs，一同汇入</w:t>
            </w:r>
            <w:r>
              <w:rPr>
                <w:rFonts w:hint="eastAsia" w:cs="Times New Roman"/>
                <w:sz w:val="21"/>
                <w:szCs w:val="21"/>
                <w:lang w:eastAsia="zh-CN"/>
              </w:rPr>
              <w:t>两级活性炭吸附装置处理，最后经</w:t>
            </w:r>
            <w:r>
              <w:rPr>
                <w:rFonts w:hint="eastAsia" w:cs="Times New Roman"/>
                <w:sz w:val="21"/>
                <w:szCs w:val="21"/>
                <w:lang w:val="en-US" w:eastAsia="zh-CN"/>
              </w:rPr>
              <w:t>15mDA001排气筒有组织排放</w:t>
            </w:r>
            <w:r>
              <w:rPr>
                <w:rFonts w:hint="eastAsia" w:ascii="Times New Roman" w:hAnsi="Times New Roman" w:cs="Times New Roman"/>
                <w:bCs/>
                <w:color w:val="000000"/>
                <w:sz w:val="21"/>
                <w:szCs w:val="21"/>
                <w:lang w:val="en-US" w:eastAsia="zh-CN"/>
              </w:rPr>
              <w:t>；</w:t>
            </w:r>
          </w:p>
          <w:p w14:paraId="20613E6F">
            <w:pPr>
              <w:pStyle w:val="1388"/>
              <w:ind w:firstLine="420"/>
            </w:pPr>
            <w:r>
              <w:rPr>
                <w:rFonts w:hint="eastAsia" w:cs="Times New Roman"/>
                <w:sz w:val="21"/>
                <w:szCs w:val="21"/>
                <w:highlight w:val="none"/>
                <w:lang w:val="en-US" w:eastAsia="zh-CN"/>
              </w:rPr>
              <w:t>②喷塑工序产生的颗粒物经喷塑房底部集气罩收集后经配套滤筒除尘器处理后经15mDA002排气筒有组织排放。</w:t>
            </w:r>
          </w:p>
          <w:p w14:paraId="497830C8">
            <w:pPr>
              <w:pStyle w:val="1388"/>
              <w:ind w:firstLine="420"/>
            </w:pPr>
            <w:r>
              <w:t>废气排放量核算：根据《环境工程设计手册》（主编：魏先勋）中有关集气罩排风量的计算公式，结合本项目拟建设有边集气罩，本项目集气罩所需的排风量L（m</w:t>
            </w:r>
            <w:r>
              <w:rPr>
                <w:vertAlign w:val="superscript"/>
              </w:rPr>
              <w:t>3</w:t>
            </w:r>
            <w:r>
              <w:t>/h）计算公式如下。</w:t>
            </w:r>
          </w:p>
          <w:p w14:paraId="71794B72">
            <w:pPr>
              <w:pStyle w:val="1388"/>
              <w:ind w:firstLine="420"/>
              <w:jc w:val="center"/>
            </w:pPr>
            <w:r>
              <w:t>L=3600×0.75×（10X</w:t>
            </w:r>
            <w:r>
              <w:rPr>
                <w:vertAlign w:val="superscript"/>
              </w:rPr>
              <w:t>2</w:t>
            </w:r>
            <w:r>
              <w:t>+A）×Vx</w:t>
            </w:r>
          </w:p>
          <w:p w14:paraId="3569B7DA">
            <w:pPr>
              <w:pStyle w:val="1388"/>
              <w:ind w:firstLine="420"/>
            </w:pPr>
            <w:r>
              <w:t>式中：L——集气罩的排风量，m</w:t>
            </w:r>
            <w:r>
              <w:rPr>
                <w:vertAlign w:val="superscript"/>
              </w:rPr>
              <w:t>3</w:t>
            </w:r>
            <w:r>
              <w:t>/h；</w:t>
            </w:r>
          </w:p>
          <w:p w14:paraId="6F8EDB1E">
            <w:pPr>
              <w:pStyle w:val="1388"/>
              <w:ind w:firstLine="1050" w:firstLineChars="500"/>
            </w:pPr>
            <w:r>
              <w:t>X——污染物产生点至罩口的距离，m。本项目取</w:t>
            </w:r>
            <w:r>
              <w:rPr>
                <w:rFonts w:hint="eastAsia"/>
                <w:lang w:val="en-US" w:eastAsia="zh-CN"/>
              </w:rPr>
              <w:t>0.2m、0.5m</w:t>
            </w:r>
            <w:r>
              <w:t>；</w:t>
            </w:r>
          </w:p>
          <w:p w14:paraId="556627D5">
            <w:pPr>
              <w:pStyle w:val="1388"/>
              <w:ind w:firstLine="1050" w:firstLineChars="500"/>
            </w:pPr>
            <w:r>
              <w:t>A——罩口面积，m</w:t>
            </w:r>
            <w:r>
              <w:rPr>
                <w:vertAlign w:val="superscript"/>
              </w:rPr>
              <w:t>2</w:t>
            </w:r>
            <w:r>
              <w:t>；</w:t>
            </w:r>
          </w:p>
          <w:p w14:paraId="24F2F2C9">
            <w:pPr>
              <w:pStyle w:val="1388"/>
              <w:ind w:firstLine="1050" w:firstLineChars="500"/>
            </w:pPr>
            <w:r>
              <w:t>Vx——最小控制风速，m/s。集气罩废气风速按照最低风速0.3m/s计算。</w:t>
            </w:r>
          </w:p>
          <w:p w14:paraId="107AFF34">
            <w:pPr>
              <w:pStyle w:val="1388"/>
              <w:ind w:firstLine="422"/>
              <w:jc w:val="center"/>
              <w:rPr>
                <w:b/>
                <w:bCs/>
                <w:highlight w:val="none"/>
              </w:rPr>
            </w:pPr>
            <w:r>
              <w:rPr>
                <w:b/>
                <w:bCs/>
                <w:highlight w:val="none"/>
              </w:rPr>
              <w:t>表4-</w:t>
            </w:r>
            <w:r>
              <w:rPr>
                <w:rFonts w:hint="eastAsia"/>
                <w:b/>
                <w:bCs/>
                <w:highlight w:val="none"/>
                <w:lang w:val="en-US" w:eastAsia="zh-CN"/>
              </w:rPr>
              <w:t>11</w:t>
            </w:r>
            <w:r>
              <w:rPr>
                <w:rFonts w:hint="eastAsia"/>
                <w:b/>
                <w:bCs/>
                <w:highlight w:val="none"/>
                <w:lang w:eastAsia="zh-CN"/>
              </w:rPr>
              <w:t>两级活性炭吸附装置</w:t>
            </w:r>
            <w:r>
              <w:rPr>
                <w:b/>
                <w:bCs/>
                <w:highlight w:val="none"/>
              </w:rPr>
              <w:t>废气收集风量核算</w:t>
            </w:r>
          </w:p>
          <w:tbl>
            <w:tblPr>
              <w:tblStyle w:val="81"/>
              <w:tblW w:w="836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582"/>
              <w:gridCol w:w="678"/>
              <w:gridCol w:w="901"/>
              <w:gridCol w:w="590"/>
              <w:gridCol w:w="950"/>
              <w:gridCol w:w="677"/>
              <w:gridCol w:w="678"/>
              <w:gridCol w:w="814"/>
              <w:gridCol w:w="531"/>
              <w:gridCol w:w="961"/>
            </w:tblGrid>
            <w:tr w14:paraId="02BB8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82" w:type="dxa"/>
                  <w:noWrap w:val="0"/>
                  <w:vAlign w:val="center"/>
                </w:tcPr>
                <w:p w14:paraId="44967458">
                  <w:pPr>
                    <w:pStyle w:val="200"/>
                    <w:spacing w:before="24" w:after="24"/>
                    <w:rPr>
                      <w:rFonts w:ascii="Times New Roman"/>
                      <w:color w:val="auto"/>
                      <w:sz w:val="18"/>
                      <w:szCs w:val="18"/>
                    </w:rPr>
                  </w:pPr>
                  <w:r>
                    <w:rPr>
                      <w:rFonts w:ascii="Times New Roman"/>
                      <w:color w:val="auto"/>
                      <w:sz w:val="18"/>
                      <w:szCs w:val="18"/>
                    </w:rPr>
                    <w:t>设备</w:t>
                  </w:r>
                </w:p>
              </w:tc>
              <w:tc>
                <w:tcPr>
                  <w:tcW w:w="678" w:type="dxa"/>
                  <w:noWrap w:val="0"/>
                  <w:vAlign w:val="center"/>
                </w:tcPr>
                <w:p w14:paraId="224F247D">
                  <w:pPr>
                    <w:pStyle w:val="200"/>
                    <w:spacing w:before="24" w:after="24"/>
                    <w:rPr>
                      <w:rFonts w:hint="eastAsia" w:ascii="Times New Roman" w:eastAsia="宋体"/>
                      <w:color w:val="auto"/>
                      <w:sz w:val="18"/>
                      <w:szCs w:val="18"/>
                      <w:lang w:eastAsia="zh-CN"/>
                    </w:rPr>
                  </w:pPr>
                  <w:r>
                    <w:rPr>
                      <w:rFonts w:hint="eastAsia" w:ascii="Times New Roman"/>
                      <w:color w:val="auto"/>
                      <w:sz w:val="18"/>
                      <w:szCs w:val="18"/>
                      <w:lang w:eastAsia="zh-CN"/>
                    </w:rPr>
                    <w:t>对应排气筒</w:t>
                  </w:r>
                </w:p>
              </w:tc>
              <w:tc>
                <w:tcPr>
                  <w:tcW w:w="901" w:type="dxa"/>
                  <w:noWrap w:val="0"/>
                  <w:vAlign w:val="center"/>
                </w:tcPr>
                <w:p w14:paraId="047A78B4">
                  <w:pPr>
                    <w:pStyle w:val="200"/>
                    <w:spacing w:before="24" w:after="24"/>
                    <w:rPr>
                      <w:rFonts w:ascii="Times New Roman"/>
                      <w:color w:val="auto"/>
                      <w:sz w:val="18"/>
                      <w:szCs w:val="18"/>
                    </w:rPr>
                  </w:pPr>
                  <w:r>
                    <w:rPr>
                      <w:rFonts w:ascii="Times New Roman"/>
                      <w:color w:val="auto"/>
                      <w:sz w:val="18"/>
                      <w:szCs w:val="18"/>
                    </w:rPr>
                    <w:t>工作班制</w:t>
                  </w:r>
                </w:p>
              </w:tc>
              <w:tc>
                <w:tcPr>
                  <w:tcW w:w="590" w:type="dxa"/>
                  <w:noWrap w:val="0"/>
                  <w:vAlign w:val="center"/>
                </w:tcPr>
                <w:p w14:paraId="444CD3C0">
                  <w:pPr>
                    <w:pStyle w:val="200"/>
                    <w:spacing w:before="24" w:after="24"/>
                    <w:rPr>
                      <w:rFonts w:ascii="Times New Roman"/>
                      <w:color w:val="auto"/>
                      <w:sz w:val="18"/>
                      <w:szCs w:val="18"/>
                    </w:rPr>
                  </w:pPr>
                  <w:r>
                    <w:rPr>
                      <w:rFonts w:ascii="Times New Roman"/>
                      <w:color w:val="auto"/>
                      <w:sz w:val="18"/>
                      <w:szCs w:val="18"/>
                    </w:rPr>
                    <w:t>距离</w:t>
                  </w:r>
                </w:p>
                <w:p w14:paraId="325DF4B7">
                  <w:pPr>
                    <w:pStyle w:val="200"/>
                    <w:spacing w:before="24" w:after="24"/>
                    <w:rPr>
                      <w:rFonts w:ascii="Times New Roman"/>
                      <w:color w:val="auto"/>
                      <w:sz w:val="18"/>
                      <w:szCs w:val="18"/>
                    </w:rPr>
                  </w:pPr>
                  <w:r>
                    <w:rPr>
                      <w:rFonts w:ascii="Times New Roman"/>
                      <w:color w:val="auto"/>
                      <w:sz w:val="18"/>
                      <w:szCs w:val="18"/>
                    </w:rPr>
                    <w:t>m</w:t>
                  </w:r>
                </w:p>
              </w:tc>
              <w:tc>
                <w:tcPr>
                  <w:tcW w:w="950" w:type="dxa"/>
                  <w:noWrap w:val="0"/>
                  <w:vAlign w:val="center"/>
                </w:tcPr>
                <w:p w14:paraId="1416C9DD">
                  <w:pPr>
                    <w:pStyle w:val="200"/>
                    <w:spacing w:before="24" w:after="24"/>
                    <w:rPr>
                      <w:rFonts w:ascii="Times New Roman"/>
                      <w:color w:val="auto"/>
                      <w:sz w:val="18"/>
                      <w:szCs w:val="18"/>
                    </w:rPr>
                  </w:pPr>
                  <w:r>
                    <w:rPr>
                      <w:rFonts w:ascii="Times New Roman"/>
                      <w:color w:val="auto"/>
                      <w:sz w:val="18"/>
                      <w:szCs w:val="18"/>
                    </w:rPr>
                    <w:t>集气罩长度m</w:t>
                  </w:r>
                </w:p>
              </w:tc>
              <w:tc>
                <w:tcPr>
                  <w:tcW w:w="677" w:type="dxa"/>
                  <w:noWrap w:val="0"/>
                  <w:vAlign w:val="center"/>
                </w:tcPr>
                <w:p w14:paraId="5B094B8B">
                  <w:pPr>
                    <w:pStyle w:val="200"/>
                    <w:spacing w:before="24" w:after="24"/>
                    <w:rPr>
                      <w:rFonts w:ascii="Times New Roman"/>
                      <w:color w:val="auto"/>
                      <w:sz w:val="18"/>
                      <w:szCs w:val="18"/>
                    </w:rPr>
                  </w:pPr>
                  <w:r>
                    <w:rPr>
                      <w:rFonts w:ascii="Times New Roman"/>
                      <w:color w:val="auto"/>
                      <w:sz w:val="18"/>
                      <w:szCs w:val="18"/>
                    </w:rPr>
                    <w:t>集气罩面积m</w:t>
                  </w:r>
                  <w:r>
                    <w:rPr>
                      <w:rFonts w:ascii="Times New Roman"/>
                      <w:color w:val="auto"/>
                      <w:sz w:val="18"/>
                      <w:szCs w:val="18"/>
                      <w:vertAlign w:val="superscript"/>
                    </w:rPr>
                    <w:t>2</w:t>
                  </w:r>
                </w:p>
              </w:tc>
              <w:tc>
                <w:tcPr>
                  <w:tcW w:w="678" w:type="dxa"/>
                  <w:noWrap w:val="0"/>
                  <w:vAlign w:val="center"/>
                </w:tcPr>
                <w:p w14:paraId="5C9F43FB">
                  <w:pPr>
                    <w:pStyle w:val="200"/>
                    <w:spacing w:before="24" w:after="24"/>
                    <w:rPr>
                      <w:rFonts w:ascii="Times New Roman"/>
                      <w:color w:val="auto"/>
                      <w:sz w:val="18"/>
                      <w:szCs w:val="18"/>
                    </w:rPr>
                  </w:pPr>
                  <w:r>
                    <w:rPr>
                      <w:rFonts w:ascii="Times New Roman"/>
                      <w:color w:val="auto"/>
                      <w:sz w:val="18"/>
                      <w:szCs w:val="18"/>
                    </w:rPr>
                    <w:t>风速</w:t>
                  </w:r>
                </w:p>
                <w:p w14:paraId="5A34A250">
                  <w:pPr>
                    <w:jc w:val="center"/>
                    <w:rPr>
                      <w:sz w:val="18"/>
                      <w:szCs w:val="18"/>
                    </w:rPr>
                  </w:pPr>
                  <w:r>
                    <w:rPr>
                      <w:sz w:val="18"/>
                      <w:szCs w:val="18"/>
                    </w:rPr>
                    <w:t>m/s</w:t>
                  </w:r>
                </w:p>
              </w:tc>
              <w:tc>
                <w:tcPr>
                  <w:tcW w:w="814" w:type="dxa"/>
                  <w:noWrap w:val="0"/>
                  <w:vAlign w:val="center"/>
                </w:tcPr>
                <w:p w14:paraId="107C4422">
                  <w:pPr>
                    <w:pStyle w:val="200"/>
                    <w:spacing w:before="24" w:after="24"/>
                    <w:rPr>
                      <w:rFonts w:ascii="Times New Roman"/>
                      <w:color w:val="auto"/>
                      <w:sz w:val="18"/>
                      <w:szCs w:val="18"/>
                    </w:rPr>
                  </w:pPr>
                  <w:r>
                    <w:rPr>
                      <w:rFonts w:ascii="Times New Roman"/>
                      <w:color w:val="auto"/>
                      <w:sz w:val="18"/>
                      <w:szCs w:val="18"/>
                    </w:rPr>
                    <w:t>单集气罩风量m</w:t>
                  </w:r>
                  <w:r>
                    <w:rPr>
                      <w:rFonts w:ascii="Times New Roman"/>
                      <w:color w:val="auto"/>
                      <w:sz w:val="18"/>
                      <w:szCs w:val="18"/>
                      <w:vertAlign w:val="superscript"/>
                    </w:rPr>
                    <w:t>3</w:t>
                  </w:r>
                  <w:r>
                    <w:rPr>
                      <w:rFonts w:ascii="Times New Roman"/>
                      <w:color w:val="auto"/>
                      <w:sz w:val="18"/>
                      <w:szCs w:val="18"/>
                    </w:rPr>
                    <w:t>/h</w:t>
                  </w:r>
                </w:p>
              </w:tc>
              <w:tc>
                <w:tcPr>
                  <w:tcW w:w="531" w:type="dxa"/>
                  <w:noWrap w:val="0"/>
                  <w:vAlign w:val="center"/>
                </w:tcPr>
                <w:p w14:paraId="7078DE35">
                  <w:pPr>
                    <w:pStyle w:val="200"/>
                    <w:spacing w:before="24" w:after="24"/>
                    <w:rPr>
                      <w:rFonts w:ascii="Times New Roman"/>
                      <w:color w:val="auto"/>
                      <w:sz w:val="18"/>
                      <w:szCs w:val="18"/>
                    </w:rPr>
                  </w:pPr>
                  <w:r>
                    <w:rPr>
                      <w:rFonts w:ascii="Times New Roman"/>
                      <w:color w:val="auto"/>
                      <w:sz w:val="18"/>
                      <w:szCs w:val="18"/>
                    </w:rPr>
                    <w:t>数量</w:t>
                  </w:r>
                </w:p>
                <w:p w14:paraId="332181FA">
                  <w:pPr>
                    <w:jc w:val="center"/>
                    <w:rPr>
                      <w:sz w:val="18"/>
                      <w:szCs w:val="18"/>
                    </w:rPr>
                  </w:pPr>
                  <w:r>
                    <w:rPr>
                      <w:sz w:val="18"/>
                      <w:szCs w:val="18"/>
                    </w:rPr>
                    <w:t>台</w:t>
                  </w:r>
                </w:p>
              </w:tc>
              <w:tc>
                <w:tcPr>
                  <w:tcW w:w="961" w:type="dxa"/>
                  <w:noWrap w:val="0"/>
                  <w:vAlign w:val="center"/>
                </w:tcPr>
                <w:p w14:paraId="7D7D1A0E">
                  <w:pPr>
                    <w:pStyle w:val="200"/>
                    <w:spacing w:before="24" w:after="24"/>
                    <w:rPr>
                      <w:rFonts w:ascii="Times New Roman"/>
                      <w:color w:val="auto"/>
                      <w:sz w:val="18"/>
                      <w:szCs w:val="18"/>
                    </w:rPr>
                  </w:pPr>
                  <w:r>
                    <w:rPr>
                      <w:rFonts w:ascii="Times New Roman"/>
                      <w:color w:val="auto"/>
                      <w:sz w:val="18"/>
                      <w:szCs w:val="18"/>
                    </w:rPr>
                    <w:t>总风量</w:t>
                  </w:r>
                </w:p>
                <w:p w14:paraId="6EC002F9">
                  <w:pPr>
                    <w:jc w:val="center"/>
                    <w:rPr>
                      <w:sz w:val="18"/>
                      <w:szCs w:val="18"/>
                    </w:rPr>
                  </w:pPr>
                  <w:r>
                    <w:rPr>
                      <w:sz w:val="18"/>
                      <w:szCs w:val="18"/>
                    </w:rPr>
                    <w:t>m</w:t>
                  </w:r>
                  <w:r>
                    <w:rPr>
                      <w:sz w:val="18"/>
                      <w:szCs w:val="18"/>
                      <w:vertAlign w:val="superscript"/>
                    </w:rPr>
                    <w:t>3</w:t>
                  </w:r>
                  <w:r>
                    <w:rPr>
                      <w:sz w:val="18"/>
                      <w:szCs w:val="18"/>
                    </w:rPr>
                    <w:t>/h</w:t>
                  </w:r>
                </w:p>
              </w:tc>
            </w:tr>
            <w:tr w14:paraId="32B73F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80" w:hRule="atLeast"/>
                <w:jc w:val="center"/>
              </w:trPr>
              <w:tc>
                <w:tcPr>
                  <w:tcW w:w="1582" w:type="dxa"/>
                  <w:noWrap w:val="0"/>
                  <w:vAlign w:val="center"/>
                </w:tcPr>
                <w:p w14:paraId="2FA4B559">
                  <w:pPr>
                    <w:tabs>
                      <w:tab w:val="left" w:pos="1680"/>
                    </w:tabs>
                    <w:spacing w:line="240" w:lineRule="atLeast"/>
                    <w:ind w:right="-108" w:rightChars="0"/>
                    <w:jc w:val="center"/>
                    <w:rPr>
                      <w:rFonts w:hint="eastAsia" w:ascii="Times New Roman" w:eastAsia="宋体"/>
                      <w:color w:val="auto"/>
                      <w:sz w:val="18"/>
                      <w:szCs w:val="18"/>
                      <w:lang w:eastAsia="zh-CN"/>
                    </w:rPr>
                  </w:pPr>
                  <w:r>
                    <w:rPr>
                      <w:rFonts w:hint="eastAsia"/>
                      <w:color w:val="auto"/>
                      <w:sz w:val="18"/>
                      <w:szCs w:val="18"/>
                      <w:lang w:eastAsia="zh-CN"/>
                    </w:rPr>
                    <w:t>玻璃钢筒体缠绕机</w:t>
                  </w:r>
                </w:p>
              </w:tc>
              <w:tc>
                <w:tcPr>
                  <w:tcW w:w="678" w:type="dxa"/>
                  <w:noWrap w:val="0"/>
                  <w:vAlign w:val="center"/>
                </w:tcPr>
                <w:p w14:paraId="1791D770">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DA001</w:t>
                  </w:r>
                </w:p>
              </w:tc>
              <w:tc>
                <w:tcPr>
                  <w:tcW w:w="901" w:type="dxa"/>
                  <w:noWrap w:val="0"/>
                  <w:vAlign w:val="center"/>
                </w:tcPr>
                <w:p w14:paraId="3679757A">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eastAsia="zh-CN"/>
                    </w:rPr>
                    <w:t>间断运行</w:t>
                  </w:r>
                </w:p>
              </w:tc>
              <w:tc>
                <w:tcPr>
                  <w:tcW w:w="590" w:type="dxa"/>
                  <w:noWrap w:val="0"/>
                  <w:vAlign w:val="center"/>
                </w:tcPr>
                <w:p w14:paraId="53575946">
                  <w:pPr>
                    <w:pStyle w:val="200"/>
                    <w:spacing w:before="24" w:after="24"/>
                    <w:rPr>
                      <w:rFonts w:hint="eastAsia" w:ascii="Times New Roman" w:eastAsia="宋体"/>
                      <w:color w:val="auto"/>
                      <w:sz w:val="18"/>
                      <w:szCs w:val="18"/>
                      <w:lang w:eastAsia="zh-CN"/>
                    </w:rPr>
                  </w:pPr>
                  <w:r>
                    <w:rPr>
                      <w:rFonts w:ascii="Times New Roman"/>
                      <w:color w:val="auto"/>
                      <w:sz w:val="18"/>
                      <w:szCs w:val="18"/>
                    </w:rPr>
                    <w:t>0.</w:t>
                  </w:r>
                  <w:r>
                    <w:rPr>
                      <w:rFonts w:hint="eastAsia" w:ascii="Times New Roman"/>
                      <w:color w:val="auto"/>
                      <w:sz w:val="18"/>
                      <w:szCs w:val="18"/>
                      <w:lang w:val="en-US" w:eastAsia="zh-CN"/>
                    </w:rPr>
                    <w:t>2</w:t>
                  </w:r>
                </w:p>
              </w:tc>
              <w:tc>
                <w:tcPr>
                  <w:tcW w:w="950" w:type="dxa"/>
                  <w:noWrap w:val="0"/>
                  <w:vAlign w:val="center"/>
                </w:tcPr>
                <w:p w14:paraId="11018663">
                  <w:pPr>
                    <w:pStyle w:val="200"/>
                    <w:spacing w:before="24" w:after="24"/>
                    <w:rPr>
                      <w:rFonts w:hint="eastAsia" w:ascii="Times New Roman" w:eastAsia="宋体"/>
                      <w:color w:val="auto"/>
                      <w:sz w:val="18"/>
                      <w:szCs w:val="18"/>
                      <w:lang w:eastAsia="zh-CN"/>
                    </w:rPr>
                  </w:pPr>
                  <w:r>
                    <w:rPr>
                      <w:rFonts w:hint="eastAsia" w:ascii="Times New Roman"/>
                      <w:color w:val="auto"/>
                      <w:sz w:val="18"/>
                      <w:szCs w:val="18"/>
                      <w:lang w:val="en-US" w:eastAsia="zh-CN"/>
                    </w:rPr>
                    <w:t>2</w:t>
                  </w:r>
                  <w:r>
                    <w:rPr>
                      <w:rFonts w:ascii="Times New Roman"/>
                      <w:color w:val="auto"/>
                      <w:sz w:val="18"/>
                      <w:szCs w:val="18"/>
                    </w:rPr>
                    <w:t>×</w:t>
                  </w:r>
                  <w:r>
                    <w:rPr>
                      <w:rFonts w:hint="eastAsia" w:ascii="Times New Roman"/>
                      <w:color w:val="auto"/>
                      <w:sz w:val="18"/>
                      <w:szCs w:val="18"/>
                      <w:lang w:val="en-US" w:eastAsia="zh-CN"/>
                    </w:rPr>
                    <w:t>1</w:t>
                  </w:r>
                </w:p>
              </w:tc>
              <w:tc>
                <w:tcPr>
                  <w:tcW w:w="677" w:type="dxa"/>
                  <w:noWrap w:val="0"/>
                  <w:vAlign w:val="center"/>
                </w:tcPr>
                <w:p w14:paraId="4A34D43E">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2</w:t>
                  </w:r>
                </w:p>
              </w:tc>
              <w:tc>
                <w:tcPr>
                  <w:tcW w:w="678" w:type="dxa"/>
                  <w:noWrap w:val="0"/>
                  <w:vAlign w:val="center"/>
                </w:tcPr>
                <w:p w14:paraId="3D17566E">
                  <w:pPr>
                    <w:pStyle w:val="200"/>
                    <w:spacing w:before="24" w:after="24"/>
                    <w:rPr>
                      <w:rFonts w:ascii="Times New Roman"/>
                      <w:color w:val="auto"/>
                      <w:sz w:val="18"/>
                      <w:szCs w:val="18"/>
                    </w:rPr>
                  </w:pPr>
                  <w:r>
                    <w:rPr>
                      <w:rFonts w:ascii="Times New Roman"/>
                      <w:color w:val="auto"/>
                      <w:sz w:val="18"/>
                      <w:szCs w:val="18"/>
                    </w:rPr>
                    <w:t>0.3</w:t>
                  </w:r>
                </w:p>
              </w:tc>
              <w:tc>
                <w:tcPr>
                  <w:tcW w:w="814" w:type="dxa"/>
                  <w:noWrap w:val="0"/>
                  <w:vAlign w:val="center"/>
                </w:tcPr>
                <w:p w14:paraId="66F36B4A">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1944</w:t>
                  </w:r>
                </w:p>
              </w:tc>
              <w:tc>
                <w:tcPr>
                  <w:tcW w:w="531" w:type="dxa"/>
                  <w:noWrap w:val="0"/>
                  <w:vAlign w:val="center"/>
                </w:tcPr>
                <w:p w14:paraId="57A81CDA">
                  <w:pPr>
                    <w:pStyle w:val="200"/>
                    <w:spacing w:before="24" w:after="24"/>
                    <w:rPr>
                      <w:rFonts w:hint="eastAsia" w:ascii="Times New Roman" w:eastAsia="宋体"/>
                      <w:color w:val="auto"/>
                      <w:sz w:val="18"/>
                      <w:szCs w:val="18"/>
                      <w:lang w:eastAsia="zh-CN"/>
                    </w:rPr>
                  </w:pPr>
                  <w:r>
                    <w:rPr>
                      <w:rFonts w:hint="eastAsia" w:ascii="Times New Roman" w:eastAsia="等线"/>
                      <w:color w:val="auto"/>
                      <w:sz w:val="18"/>
                      <w:szCs w:val="18"/>
                      <w:lang w:val="en-US" w:eastAsia="zh-CN"/>
                    </w:rPr>
                    <w:t>4</w:t>
                  </w:r>
                </w:p>
              </w:tc>
              <w:tc>
                <w:tcPr>
                  <w:tcW w:w="961" w:type="dxa"/>
                  <w:noWrap w:val="0"/>
                  <w:vAlign w:val="center"/>
                </w:tcPr>
                <w:p w14:paraId="1320D1C6">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7776</w:t>
                  </w:r>
                </w:p>
              </w:tc>
            </w:tr>
            <w:tr w14:paraId="244FA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82" w:type="dxa"/>
                  <w:noWrap w:val="0"/>
                  <w:vAlign w:val="center"/>
                </w:tcPr>
                <w:p w14:paraId="3C2D7604">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PPH缠绕一体化成型机</w:t>
                  </w:r>
                </w:p>
              </w:tc>
              <w:tc>
                <w:tcPr>
                  <w:tcW w:w="678" w:type="dxa"/>
                  <w:noWrap w:val="0"/>
                  <w:vAlign w:val="center"/>
                </w:tcPr>
                <w:p w14:paraId="26B668B1">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DA001</w:t>
                  </w:r>
                </w:p>
              </w:tc>
              <w:tc>
                <w:tcPr>
                  <w:tcW w:w="901" w:type="dxa"/>
                  <w:noWrap w:val="0"/>
                  <w:vAlign w:val="center"/>
                </w:tcPr>
                <w:p w14:paraId="68D55AEB">
                  <w:pPr>
                    <w:pStyle w:val="200"/>
                    <w:spacing w:before="24" w:after="24"/>
                    <w:rPr>
                      <w:rFonts w:ascii="Times New Roman"/>
                      <w:color w:val="auto"/>
                      <w:sz w:val="18"/>
                      <w:szCs w:val="18"/>
                    </w:rPr>
                  </w:pPr>
                  <w:r>
                    <w:rPr>
                      <w:rFonts w:hint="eastAsia" w:ascii="Times New Roman"/>
                      <w:color w:val="auto"/>
                      <w:sz w:val="18"/>
                      <w:szCs w:val="18"/>
                      <w:lang w:eastAsia="zh-CN"/>
                    </w:rPr>
                    <w:t>间断运行</w:t>
                  </w:r>
                </w:p>
              </w:tc>
              <w:tc>
                <w:tcPr>
                  <w:tcW w:w="590" w:type="dxa"/>
                  <w:noWrap w:val="0"/>
                  <w:vAlign w:val="center"/>
                </w:tcPr>
                <w:p w14:paraId="087B01B0">
                  <w:pPr>
                    <w:pStyle w:val="200"/>
                    <w:spacing w:before="24" w:after="24"/>
                    <w:rPr>
                      <w:rFonts w:hint="default" w:ascii="Times New Roman" w:eastAsia="宋体"/>
                      <w:color w:val="auto"/>
                      <w:sz w:val="18"/>
                      <w:szCs w:val="18"/>
                      <w:lang w:val="en-US" w:eastAsia="zh-CN"/>
                    </w:rPr>
                  </w:pPr>
                  <w:r>
                    <w:rPr>
                      <w:rFonts w:ascii="Times New Roman"/>
                      <w:color w:val="auto"/>
                      <w:sz w:val="18"/>
                      <w:szCs w:val="18"/>
                    </w:rPr>
                    <w:t>0.</w:t>
                  </w:r>
                  <w:r>
                    <w:rPr>
                      <w:rFonts w:hint="eastAsia" w:ascii="Times New Roman"/>
                      <w:color w:val="auto"/>
                      <w:sz w:val="18"/>
                      <w:szCs w:val="18"/>
                      <w:lang w:val="en-US" w:eastAsia="zh-CN"/>
                    </w:rPr>
                    <w:t>2</w:t>
                  </w:r>
                </w:p>
              </w:tc>
              <w:tc>
                <w:tcPr>
                  <w:tcW w:w="950" w:type="dxa"/>
                  <w:noWrap w:val="0"/>
                  <w:vAlign w:val="center"/>
                </w:tcPr>
                <w:p w14:paraId="0B78B271">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2</w:t>
                  </w:r>
                  <w:r>
                    <w:rPr>
                      <w:rFonts w:ascii="Times New Roman"/>
                      <w:color w:val="auto"/>
                      <w:sz w:val="18"/>
                      <w:szCs w:val="18"/>
                    </w:rPr>
                    <w:t>×</w:t>
                  </w:r>
                  <w:r>
                    <w:rPr>
                      <w:rFonts w:hint="eastAsia" w:ascii="Times New Roman"/>
                      <w:color w:val="auto"/>
                      <w:sz w:val="18"/>
                      <w:szCs w:val="18"/>
                      <w:lang w:val="en-US" w:eastAsia="zh-CN"/>
                    </w:rPr>
                    <w:t>1</w:t>
                  </w:r>
                </w:p>
              </w:tc>
              <w:tc>
                <w:tcPr>
                  <w:tcW w:w="677" w:type="dxa"/>
                  <w:noWrap w:val="0"/>
                  <w:vAlign w:val="center"/>
                </w:tcPr>
                <w:p w14:paraId="678BA62B">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2</w:t>
                  </w:r>
                </w:p>
              </w:tc>
              <w:tc>
                <w:tcPr>
                  <w:tcW w:w="678" w:type="dxa"/>
                  <w:noWrap w:val="0"/>
                  <w:vAlign w:val="center"/>
                </w:tcPr>
                <w:p w14:paraId="7D83BC07">
                  <w:pPr>
                    <w:pStyle w:val="200"/>
                    <w:spacing w:before="24" w:after="24"/>
                    <w:rPr>
                      <w:rFonts w:ascii="Times New Roman"/>
                      <w:color w:val="auto"/>
                      <w:sz w:val="18"/>
                      <w:szCs w:val="18"/>
                    </w:rPr>
                  </w:pPr>
                  <w:r>
                    <w:rPr>
                      <w:rFonts w:ascii="Times New Roman"/>
                      <w:color w:val="auto"/>
                      <w:sz w:val="18"/>
                      <w:szCs w:val="18"/>
                    </w:rPr>
                    <w:t>0.3</w:t>
                  </w:r>
                </w:p>
              </w:tc>
              <w:tc>
                <w:tcPr>
                  <w:tcW w:w="814" w:type="dxa"/>
                  <w:noWrap w:val="0"/>
                  <w:vAlign w:val="center"/>
                </w:tcPr>
                <w:p w14:paraId="6174BE83">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1944</w:t>
                  </w:r>
                </w:p>
              </w:tc>
              <w:tc>
                <w:tcPr>
                  <w:tcW w:w="531" w:type="dxa"/>
                  <w:noWrap w:val="0"/>
                  <w:vAlign w:val="center"/>
                </w:tcPr>
                <w:p w14:paraId="54078C54">
                  <w:pPr>
                    <w:pStyle w:val="200"/>
                    <w:spacing w:before="24" w:after="24"/>
                    <w:rPr>
                      <w:rFonts w:hint="default" w:ascii="Times New Roman" w:eastAsia="等线"/>
                      <w:color w:val="auto"/>
                      <w:sz w:val="18"/>
                      <w:szCs w:val="18"/>
                      <w:lang w:val="en-US" w:eastAsia="zh-CN"/>
                    </w:rPr>
                  </w:pPr>
                  <w:r>
                    <w:rPr>
                      <w:rFonts w:hint="eastAsia" w:ascii="Times New Roman" w:eastAsia="等线"/>
                      <w:color w:val="auto"/>
                      <w:sz w:val="18"/>
                      <w:szCs w:val="18"/>
                      <w:lang w:val="en-US" w:eastAsia="zh-CN"/>
                    </w:rPr>
                    <w:t>2</w:t>
                  </w:r>
                </w:p>
              </w:tc>
              <w:tc>
                <w:tcPr>
                  <w:tcW w:w="961" w:type="dxa"/>
                  <w:noWrap w:val="0"/>
                  <w:vAlign w:val="center"/>
                </w:tcPr>
                <w:p w14:paraId="65ADBF71">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3888</w:t>
                  </w:r>
                </w:p>
              </w:tc>
            </w:tr>
            <w:tr w14:paraId="2E5B5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1582" w:type="dxa"/>
                  <w:noWrap w:val="0"/>
                  <w:vAlign w:val="center"/>
                </w:tcPr>
                <w:p w14:paraId="58CFB1CD">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喷塑房</w:t>
                  </w:r>
                </w:p>
              </w:tc>
              <w:tc>
                <w:tcPr>
                  <w:tcW w:w="678" w:type="dxa"/>
                  <w:noWrap w:val="0"/>
                  <w:vAlign w:val="center"/>
                </w:tcPr>
                <w:p w14:paraId="1E2471A5">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DA002</w:t>
                  </w:r>
                </w:p>
              </w:tc>
              <w:tc>
                <w:tcPr>
                  <w:tcW w:w="901" w:type="dxa"/>
                  <w:noWrap w:val="0"/>
                  <w:vAlign w:val="center"/>
                </w:tcPr>
                <w:p w14:paraId="3C2334B4">
                  <w:pPr>
                    <w:pStyle w:val="200"/>
                    <w:spacing w:before="24" w:after="24"/>
                    <w:rPr>
                      <w:rFonts w:hint="eastAsia" w:ascii="Times New Roman"/>
                      <w:color w:val="auto"/>
                      <w:sz w:val="18"/>
                      <w:szCs w:val="18"/>
                      <w:lang w:eastAsia="zh-CN"/>
                    </w:rPr>
                  </w:pPr>
                  <w:r>
                    <w:rPr>
                      <w:rFonts w:hint="eastAsia" w:ascii="Times New Roman"/>
                      <w:color w:val="auto"/>
                      <w:sz w:val="18"/>
                      <w:szCs w:val="18"/>
                      <w:lang w:eastAsia="zh-CN"/>
                    </w:rPr>
                    <w:t>间断运行</w:t>
                  </w:r>
                </w:p>
              </w:tc>
              <w:tc>
                <w:tcPr>
                  <w:tcW w:w="590" w:type="dxa"/>
                  <w:noWrap w:val="0"/>
                  <w:vAlign w:val="center"/>
                </w:tcPr>
                <w:p w14:paraId="3F47086B">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0.5</w:t>
                  </w:r>
                </w:p>
              </w:tc>
              <w:tc>
                <w:tcPr>
                  <w:tcW w:w="950" w:type="dxa"/>
                  <w:noWrap w:val="0"/>
                  <w:vAlign w:val="center"/>
                </w:tcPr>
                <w:p w14:paraId="1786E519">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2</w:t>
                  </w:r>
                  <w:r>
                    <w:rPr>
                      <w:rFonts w:ascii="Times New Roman"/>
                      <w:color w:val="auto"/>
                      <w:sz w:val="18"/>
                      <w:szCs w:val="18"/>
                    </w:rPr>
                    <w:t>×</w:t>
                  </w:r>
                  <w:r>
                    <w:rPr>
                      <w:rFonts w:hint="eastAsia" w:ascii="Times New Roman"/>
                      <w:color w:val="auto"/>
                      <w:sz w:val="18"/>
                      <w:szCs w:val="18"/>
                      <w:lang w:val="en-US" w:eastAsia="zh-CN"/>
                    </w:rPr>
                    <w:t>1</w:t>
                  </w:r>
                </w:p>
              </w:tc>
              <w:tc>
                <w:tcPr>
                  <w:tcW w:w="677" w:type="dxa"/>
                  <w:noWrap w:val="0"/>
                  <w:vAlign w:val="center"/>
                </w:tcPr>
                <w:p w14:paraId="14178E07">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2</w:t>
                  </w:r>
                </w:p>
              </w:tc>
              <w:tc>
                <w:tcPr>
                  <w:tcW w:w="678" w:type="dxa"/>
                  <w:noWrap w:val="0"/>
                  <w:vAlign w:val="center"/>
                </w:tcPr>
                <w:p w14:paraId="3C933F58">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0.3</w:t>
                  </w:r>
                </w:p>
              </w:tc>
              <w:tc>
                <w:tcPr>
                  <w:tcW w:w="814" w:type="dxa"/>
                  <w:noWrap w:val="0"/>
                  <w:vAlign w:val="center"/>
                </w:tcPr>
                <w:p w14:paraId="0F80D0D9">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3645</w:t>
                  </w:r>
                </w:p>
              </w:tc>
              <w:tc>
                <w:tcPr>
                  <w:tcW w:w="531" w:type="dxa"/>
                  <w:noWrap w:val="0"/>
                  <w:vAlign w:val="center"/>
                </w:tcPr>
                <w:p w14:paraId="06B57796">
                  <w:pPr>
                    <w:pStyle w:val="200"/>
                    <w:spacing w:before="24" w:after="24"/>
                    <w:rPr>
                      <w:rFonts w:hint="default" w:ascii="Times New Roman" w:eastAsia="等线"/>
                      <w:color w:val="auto"/>
                      <w:sz w:val="18"/>
                      <w:szCs w:val="18"/>
                      <w:lang w:val="en-US" w:eastAsia="zh-CN"/>
                    </w:rPr>
                  </w:pPr>
                  <w:r>
                    <w:rPr>
                      <w:rFonts w:hint="eastAsia" w:ascii="Times New Roman" w:eastAsia="等线"/>
                      <w:color w:val="auto"/>
                      <w:sz w:val="18"/>
                      <w:szCs w:val="18"/>
                      <w:lang w:val="en-US" w:eastAsia="zh-CN"/>
                    </w:rPr>
                    <w:t>1</w:t>
                  </w:r>
                </w:p>
              </w:tc>
              <w:tc>
                <w:tcPr>
                  <w:tcW w:w="961" w:type="dxa"/>
                  <w:noWrap w:val="0"/>
                  <w:vAlign w:val="center"/>
                </w:tcPr>
                <w:p w14:paraId="46D596C7">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3645</w:t>
                  </w:r>
                </w:p>
              </w:tc>
            </w:tr>
          </w:tbl>
          <w:p w14:paraId="7AAB4D9E">
            <w:pPr>
              <w:tabs>
                <w:tab w:val="left" w:pos="6198"/>
              </w:tabs>
              <w:spacing w:line="360" w:lineRule="auto"/>
              <w:ind w:firstLine="420" w:firstLineChars="200"/>
              <w:rPr>
                <w:b w:val="0"/>
                <w:color w:val="auto"/>
                <w:sz w:val="21"/>
                <w:szCs w:val="21"/>
              </w:rPr>
            </w:pPr>
            <w:r>
              <w:rPr>
                <w:rFonts w:hint="eastAsia"/>
                <w:b w:val="0"/>
                <w:color w:val="auto"/>
                <w:sz w:val="21"/>
                <w:szCs w:val="21"/>
                <w:lang w:val="en-US" w:eastAsia="zh-CN"/>
              </w:rPr>
              <w:t>浸漆罐</w:t>
            </w:r>
            <w:r>
              <w:rPr>
                <w:rFonts w:hint="eastAsia"/>
                <w:b w:val="0"/>
                <w:color w:val="auto"/>
                <w:sz w:val="21"/>
                <w:szCs w:val="21"/>
                <w:lang w:eastAsia="zh-CN"/>
              </w:rPr>
              <w:t>、</w:t>
            </w:r>
            <w:r>
              <w:rPr>
                <w:rFonts w:hint="eastAsia"/>
                <w:b w:val="0"/>
                <w:color w:val="auto"/>
                <w:sz w:val="21"/>
                <w:szCs w:val="21"/>
                <w:lang w:val="en-US" w:eastAsia="zh-CN"/>
              </w:rPr>
              <w:t>电固化炉等</w:t>
            </w:r>
            <w:r>
              <w:rPr>
                <w:rFonts w:hint="eastAsia"/>
                <w:b w:val="0"/>
                <w:color w:val="auto"/>
                <w:sz w:val="21"/>
                <w:szCs w:val="21"/>
              </w:rPr>
              <w:t>属于密闭设备，采用集气孔属于</w:t>
            </w:r>
            <w:r>
              <w:rPr>
                <w:b w:val="0"/>
                <w:color w:val="auto"/>
                <w:sz w:val="21"/>
                <w:szCs w:val="21"/>
              </w:rPr>
              <w:t>内部密闭罩</w:t>
            </w:r>
            <w:r>
              <w:rPr>
                <w:rFonts w:hint="eastAsia"/>
                <w:b w:val="0"/>
                <w:color w:val="auto"/>
                <w:sz w:val="21"/>
                <w:szCs w:val="21"/>
              </w:rPr>
              <w:t>，其</w:t>
            </w:r>
            <w:r>
              <w:rPr>
                <w:b w:val="0"/>
                <w:color w:val="auto"/>
                <w:sz w:val="21"/>
                <w:szCs w:val="21"/>
              </w:rPr>
              <w:t>排风量根据《环境工程设计手册》（主编：魏先勋），内部密闭罩排风量公式如下：</w:t>
            </w:r>
          </w:p>
          <w:p w14:paraId="7F9526E8">
            <w:pPr>
              <w:pStyle w:val="2"/>
              <w:spacing w:after="0" w:line="360" w:lineRule="auto"/>
              <w:ind w:left="0" w:leftChars="0" w:firstLine="480"/>
              <w:jc w:val="center"/>
              <w:rPr>
                <w:snapToGrid w:val="0"/>
                <w:kern w:val="0"/>
                <w:sz w:val="21"/>
                <w:szCs w:val="21"/>
              </w:rPr>
            </w:pPr>
            <w:r>
              <w:rPr>
                <w:snapToGrid w:val="0"/>
                <w:kern w:val="0"/>
                <w:sz w:val="21"/>
                <w:szCs w:val="21"/>
              </w:rPr>
              <w:t>L=L</w:t>
            </w:r>
            <w:r>
              <w:rPr>
                <w:snapToGrid w:val="0"/>
                <w:kern w:val="0"/>
                <w:sz w:val="21"/>
                <w:szCs w:val="21"/>
                <w:vertAlign w:val="subscript"/>
              </w:rPr>
              <w:t>1</w:t>
            </w:r>
            <w:r>
              <w:rPr>
                <w:snapToGrid w:val="0"/>
                <w:kern w:val="0"/>
                <w:sz w:val="21"/>
                <w:szCs w:val="21"/>
              </w:rPr>
              <w:t>+VF</w:t>
            </w:r>
          </w:p>
          <w:p w14:paraId="70B3FA35">
            <w:pPr>
              <w:pStyle w:val="1388"/>
              <w:spacing w:line="360" w:lineRule="auto"/>
              <w:ind w:firstLine="480"/>
              <w:rPr>
                <w:sz w:val="21"/>
                <w:szCs w:val="21"/>
              </w:rPr>
            </w:pPr>
            <w:r>
              <w:rPr>
                <w:sz w:val="21"/>
                <w:szCs w:val="21"/>
              </w:rPr>
              <w:t>式中：L——集气罩的排风量，m</w:t>
            </w:r>
            <w:r>
              <w:rPr>
                <w:sz w:val="21"/>
                <w:szCs w:val="21"/>
                <w:vertAlign w:val="superscript"/>
              </w:rPr>
              <w:t>3</w:t>
            </w:r>
            <w:r>
              <w:rPr>
                <w:sz w:val="21"/>
                <w:szCs w:val="21"/>
              </w:rPr>
              <w:t>/h；</w:t>
            </w:r>
          </w:p>
          <w:p w14:paraId="626B087A">
            <w:pPr>
              <w:pStyle w:val="1388"/>
              <w:spacing w:line="360" w:lineRule="auto"/>
              <w:ind w:firstLine="480"/>
              <w:rPr>
                <w:sz w:val="21"/>
                <w:szCs w:val="21"/>
              </w:rPr>
            </w:pPr>
            <w:r>
              <w:rPr>
                <w:sz w:val="21"/>
                <w:szCs w:val="21"/>
              </w:rPr>
              <w:t>L</w:t>
            </w:r>
            <w:r>
              <w:rPr>
                <w:sz w:val="21"/>
                <w:szCs w:val="21"/>
                <w:vertAlign w:val="subscript"/>
              </w:rPr>
              <w:t>1</w:t>
            </w:r>
            <w:r>
              <w:rPr>
                <w:sz w:val="21"/>
                <w:szCs w:val="21"/>
              </w:rPr>
              <w:t>——物料或者工艺设备带入罩内的空气量，m</w:t>
            </w:r>
            <w:r>
              <w:rPr>
                <w:sz w:val="21"/>
                <w:szCs w:val="21"/>
                <w:vertAlign w:val="superscript"/>
              </w:rPr>
              <w:t>3</w:t>
            </w:r>
            <w:r>
              <w:rPr>
                <w:sz w:val="21"/>
                <w:szCs w:val="21"/>
              </w:rPr>
              <w:t>/s。</w:t>
            </w:r>
          </w:p>
          <w:p w14:paraId="6BB52FE0">
            <w:pPr>
              <w:pStyle w:val="1388"/>
              <w:spacing w:line="360" w:lineRule="auto"/>
              <w:ind w:firstLine="480"/>
              <w:rPr>
                <w:sz w:val="21"/>
                <w:szCs w:val="21"/>
              </w:rPr>
            </w:pPr>
            <w:r>
              <w:rPr>
                <w:sz w:val="21"/>
                <w:szCs w:val="21"/>
              </w:rPr>
              <w:t>F——工作孔口和总缝隙面积，m</w:t>
            </w:r>
            <w:r>
              <w:rPr>
                <w:sz w:val="21"/>
                <w:szCs w:val="21"/>
                <w:vertAlign w:val="superscript"/>
              </w:rPr>
              <w:t>2</w:t>
            </w:r>
            <w:r>
              <w:rPr>
                <w:sz w:val="21"/>
                <w:szCs w:val="21"/>
              </w:rPr>
              <w:t>；</w:t>
            </w:r>
          </w:p>
          <w:p w14:paraId="325F0F0B">
            <w:pPr>
              <w:pStyle w:val="1388"/>
              <w:spacing w:line="360" w:lineRule="auto"/>
              <w:ind w:firstLine="480"/>
              <w:rPr>
                <w:sz w:val="21"/>
                <w:szCs w:val="21"/>
              </w:rPr>
            </w:pPr>
            <w:r>
              <w:rPr>
                <w:sz w:val="21"/>
                <w:szCs w:val="21"/>
              </w:rPr>
              <w:t>V——工作孔口和缝隙上吸入气流速，m/s；本环评按照</w:t>
            </w:r>
            <w:r>
              <w:rPr>
                <w:rFonts w:hint="eastAsia"/>
                <w:sz w:val="21"/>
                <w:szCs w:val="21"/>
                <w:lang w:val="en-US" w:eastAsia="zh-CN"/>
              </w:rPr>
              <w:t>1.5</w:t>
            </w:r>
            <w:r>
              <w:rPr>
                <w:sz w:val="21"/>
                <w:szCs w:val="21"/>
              </w:rPr>
              <w:t>m/s计算。</w:t>
            </w:r>
          </w:p>
          <w:p w14:paraId="3B843CF8">
            <w:pPr>
              <w:pStyle w:val="2"/>
              <w:spacing w:after="0" w:line="360" w:lineRule="auto"/>
              <w:ind w:left="0" w:leftChars="0" w:firstLine="480"/>
              <w:jc w:val="center"/>
              <w:rPr>
                <w:rFonts w:hint="default" w:ascii="Times New Roman" w:hAnsi="Times New Roman" w:eastAsia="宋体" w:cs="Times New Roman"/>
                <w:b/>
                <w:bCs/>
                <w:sz w:val="21"/>
                <w:szCs w:val="21"/>
              </w:rPr>
            </w:pPr>
            <w:r>
              <w:rPr>
                <w:rFonts w:hint="default" w:ascii="Times New Roman" w:hAnsi="Times New Roman" w:eastAsia="宋体" w:cs="Times New Roman"/>
                <w:b/>
                <w:bCs/>
                <w:sz w:val="21"/>
                <w:szCs w:val="21"/>
              </w:rPr>
              <w:t>表</w:t>
            </w:r>
            <w:r>
              <w:rPr>
                <w:rFonts w:hint="default" w:ascii="Times New Roman" w:hAnsi="Times New Roman" w:eastAsia="宋体" w:cs="Times New Roman"/>
                <w:b/>
                <w:bCs/>
                <w:sz w:val="21"/>
                <w:szCs w:val="21"/>
                <w:lang w:val="en-US" w:eastAsia="zh-CN"/>
              </w:rPr>
              <w:t>4-12</w:t>
            </w:r>
            <w:r>
              <w:rPr>
                <w:rFonts w:hint="default" w:ascii="Times New Roman" w:hAnsi="Times New Roman" w:eastAsia="宋体" w:cs="Times New Roman"/>
                <w:b/>
                <w:bCs/>
                <w:sz w:val="21"/>
                <w:szCs w:val="21"/>
              </w:rPr>
              <w:t xml:space="preserve">  内部集气罩废气收集风量核算</w:t>
            </w:r>
          </w:p>
          <w:tbl>
            <w:tblPr>
              <w:tblStyle w:val="81"/>
              <w:tblW w:w="5000"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897"/>
              <w:gridCol w:w="1163"/>
              <w:gridCol w:w="1163"/>
              <w:gridCol w:w="639"/>
              <w:gridCol w:w="901"/>
              <w:gridCol w:w="903"/>
              <w:gridCol w:w="722"/>
              <w:gridCol w:w="973"/>
              <w:gridCol w:w="1012"/>
            </w:tblGrid>
            <w:tr w14:paraId="75D6CA47">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726" w:hRule="atLeast"/>
                <w:jc w:val="center"/>
              </w:trPr>
              <w:tc>
                <w:tcPr>
                  <w:tcW w:w="897" w:type="dxa"/>
                  <w:noWrap w:val="0"/>
                  <w:vAlign w:val="center"/>
                </w:tcPr>
                <w:p w14:paraId="5BC9FB96">
                  <w:pPr>
                    <w:widowControl/>
                    <w:spacing w:line="360" w:lineRule="auto"/>
                    <w:jc w:val="center"/>
                    <w:rPr>
                      <w:b w:val="0"/>
                      <w:bCs w:val="0"/>
                      <w:kern w:val="0"/>
                      <w:sz w:val="18"/>
                      <w:szCs w:val="18"/>
                    </w:rPr>
                  </w:pPr>
                  <w:r>
                    <w:rPr>
                      <w:b w:val="0"/>
                      <w:bCs w:val="0"/>
                      <w:kern w:val="0"/>
                      <w:sz w:val="18"/>
                      <w:szCs w:val="18"/>
                    </w:rPr>
                    <w:t>设备</w:t>
                  </w:r>
                </w:p>
              </w:tc>
              <w:tc>
                <w:tcPr>
                  <w:tcW w:w="1163" w:type="dxa"/>
                  <w:noWrap w:val="0"/>
                  <w:vAlign w:val="center"/>
                </w:tcPr>
                <w:p w14:paraId="345A83E7">
                  <w:pPr>
                    <w:widowControl/>
                    <w:spacing w:line="240" w:lineRule="auto"/>
                    <w:jc w:val="center"/>
                    <w:rPr>
                      <w:rFonts w:hint="eastAsia" w:eastAsia="宋体"/>
                      <w:b w:val="0"/>
                      <w:bCs w:val="0"/>
                      <w:kern w:val="0"/>
                      <w:sz w:val="18"/>
                      <w:szCs w:val="18"/>
                      <w:lang w:eastAsia="zh-CN"/>
                    </w:rPr>
                  </w:pPr>
                  <w:r>
                    <w:rPr>
                      <w:rFonts w:hint="eastAsia"/>
                      <w:b w:val="0"/>
                      <w:bCs w:val="0"/>
                      <w:kern w:val="0"/>
                      <w:sz w:val="18"/>
                      <w:szCs w:val="18"/>
                      <w:lang w:eastAsia="zh-CN"/>
                    </w:rPr>
                    <w:t>对应排气筒</w:t>
                  </w:r>
                </w:p>
              </w:tc>
              <w:tc>
                <w:tcPr>
                  <w:tcW w:w="1163" w:type="dxa"/>
                  <w:noWrap w:val="0"/>
                  <w:vAlign w:val="center"/>
                </w:tcPr>
                <w:p w14:paraId="3B7BCB36">
                  <w:pPr>
                    <w:widowControl/>
                    <w:spacing w:line="240" w:lineRule="auto"/>
                    <w:jc w:val="center"/>
                    <w:rPr>
                      <w:b w:val="0"/>
                      <w:bCs w:val="0"/>
                      <w:kern w:val="0"/>
                      <w:sz w:val="18"/>
                      <w:szCs w:val="18"/>
                    </w:rPr>
                  </w:pPr>
                  <w:r>
                    <w:rPr>
                      <w:b w:val="0"/>
                      <w:bCs w:val="0"/>
                      <w:kern w:val="0"/>
                      <w:sz w:val="18"/>
                      <w:szCs w:val="18"/>
                    </w:rPr>
                    <w:t>物料或工艺设备带入罩内的空气量m</w:t>
                  </w:r>
                  <w:r>
                    <w:rPr>
                      <w:b w:val="0"/>
                      <w:bCs w:val="0"/>
                      <w:kern w:val="0"/>
                      <w:sz w:val="18"/>
                      <w:szCs w:val="18"/>
                      <w:vertAlign w:val="superscript"/>
                    </w:rPr>
                    <w:t>3</w:t>
                  </w:r>
                  <w:r>
                    <w:rPr>
                      <w:b w:val="0"/>
                      <w:bCs w:val="0"/>
                      <w:kern w:val="0"/>
                      <w:sz w:val="18"/>
                      <w:szCs w:val="18"/>
                    </w:rPr>
                    <w:t>/s</w:t>
                  </w:r>
                </w:p>
              </w:tc>
              <w:tc>
                <w:tcPr>
                  <w:tcW w:w="639" w:type="dxa"/>
                  <w:noWrap w:val="0"/>
                  <w:vAlign w:val="center"/>
                </w:tcPr>
                <w:p w14:paraId="6E0F0FED">
                  <w:pPr>
                    <w:widowControl/>
                    <w:spacing w:line="240" w:lineRule="auto"/>
                    <w:jc w:val="center"/>
                    <w:rPr>
                      <w:b w:val="0"/>
                      <w:bCs w:val="0"/>
                      <w:kern w:val="0"/>
                      <w:sz w:val="18"/>
                      <w:szCs w:val="18"/>
                    </w:rPr>
                  </w:pPr>
                  <w:r>
                    <w:rPr>
                      <w:b w:val="0"/>
                      <w:bCs w:val="0"/>
                      <w:kern w:val="0"/>
                      <w:sz w:val="18"/>
                      <w:szCs w:val="18"/>
                    </w:rPr>
                    <w:t>总缝隙面积m</w:t>
                  </w:r>
                  <w:r>
                    <w:rPr>
                      <w:b w:val="0"/>
                      <w:bCs w:val="0"/>
                      <w:kern w:val="0"/>
                      <w:sz w:val="18"/>
                      <w:szCs w:val="18"/>
                      <w:vertAlign w:val="superscript"/>
                    </w:rPr>
                    <w:t>2</w:t>
                  </w:r>
                </w:p>
              </w:tc>
              <w:tc>
                <w:tcPr>
                  <w:tcW w:w="901" w:type="dxa"/>
                  <w:noWrap w:val="0"/>
                  <w:vAlign w:val="center"/>
                </w:tcPr>
                <w:p w14:paraId="7EE53E96">
                  <w:pPr>
                    <w:widowControl/>
                    <w:spacing w:line="240" w:lineRule="auto"/>
                    <w:jc w:val="center"/>
                    <w:rPr>
                      <w:b w:val="0"/>
                      <w:bCs w:val="0"/>
                      <w:kern w:val="0"/>
                      <w:sz w:val="18"/>
                      <w:szCs w:val="18"/>
                    </w:rPr>
                  </w:pPr>
                  <w:r>
                    <w:rPr>
                      <w:b w:val="0"/>
                      <w:bCs w:val="0"/>
                      <w:kern w:val="0"/>
                      <w:sz w:val="18"/>
                      <w:szCs w:val="18"/>
                    </w:rPr>
                    <w:t>工作孔口和上部流速m/s</w:t>
                  </w:r>
                </w:p>
              </w:tc>
              <w:tc>
                <w:tcPr>
                  <w:tcW w:w="903" w:type="dxa"/>
                  <w:noWrap w:val="0"/>
                  <w:vAlign w:val="center"/>
                </w:tcPr>
                <w:p w14:paraId="599A8CDE">
                  <w:pPr>
                    <w:widowControl/>
                    <w:spacing w:line="240" w:lineRule="auto"/>
                    <w:jc w:val="center"/>
                    <w:rPr>
                      <w:b w:val="0"/>
                      <w:bCs w:val="0"/>
                      <w:kern w:val="0"/>
                      <w:sz w:val="18"/>
                      <w:szCs w:val="18"/>
                    </w:rPr>
                  </w:pPr>
                  <w:r>
                    <w:rPr>
                      <w:b w:val="0"/>
                      <w:bCs w:val="0"/>
                      <w:kern w:val="0"/>
                      <w:sz w:val="18"/>
                      <w:szCs w:val="18"/>
                    </w:rPr>
                    <w:t>单设备总风量（m</w:t>
                  </w:r>
                  <w:r>
                    <w:rPr>
                      <w:b w:val="0"/>
                      <w:bCs w:val="0"/>
                      <w:kern w:val="0"/>
                      <w:sz w:val="18"/>
                      <w:szCs w:val="18"/>
                      <w:vertAlign w:val="superscript"/>
                    </w:rPr>
                    <w:t>3</w:t>
                  </w:r>
                  <w:r>
                    <w:rPr>
                      <w:b w:val="0"/>
                      <w:bCs w:val="0"/>
                      <w:kern w:val="0"/>
                      <w:sz w:val="18"/>
                      <w:szCs w:val="18"/>
                    </w:rPr>
                    <w:t>/s）</w:t>
                  </w:r>
                </w:p>
              </w:tc>
              <w:tc>
                <w:tcPr>
                  <w:tcW w:w="722" w:type="dxa"/>
                  <w:noWrap w:val="0"/>
                  <w:vAlign w:val="center"/>
                </w:tcPr>
                <w:p w14:paraId="1B07ECEC">
                  <w:pPr>
                    <w:widowControl/>
                    <w:spacing w:line="240" w:lineRule="auto"/>
                    <w:jc w:val="center"/>
                    <w:rPr>
                      <w:b w:val="0"/>
                      <w:bCs w:val="0"/>
                      <w:kern w:val="0"/>
                      <w:sz w:val="18"/>
                      <w:szCs w:val="18"/>
                    </w:rPr>
                  </w:pPr>
                  <w:r>
                    <w:rPr>
                      <w:b w:val="0"/>
                      <w:bCs w:val="0"/>
                      <w:kern w:val="0"/>
                      <w:sz w:val="18"/>
                      <w:szCs w:val="18"/>
                    </w:rPr>
                    <w:t>设备数量（台）</w:t>
                  </w:r>
                </w:p>
              </w:tc>
              <w:tc>
                <w:tcPr>
                  <w:tcW w:w="973" w:type="dxa"/>
                  <w:noWrap w:val="0"/>
                  <w:vAlign w:val="center"/>
                </w:tcPr>
                <w:p w14:paraId="00CCCE47">
                  <w:pPr>
                    <w:widowControl/>
                    <w:spacing w:line="240" w:lineRule="auto"/>
                    <w:jc w:val="center"/>
                    <w:rPr>
                      <w:b w:val="0"/>
                      <w:bCs w:val="0"/>
                      <w:kern w:val="0"/>
                      <w:sz w:val="18"/>
                      <w:szCs w:val="18"/>
                    </w:rPr>
                  </w:pPr>
                  <w:r>
                    <w:rPr>
                      <w:b w:val="0"/>
                      <w:bCs w:val="0"/>
                      <w:kern w:val="0"/>
                      <w:sz w:val="18"/>
                      <w:szCs w:val="18"/>
                    </w:rPr>
                    <w:t>总风机风量（m</w:t>
                  </w:r>
                  <w:r>
                    <w:rPr>
                      <w:b w:val="0"/>
                      <w:bCs w:val="0"/>
                      <w:kern w:val="0"/>
                      <w:sz w:val="18"/>
                      <w:szCs w:val="18"/>
                      <w:vertAlign w:val="superscript"/>
                    </w:rPr>
                    <w:t>3</w:t>
                  </w:r>
                  <w:r>
                    <w:rPr>
                      <w:b w:val="0"/>
                      <w:bCs w:val="0"/>
                      <w:kern w:val="0"/>
                      <w:sz w:val="18"/>
                      <w:szCs w:val="18"/>
                    </w:rPr>
                    <w:t>/s）</w:t>
                  </w:r>
                </w:p>
              </w:tc>
              <w:tc>
                <w:tcPr>
                  <w:tcW w:w="1012" w:type="dxa"/>
                  <w:noWrap w:val="0"/>
                  <w:vAlign w:val="center"/>
                </w:tcPr>
                <w:p w14:paraId="650C0738">
                  <w:pPr>
                    <w:widowControl/>
                    <w:spacing w:line="240" w:lineRule="auto"/>
                    <w:jc w:val="center"/>
                    <w:rPr>
                      <w:b w:val="0"/>
                      <w:bCs w:val="0"/>
                      <w:kern w:val="0"/>
                      <w:sz w:val="18"/>
                      <w:szCs w:val="18"/>
                    </w:rPr>
                  </w:pPr>
                  <w:r>
                    <w:rPr>
                      <w:b w:val="0"/>
                      <w:bCs w:val="0"/>
                      <w:kern w:val="0"/>
                      <w:sz w:val="18"/>
                      <w:szCs w:val="18"/>
                    </w:rPr>
                    <w:t>总风机风量（m</w:t>
                  </w:r>
                  <w:r>
                    <w:rPr>
                      <w:b w:val="0"/>
                      <w:bCs w:val="0"/>
                      <w:kern w:val="0"/>
                      <w:sz w:val="18"/>
                      <w:szCs w:val="18"/>
                      <w:vertAlign w:val="superscript"/>
                    </w:rPr>
                    <w:t>3</w:t>
                  </w:r>
                  <w:r>
                    <w:rPr>
                      <w:b w:val="0"/>
                      <w:bCs w:val="0"/>
                      <w:kern w:val="0"/>
                      <w:sz w:val="18"/>
                      <w:szCs w:val="18"/>
                    </w:rPr>
                    <w:t>/h）</w:t>
                  </w:r>
                </w:p>
              </w:tc>
            </w:tr>
            <w:tr w14:paraId="4F70C11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24" w:hRule="atLeast"/>
                <w:jc w:val="center"/>
              </w:trPr>
              <w:tc>
                <w:tcPr>
                  <w:tcW w:w="897" w:type="dxa"/>
                  <w:noWrap w:val="0"/>
                  <w:vAlign w:val="center"/>
                </w:tcPr>
                <w:p w14:paraId="01F20B0E">
                  <w:pPr>
                    <w:widowControl/>
                    <w:spacing w:line="240" w:lineRule="auto"/>
                    <w:jc w:val="center"/>
                    <w:rPr>
                      <w:rFonts w:hint="eastAsia"/>
                      <w:b w:val="0"/>
                      <w:bCs w:val="0"/>
                      <w:kern w:val="0"/>
                      <w:sz w:val="18"/>
                      <w:szCs w:val="18"/>
                      <w:lang w:eastAsia="zh-CN"/>
                    </w:rPr>
                  </w:pPr>
                  <w:r>
                    <w:rPr>
                      <w:rFonts w:hint="eastAsia"/>
                      <w:b w:val="0"/>
                      <w:bCs w:val="0"/>
                      <w:kern w:val="0"/>
                      <w:sz w:val="18"/>
                      <w:szCs w:val="18"/>
                      <w:lang w:eastAsia="zh-CN"/>
                    </w:rPr>
                    <w:t>浸漆罐</w:t>
                  </w:r>
                </w:p>
              </w:tc>
              <w:tc>
                <w:tcPr>
                  <w:tcW w:w="1163" w:type="dxa"/>
                  <w:noWrap w:val="0"/>
                  <w:vAlign w:val="center"/>
                </w:tcPr>
                <w:p w14:paraId="7C773190">
                  <w:pPr>
                    <w:widowControl/>
                    <w:spacing w:line="240" w:lineRule="auto"/>
                    <w:jc w:val="center"/>
                    <w:rPr>
                      <w:rFonts w:hint="eastAsia" w:ascii="Times New Roman"/>
                      <w:color w:val="auto"/>
                      <w:sz w:val="18"/>
                      <w:szCs w:val="18"/>
                      <w:lang w:val="en-US" w:eastAsia="zh-CN"/>
                    </w:rPr>
                  </w:pPr>
                  <w:r>
                    <w:rPr>
                      <w:rFonts w:hint="eastAsia" w:ascii="Times New Roman"/>
                      <w:color w:val="auto"/>
                      <w:sz w:val="18"/>
                      <w:szCs w:val="18"/>
                      <w:lang w:val="en-US" w:eastAsia="zh-CN"/>
                    </w:rPr>
                    <w:t>DA001</w:t>
                  </w:r>
                </w:p>
              </w:tc>
              <w:tc>
                <w:tcPr>
                  <w:tcW w:w="1163" w:type="dxa"/>
                  <w:noWrap w:val="0"/>
                  <w:vAlign w:val="center"/>
                </w:tcPr>
                <w:p w14:paraId="6087EA22">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0.1</w:t>
                  </w:r>
                </w:p>
              </w:tc>
              <w:tc>
                <w:tcPr>
                  <w:tcW w:w="639" w:type="dxa"/>
                  <w:noWrap w:val="0"/>
                  <w:vAlign w:val="center"/>
                </w:tcPr>
                <w:p w14:paraId="1519B8DE">
                  <w:pPr>
                    <w:widowControl/>
                    <w:spacing w:line="240" w:lineRule="auto"/>
                    <w:jc w:val="center"/>
                    <w:rPr>
                      <w:rFonts w:hint="default" w:eastAsia="等线"/>
                      <w:b w:val="0"/>
                      <w:bCs w:val="0"/>
                      <w:kern w:val="0"/>
                      <w:sz w:val="18"/>
                      <w:szCs w:val="18"/>
                      <w:lang w:val="en-US" w:eastAsia="zh-CN"/>
                    </w:rPr>
                  </w:pPr>
                  <w:r>
                    <w:rPr>
                      <w:rFonts w:hint="eastAsia" w:eastAsia="等线"/>
                      <w:b w:val="0"/>
                      <w:bCs w:val="0"/>
                      <w:kern w:val="0"/>
                      <w:sz w:val="18"/>
                      <w:szCs w:val="18"/>
                      <w:lang w:val="en-US" w:eastAsia="zh-CN"/>
                    </w:rPr>
                    <w:t>0.1</w:t>
                  </w:r>
                </w:p>
              </w:tc>
              <w:tc>
                <w:tcPr>
                  <w:tcW w:w="901" w:type="dxa"/>
                  <w:noWrap w:val="0"/>
                  <w:vAlign w:val="center"/>
                </w:tcPr>
                <w:p w14:paraId="2DB36319">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1.2</w:t>
                  </w:r>
                </w:p>
              </w:tc>
              <w:tc>
                <w:tcPr>
                  <w:tcW w:w="903" w:type="dxa"/>
                  <w:noWrap w:val="0"/>
                  <w:vAlign w:val="center"/>
                </w:tcPr>
                <w:p w14:paraId="1C0C679E">
                  <w:pPr>
                    <w:widowControl/>
                    <w:spacing w:line="240" w:lineRule="auto"/>
                    <w:jc w:val="center"/>
                    <w:rPr>
                      <w:rFonts w:hint="eastAsia" w:eastAsia="等线"/>
                      <w:b w:val="0"/>
                      <w:bCs w:val="0"/>
                      <w:sz w:val="18"/>
                      <w:szCs w:val="18"/>
                      <w:lang w:val="en-US" w:eastAsia="zh-CN"/>
                    </w:rPr>
                  </w:pPr>
                  <w:r>
                    <w:rPr>
                      <w:rFonts w:hint="eastAsia" w:eastAsia="等线"/>
                      <w:b w:val="0"/>
                      <w:bCs w:val="0"/>
                      <w:sz w:val="18"/>
                      <w:szCs w:val="18"/>
                      <w:lang w:val="en-US" w:eastAsia="zh-CN"/>
                    </w:rPr>
                    <w:t>0.22</w:t>
                  </w:r>
                </w:p>
              </w:tc>
              <w:tc>
                <w:tcPr>
                  <w:tcW w:w="722" w:type="dxa"/>
                  <w:noWrap w:val="0"/>
                  <w:vAlign w:val="center"/>
                </w:tcPr>
                <w:p w14:paraId="712DE328">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1</w:t>
                  </w:r>
                </w:p>
              </w:tc>
              <w:tc>
                <w:tcPr>
                  <w:tcW w:w="973" w:type="dxa"/>
                  <w:noWrap w:val="0"/>
                  <w:vAlign w:val="center"/>
                </w:tcPr>
                <w:p w14:paraId="4CAE3CFA">
                  <w:pPr>
                    <w:widowControl/>
                    <w:spacing w:line="240" w:lineRule="auto"/>
                    <w:jc w:val="center"/>
                    <w:rPr>
                      <w:rFonts w:hint="eastAsia" w:eastAsia="等线"/>
                      <w:b w:val="0"/>
                      <w:bCs w:val="0"/>
                      <w:kern w:val="0"/>
                      <w:sz w:val="18"/>
                      <w:szCs w:val="18"/>
                      <w:lang w:val="en-US" w:eastAsia="zh-CN"/>
                    </w:rPr>
                  </w:pPr>
                  <w:r>
                    <w:rPr>
                      <w:rFonts w:hint="eastAsia" w:eastAsia="等线"/>
                      <w:b w:val="0"/>
                      <w:bCs w:val="0"/>
                      <w:sz w:val="18"/>
                      <w:szCs w:val="18"/>
                      <w:lang w:val="en-US" w:eastAsia="zh-CN"/>
                    </w:rPr>
                    <w:t>0.22</w:t>
                  </w:r>
                </w:p>
              </w:tc>
              <w:tc>
                <w:tcPr>
                  <w:tcW w:w="1012" w:type="dxa"/>
                  <w:noWrap w:val="0"/>
                  <w:vAlign w:val="center"/>
                </w:tcPr>
                <w:p w14:paraId="1DEFF7DD">
                  <w:pPr>
                    <w:widowControl/>
                    <w:spacing w:line="240" w:lineRule="auto"/>
                    <w:jc w:val="center"/>
                    <w:rPr>
                      <w:rFonts w:hint="eastAsia" w:eastAsia="等线"/>
                      <w:b w:val="0"/>
                      <w:bCs w:val="0"/>
                      <w:sz w:val="18"/>
                      <w:szCs w:val="18"/>
                      <w:lang w:val="en-US" w:eastAsia="zh-CN"/>
                    </w:rPr>
                  </w:pPr>
                  <w:r>
                    <w:rPr>
                      <w:rFonts w:hint="eastAsia" w:eastAsia="等线"/>
                      <w:b w:val="0"/>
                      <w:bCs w:val="0"/>
                      <w:sz w:val="18"/>
                      <w:szCs w:val="18"/>
                      <w:lang w:val="en-US" w:eastAsia="zh-CN"/>
                    </w:rPr>
                    <w:t>792</w:t>
                  </w:r>
                </w:p>
              </w:tc>
            </w:tr>
            <w:tr w14:paraId="2AFE915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24" w:hRule="atLeast"/>
                <w:jc w:val="center"/>
              </w:trPr>
              <w:tc>
                <w:tcPr>
                  <w:tcW w:w="897" w:type="dxa"/>
                  <w:noWrap w:val="0"/>
                  <w:vAlign w:val="center"/>
                </w:tcPr>
                <w:p w14:paraId="6C55413A">
                  <w:pPr>
                    <w:widowControl/>
                    <w:spacing w:line="240" w:lineRule="auto"/>
                    <w:jc w:val="center"/>
                    <w:rPr>
                      <w:rFonts w:hint="eastAsia"/>
                      <w:b w:val="0"/>
                      <w:bCs w:val="0"/>
                      <w:kern w:val="0"/>
                      <w:sz w:val="18"/>
                      <w:szCs w:val="18"/>
                      <w:lang w:eastAsia="zh-CN"/>
                    </w:rPr>
                  </w:pPr>
                  <w:r>
                    <w:rPr>
                      <w:rFonts w:hint="eastAsia"/>
                      <w:b w:val="0"/>
                      <w:bCs w:val="0"/>
                      <w:kern w:val="0"/>
                      <w:sz w:val="18"/>
                      <w:szCs w:val="18"/>
                      <w:lang w:eastAsia="zh-CN"/>
                    </w:rPr>
                    <w:t>电烘干箱</w:t>
                  </w:r>
                </w:p>
              </w:tc>
              <w:tc>
                <w:tcPr>
                  <w:tcW w:w="1163" w:type="dxa"/>
                  <w:noWrap w:val="0"/>
                  <w:vAlign w:val="center"/>
                </w:tcPr>
                <w:p w14:paraId="7ABFE838">
                  <w:pPr>
                    <w:widowControl/>
                    <w:spacing w:line="240" w:lineRule="auto"/>
                    <w:jc w:val="center"/>
                    <w:rPr>
                      <w:rFonts w:hint="eastAsia" w:ascii="Times New Roman"/>
                      <w:color w:val="auto"/>
                      <w:sz w:val="18"/>
                      <w:szCs w:val="18"/>
                      <w:lang w:val="en-US" w:eastAsia="zh-CN"/>
                    </w:rPr>
                  </w:pPr>
                  <w:r>
                    <w:rPr>
                      <w:rFonts w:hint="eastAsia" w:ascii="Times New Roman"/>
                      <w:color w:val="auto"/>
                      <w:sz w:val="18"/>
                      <w:szCs w:val="18"/>
                      <w:lang w:val="en-US" w:eastAsia="zh-CN"/>
                    </w:rPr>
                    <w:t>DA001</w:t>
                  </w:r>
                </w:p>
              </w:tc>
              <w:tc>
                <w:tcPr>
                  <w:tcW w:w="1163" w:type="dxa"/>
                  <w:noWrap w:val="0"/>
                  <w:vAlign w:val="center"/>
                </w:tcPr>
                <w:p w14:paraId="16AFDA84">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0.1</w:t>
                  </w:r>
                </w:p>
              </w:tc>
              <w:tc>
                <w:tcPr>
                  <w:tcW w:w="639" w:type="dxa"/>
                  <w:noWrap w:val="0"/>
                  <w:vAlign w:val="center"/>
                </w:tcPr>
                <w:p w14:paraId="72CD54E0">
                  <w:pPr>
                    <w:widowControl/>
                    <w:spacing w:line="240" w:lineRule="auto"/>
                    <w:jc w:val="center"/>
                    <w:rPr>
                      <w:rFonts w:hint="default" w:eastAsia="等线"/>
                      <w:b w:val="0"/>
                      <w:bCs w:val="0"/>
                      <w:kern w:val="0"/>
                      <w:sz w:val="18"/>
                      <w:szCs w:val="18"/>
                      <w:lang w:val="en-US" w:eastAsia="zh-CN"/>
                    </w:rPr>
                  </w:pPr>
                  <w:r>
                    <w:rPr>
                      <w:rFonts w:hint="eastAsia" w:eastAsia="等线"/>
                      <w:b w:val="0"/>
                      <w:bCs w:val="0"/>
                      <w:kern w:val="0"/>
                      <w:sz w:val="18"/>
                      <w:szCs w:val="18"/>
                      <w:lang w:val="en-US" w:eastAsia="zh-CN"/>
                    </w:rPr>
                    <w:t>0.1</w:t>
                  </w:r>
                </w:p>
              </w:tc>
              <w:tc>
                <w:tcPr>
                  <w:tcW w:w="901" w:type="dxa"/>
                  <w:noWrap w:val="0"/>
                  <w:vAlign w:val="center"/>
                </w:tcPr>
                <w:p w14:paraId="0FA14EFB">
                  <w:pPr>
                    <w:widowControl/>
                    <w:spacing w:line="240" w:lineRule="auto"/>
                    <w:jc w:val="center"/>
                    <w:rPr>
                      <w:rFonts w:hint="eastAsia" w:eastAsia="等线"/>
                      <w:b w:val="0"/>
                      <w:bCs w:val="0"/>
                      <w:sz w:val="18"/>
                      <w:szCs w:val="18"/>
                      <w:lang w:val="en-US" w:eastAsia="zh-CN"/>
                    </w:rPr>
                  </w:pPr>
                  <w:r>
                    <w:rPr>
                      <w:rFonts w:hint="eastAsia" w:eastAsia="等线"/>
                      <w:b w:val="0"/>
                      <w:bCs w:val="0"/>
                      <w:sz w:val="18"/>
                      <w:szCs w:val="18"/>
                      <w:lang w:val="en-US" w:eastAsia="zh-CN"/>
                    </w:rPr>
                    <w:t>1.5</w:t>
                  </w:r>
                </w:p>
              </w:tc>
              <w:tc>
                <w:tcPr>
                  <w:tcW w:w="903" w:type="dxa"/>
                  <w:noWrap w:val="0"/>
                  <w:vAlign w:val="center"/>
                </w:tcPr>
                <w:p w14:paraId="4BA9B06A">
                  <w:pPr>
                    <w:widowControl/>
                    <w:spacing w:line="240" w:lineRule="auto"/>
                    <w:jc w:val="center"/>
                    <w:rPr>
                      <w:rFonts w:hint="eastAsia" w:eastAsia="等线"/>
                      <w:b w:val="0"/>
                      <w:bCs w:val="0"/>
                      <w:sz w:val="18"/>
                      <w:szCs w:val="18"/>
                      <w:lang w:val="en-US" w:eastAsia="zh-CN"/>
                    </w:rPr>
                  </w:pPr>
                  <w:r>
                    <w:rPr>
                      <w:rFonts w:hint="eastAsia" w:eastAsia="等线"/>
                      <w:b w:val="0"/>
                      <w:bCs w:val="0"/>
                      <w:sz w:val="18"/>
                      <w:szCs w:val="18"/>
                      <w:lang w:val="en-US" w:eastAsia="zh-CN"/>
                    </w:rPr>
                    <w:t>0.22</w:t>
                  </w:r>
                </w:p>
              </w:tc>
              <w:tc>
                <w:tcPr>
                  <w:tcW w:w="722" w:type="dxa"/>
                  <w:noWrap w:val="0"/>
                  <w:vAlign w:val="center"/>
                </w:tcPr>
                <w:p w14:paraId="29DBCEA3">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1</w:t>
                  </w:r>
                </w:p>
              </w:tc>
              <w:tc>
                <w:tcPr>
                  <w:tcW w:w="973" w:type="dxa"/>
                  <w:noWrap w:val="0"/>
                  <w:vAlign w:val="center"/>
                </w:tcPr>
                <w:p w14:paraId="4A5076F4">
                  <w:pPr>
                    <w:widowControl/>
                    <w:spacing w:line="240" w:lineRule="auto"/>
                    <w:jc w:val="center"/>
                    <w:rPr>
                      <w:rFonts w:hint="eastAsia" w:eastAsia="等线"/>
                      <w:b w:val="0"/>
                      <w:bCs w:val="0"/>
                      <w:kern w:val="0"/>
                      <w:sz w:val="18"/>
                      <w:szCs w:val="18"/>
                      <w:lang w:val="en-US" w:eastAsia="zh-CN"/>
                    </w:rPr>
                  </w:pPr>
                  <w:r>
                    <w:rPr>
                      <w:rFonts w:hint="eastAsia" w:eastAsia="等线"/>
                      <w:b w:val="0"/>
                      <w:bCs w:val="0"/>
                      <w:sz w:val="18"/>
                      <w:szCs w:val="18"/>
                      <w:lang w:val="en-US" w:eastAsia="zh-CN"/>
                    </w:rPr>
                    <w:t>0.22</w:t>
                  </w:r>
                </w:p>
              </w:tc>
              <w:tc>
                <w:tcPr>
                  <w:tcW w:w="1012" w:type="dxa"/>
                  <w:noWrap w:val="0"/>
                  <w:vAlign w:val="center"/>
                </w:tcPr>
                <w:p w14:paraId="3A0EFD8A">
                  <w:pPr>
                    <w:widowControl/>
                    <w:spacing w:line="240" w:lineRule="auto"/>
                    <w:jc w:val="center"/>
                    <w:rPr>
                      <w:rFonts w:hint="eastAsia" w:eastAsia="等线"/>
                      <w:b w:val="0"/>
                      <w:bCs w:val="0"/>
                      <w:sz w:val="18"/>
                      <w:szCs w:val="18"/>
                      <w:lang w:val="en-US" w:eastAsia="zh-CN"/>
                    </w:rPr>
                  </w:pPr>
                  <w:r>
                    <w:rPr>
                      <w:rFonts w:hint="eastAsia" w:eastAsia="等线"/>
                      <w:b w:val="0"/>
                      <w:bCs w:val="0"/>
                      <w:sz w:val="18"/>
                      <w:szCs w:val="18"/>
                      <w:lang w:val="en-US" w:eastAsia="zh-CN"/>
                    </w:rPr>
                    <w:t>792</w:t>
                  </w:r>
                </w:p>
              </w:tc>
            </w:tr>
            <w:tr w14:paraId="1A859FE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24" w:hRule="atLeast"/>
                <w:jc w:val="center"/>
              </w:trPr>
              <w:tc>
                <w:tcPr>
                  <w:tcW w:w="897" w:type="dxa"/>
                  <w:noWrap w:val="0"/>
                  <w:vAlign w:val="center"/>
                </w:tcPr>
                <w:p w14:paraId="7EF3389D">
                  <w:pPr>
                    <w:widowControl/>
                    <w:spacing w:line="240" w:lineRule="auto"/>
                    <w:jc w:val="center"/>
                    <w:rPr>
                      <w:rFonts w:hint="default"/>
                      <w:b w:val="0"/>
                      <w:bCs w:val="0"/>
                      <w:kern w:val="0"/>
                      <w:sz w:val="18"/>
                      <w:szCs w:val="18"/>
                      <w:lang w:val="en-US" w:eastAsia="zh-CN"/>
                    </w:rPr>
                  </w:pPr>
                  <w:r>
                    <w:rPr>
                      <w:rFonts w:hint="eastAsia"/>
                      <w:b w:val="0"/>
                      <w:bCs w:val="0"/>
                      <w:kern w:val="0"/>
                      <w:sz w:val="18"/>
                      <w:szCs w:val="18"/>
                      <w:lang w:val="en-US" w:eastAsia="zh-CN"/>
                    </w:rPr>
                    <w:t>电固化炉</w:t>
                  </w:r>
                </w:p>
              </w:tc>
              <w:tc>
                <w:tcPr>
                  <w:tcW w:w="1163" w:type="dxa"/>
                  <w:noWrap w:val="0"/>
                  <w:vAlign w:val="center"/>
                </w:tcPr>
                <w:p w14:paraId="20490B7C">
                  <w:pPr>
                    <w:widowControl/>
                    <w:spacing w:line="240" w:lineRule="auto"/>
                    <w:jc w:val="center"/>
                    <w:rPr>
                      <w:rFonts w:hint="eastAsia" w:ascii="Times New Roman"/>
                      <w:color w:val="auto"/>
                      <w:sz w:val="18"/>
                      <w:szCs w:val="18"/>
                      <w:lang w:val="en-US" w:eastAsia="zh-CN"/>
                    </w:rPr>
                  </w:pPr>
                  <w:r>
                    <w:rPr>
                      <w:rFonts w:hint="eastAsia" w:ascii="Times New Roman"/>
                      <w:color w:val="auto"/>
                      <w:sz w:val="18"/>
                      <w:szCs w:val="18"/>
                      <w:lang w:val="en-US" w:eastAsia="zh-CN"/>
                    </w:rPr>
                    <w:t>DA001</w:t>
                  </w:r>
                </w:p>
              </w:tc>
              <w:tc>
                <w:tcPr>
                  <w:tcW w:w="1163" w:type="dxa"/>
                  <w:noWrap w:val="0"/>
                  <w:vAlign w:val="center"/>
                </w:tcPr>
                <w:p w14:paraId="3B635CB6">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0.1</w:t>
                  </w:r>
                </w:p>
              </w:tc>
              <w:tc>
                <w:tcPr>
                  <w:tcW w:w="639" w:type="dxa"/>
                  <w:noWrap w:val="0"/>
                  <w:vAlign w:val="center"/>
                </w:tcPr>
                <w:p w14:paraId="2110223F">
                  <w:pPr>
                    <w:widowControl/>
                    <w:spacing w:line="240" w:lineRule="auto"/>
                    <w:jc w:val="center"/>
                    <w:rPr>
                      <w:rFonts w:hint="default" w:eastAsia="等线"/>
                      <w:b w:val="0"/>
                      <w:bCs w:val="0"/>
                      <w:kern w:val="0"/>
                      <w:sz w:val="18"/>
                      <w:szCs w:val="18"/>
                      <w:lang w:val="en-US" w:eastAsia="zh-CN"/>
                    </w:rPr>
                  </w:pPr>
                  <w:r>
                    <w:rPr>
                      <w:rFonts w:hint="eastAsia" w:eastAsia="等线"/>
                      <w:b w:val="0"/>
                      <w:bCs w:val="0"/>
                      <w:kern w:val="0"/>
                      <w:sz w:val="18"/>
                      <w:szCs w:val="18"/>
                      <w:lang w:val="en-US" w:eastAsia="zh-CN"/>
                    </w:rPr>
                    <w:t>0.1</w:t>
                  </w:r>
                </w:p>
              </w:tc>
              <w:tc>
                <w:tcPr>
                  <w:tcW w:w="901" w:type="dxa"/>
                  <w:noWrap w:val="0"/>
                  <w:vAlign w:val="center"/>
                </w:tcPr>
                <w:p w14:paraId="443CD365">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1.5</w:t>
                  </w:r>
                </w:p>
              </w:tc>
              <w:tc>
                <w:tcPr>
                  <w:tcW w:w="903" w:type="dxa"/>
                  <w:noWrap w:val="0"/>
                  <w:vAlign w:val="center"/>
                </w:tcPr>
                <w:p w14:paraId="5299F156">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0.22</w:t>
                  </w:r>
                </w:p>
              </w:tc>
              <w:tc>
                <w:tcPr>
                  <w:tcW w:w="722" w:type="dxa"/>
                  <w:noWrap w:val="0"/>
                  <w:vAlign w:val="center"/>
                </w:tcPr>
                <w:p w14:paraId="4A2702D2">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1</w:t>
                  </w:r>
                </w:p>
              </w:tc>
              <w:tc>
                <w:tcPr>
                  <w:tcW w:w="973" w:type="dxa"/>
                  <w:noWrap w:val="0"/>
                  <w:vAlign w:val="center"/>
                </w:tcPr>
                <w:p w14:paraId="343E2145">
                  <w:pPr>
                    <w:widowControl/>
                    <w:spacing w:line="240" w:lineRule="auto"/>
                    <w:jc w:val="center"/>
                    <w:rPr>
                      <w:rFonts w:hint="default" w:eastAsia="等线"/>
                      <w:b w:val="0"/>
                      <w:bCs w:val="0"/>
                      <w:kern w:val="0"/>
                      <w:sz w:val="18"/>
                      <w:szCs w:val="18"/>
                      <w:lang w:val="en-US" w:eastAsia="zh-CN"/>
                    </w:rPr>
                  </w:pPr>
                  <w:r>
                    <w:rPr>
                      <w:rFonts w:hint="eastAsia" w:eastAsia="等线"/>
                      <w:b w:val="0"/>
                      <w:bCs w:val="0"/>
                      <w:sz w:val="18"/>
                      <w:szCs w:val="18"/>
                      <w:lang w:val="en-US" w:eastAsia="zh-CN"/>
                    </w:rPr>
                    <w:t>0.22</w:t>
                  </w:r>
                </w:p>
              </w:tc>
              <w:tc>
                <w:tcPr>
                  <w:tcW w:w="1012" w:type="dxa"/>
                  <w:noWrap w:val="0"/>
                  <w:vAlign w:val="center"/>
                </w:tcPr>
                <w:p w14:paraId="169854B7">
                  <w:pPr>
                    <w:widowControl/>
                    <w:spacing w:line="240" w:lineRule="auto"/>
                    <w:jc w:val="center"/>
                    <w:rPr>
                      <w:rFonts w:hint="default" w:eastAsia="等线"/>
                      <w:b w:val="0"/>
                      <w:bCs w:val="0"/>
                      <w:sz w:val="18"/>
                      <w:szCs w:val="18"/>
                      <w:lang w:val="en-US" w:eastAsia="zh-CN"/>
                    </w:rPr>
                  </w:pPr>
                  <w:r>
                    <w:rPr>
                      <w:rFonts w:hint="eastAsia" w:eastAsia="等线"/>
                      <w:b w:val="0"/>
                      <w:bCs w:val="0"/>
                      <w:sz w:val="18"/>
                      <w:szCs w:val="18"/>
                      <w:lang w:val="en-US" w:eastAsia="zh-CN"/>
                    </w:rPr>
                    <w:t>792</w:t>
                  </w:r>
                </w:p>
              </w:tc>
            </w:tr>
          </w:tbl>
          <w:p w14:paraId="1343330A">
            <w:pPr>
              <w:pStyle w:val="29"/>
              <w:spacing w:line="360" w:lineRule="auto"/>
              <w:ind w:firstLine="420" w:firstLineChars="200"/>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sz w:val="21"/>
                <w:szCs w:val="21"/>
                <w:lang w:val="en-US" w:eastAsia="zh-CN"/>
              </w:rPr>
              <w:t>喷漆房废气量计算：</w:t>
            </w:r>
            <w:r>
              <w:rPr>
                <w:rFonts w:hint="default" w:ascii="Times New Roman" w:hAnsi="Times New Roman" w:eastAsia="宋体" w:cs="Times New Roman"/>
                <w:color w:val="auto"/>
                <w:sz w:val="21"/>
                <w:szCs w:val="21"/>
                <w:highlight w:val="none"/>
                <w:lang w:val="en-US" w:eastAsia="zh-CN"/>
              </w:rPr>
              <w:t>本项目设置1间尺寸为</w:t>
            </w:r>
            <w:r>
              <w:rPr>
                <w:rFonts w:hint="eastAsia" w:ascii="Times New Roman" w:hAnsi="Times New Roman" w:eastAsia="宋体" w:cs="Times New Roman"/>
                <w:color w:val="auto"/>
                <w:sz w:val="21"/>
                <w:szCs w:val="21"/>
                <w:highlight w:val="none"/>
                <w:lang w:val="en-US" w:eastAsia="zh-CN"/>
              </w:rPr>
              <w:t>8</w:t>
            </w:r>
            <w:r>
              <w:rPr>
                <w:rFonts w:hint="default" w:ascii="Times New Roman" w:hAnsi="Times New Roman" w:eastAsia="宋体" w:cs="Times New Roman"/>
                <w:color w:val="auto"/>
                <w:sz w:val="21"/>
                <w:szCs w:val="21"/>
                <w:highlight w:val="none"/>
                <w:lang w:val="en-US" w:eastAsia="zh-CN"/>
              </w:rPr>
              <w:t>m*4m*</w:t>
            </w:r>
            <w:r>
              <w:rPr>
                <w:rFonts w:hint="eastAsia"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lang w:val="en-US" w:eastAsia="zh-CN"/>
              </w:rPr>
              <w:t>m的密闭喷漆房。喷漆房换气次数以40次/小时计，计算得喷漆房负压收集风量为</w:t>
            </w:r>
            <w:r>
              <w:rPr>
                <w:rFonts w:hint="eastAsia" w:ascii="Times New Roman" w:hAnsi="Times New Roman" w:eastAsia="宋体" w:cs="Times New Roman"/>
                <w:color w:val="auto"/>
                <w:sz w:val="21"/>
                <w:szCs w:val="21"/>
                <w:highlight w:val="none"/>
                <w:lang w:val="en-US" w:eastAsia="zh-CN"/>
              </w:rPr>
              <w:t>512</w:t>
            </w:r>
            <w:r>
              <w:rPr>
                <w:rFonts w:hint="default" w:ascii="Times New Roman" w:hAnsi="Times New Roman" w:eastAsia="宋体" w:cs="Times New Roman"/>
                <w:color w:val="auto"/>
                <w:sz w:val="21"/>
                <w:szCs w:val="21"/>
                <w:highlight w:val="none"/>
                <w:lang w:val="en-US" w:eastAsia="zh-CN"/>
              </w:rPr>
              <w:t>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r>
              <w:rPr>
                <w:rFonts w:hint="eastAsia" w:ascii="Times New Roman" w:hAnsi="Times New Roman" w:eastAsia="宋体" w:cs="Times New Roman"/>
                <w:color w:val="auto"/>
                <w:sz w:val="21"/>
                <w:szCs w:val="21"/>
                <w:highlight w:val="none"/>
                <w:lang w:val="en-US" w:eastAsia="zh-CN"/>
              </w:rPr>
              <w:t>（DA001）</w:t>
            </w:r>
            <w:r>
              <w:rPr>
                <w:rFonts w:hint="default" w:ascii="Times New Roman" w:hAnsi="Times New Roman" w:eastAsia="宋体" w:cs="Times New Roman"/>
                <w:color w:val="auto"/>
                <w:sz w:val="21"/>
                <w:szCs w:val="21"/>
                <w:highlight w:val="none"/>
                <w:lang w:val="en-US" w:eastAsia="zh-CN"/>
              </w:rPr>
              <w:t>。</w:t>
            </w:r>
          </w:p>
          <w:p w14:paraId="1EA79A00">
            <w:pPr>
              <w:pStyle w:val="29"/>
              <w:spacing w:line="360" w:lineRule="auto"/>
              <w:ind w:firstLine="420" w:firstLineChars="200"/>
              <w:rPr>
                <w:rFonts w:hint="default" w:ascii="Times New Roman" w:hAnsi="Times New Roman" w:eastAsia="宋体" w:cs="Times New Roman"/>
                <w:sz w:val="21"/>
                <w:szCs w:val="21"/>
                <w:lang w:val="en-US" w:eastAsia="zh-CN"/>
              </w:rPr>
            </w:pPr>
            <w:r>
              <w:rPr>
                <w:rFonts w:hint="default" w:ascii="Times New Roman" w:hAnsi="Times New Roman" w:eastAsia="宋体" w:cs="Times New Roman"/>
                <w:color w:val="auto"/>
                <w:sz w:val="21"/>
                <w:szCs w:val="21"/>
                <w:highlight w:val="none"/>
                <w:lang w:val="en-US" w:eastAsia="zh-CN"/>
              </w:rPr>
              <w:t>因此，活性炭吸附装置设计风机风量为30000m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/h，可满足总风量要求（29280m</w:t>
            </w:r>
            <w:r>
              <w:rPr>
                <w:rFonts w:hint="default" w:ascii="Times New Roman" w:hAnsi="Times New Roman" w:eastAsia="宋体" w:cs="Times New Roman"/>
                <w:color w:val="auto"/>
                <w:sz w:val="21"/>
                <w:szCs w:val="21"/>
                <w:highlight w:val="none"/>
                <w:vertAlign w:val="superscript"/>
                <w:lang w:val="en-US" w:eastAsia="zh-CN"/>
              </w:rPr>
              <w:t>3</w:t>
            </w:r>
            <w:r>
              <w:rPr>
                <w:rFonts w:hint="default" w:ascii="Times New Roman" w:hAnsi="Times New Roman" w:eastAsia="宋体" w:cs="Times New Roman"/>
                <w:color w:val="auto"/>
                <w:sz w:val="21"/>
                <w:szCs w:val="21"/>
                <w:highlight w:val="none"/>
                <w:lang w:val="en-US" w:eastAsia="zh-CN"/>
              </w:rPr>
              <w:t>/h）</w:t>
            </w:r>
          </w:p>
          <w:p w14:paraId="4F6284C8">
            <w:pPr>
              <w:pageBreakBefore w:val="0"/>
              <w:widowControl w:val="0"/>
              <w:kinsoku/>
              <w:wordWrap/>
              <w:overflowPunct/>
              <w:topLinePunct w:val="0"/>
              <w:bidi w:val="0"/>
              <w:adjustRightInd w:val="0"/>
              <w:snapToGrid w:val="0"/>
              <w:spacing w:line="360" w:lineRule="auto"/>
              <w:ind w:firstLine="420" w:firstLineChars="200"/>
              <w:textAlignment w:val="auto"/>
              <w:rPr>
                <w:rFonts w:hint="eastAsia" w:ascii="Times New Roman" w:hAnsi="Times New Roman" w:eastAsia="宋体" w:cs="Times New Roman"/>
                <w:color w:val="auto"/>
                <w:sz w:val="21"/>
                <w:szCs w:val="21"/>
                <w:lang w:val="en-US" w:eastAsia="zh-CN"/>
              </w:rPr>
            </w:pPr>
            <w:r>
              <w:rPr>
                <w:rFonts w:hint="eastAsia"/>
                <w:lang w:val="en-US" w:eastAsia="zh-CN"/>
              </w:rPr>
              <w:t>综上，DA001配套风机风量需达到19160</w:t>
            </w:r>
            <w:r>
              <w:t>m</w:t>
            </w:r>
            <w:r>
              <w:rPr>
                <w:vertAlign w:val="superscript"/>
              </w:rPr>
              <w:t>3</w:t>
            </w:r>
            <w:r>
              <w:t>/h</w:t>
            </w:r>
            <w:r>
              <w:rPr>
                <w:rFonts w:hint="eastAsia"/>
                <w:lang w:eastAsia="zh-CN"/>
              </w:rPr>
              <w:t>方可满足需求，</w:t>
            </w:r>
            <w:r>
              <w:rPr>
                <w:rFonts w:hint="eastAsia"/>
                <w:lang w:val="en-US" w:eastAsia="zh-CN"/>
              </w:rPr>
              <w:t>DA002配套风机风量需达到3645</w:t>
            </w:r>
            <w:r>
              <w:t>m</w:t>
            </w:r>
            <w:r>
              <w:rPr>
                <w:vertAlign w:val="superscript"/>
              </w:rPr>
              <w:t>3</w:t>
            </w:r>
            <w:r>
              <w:t>/h</w:t>
            </w:r>
            <w:r>
              <w:rPr>
                <w:rFonts w:hint="eastAsia"/>
                <w:lang w:eastAsia="zh-CN"/>
              </w:rPr>
              <w:t>方可满足需求。本项目</w:t>
            </w:r>
            <w:r>
              <w:rPr>
                <w:rFonts w:hint="eastAsia"/>
                <w:lang w:val="en-US" w:eastAsia="zh-CN"/>
              </w:rPr>
              <w:t>DA001排气筒设计</w:t>
            </w:r>
            <w:r>
              <w:t>配套风机风量</w:t>
            </w:r>
            <w:r>
              <w:rPr>
                <w:rFonts w:hint="eastAsia"/>
                <w:lang w:val="en-US" w:eastAsia="zh-CN"/>
              </w:rPr>
              <w:t>20</w:t>
            </w:r>
            <w:r>
              <w:rPr>
                <w:rFonts w:hint="eastAsia"/>
              </w:rPr>
              <w:t>000</w:t>
            </w:r>
            <w:r>
              <w:t>m</w:t>
            </w:r>
            <w:r>
              <w:rPr>
                <w:vertAlign w:val="superscript"/>
              </w:rPr>
              <w:t>3</w:t>
            </w:r>
            <w:r>
              <w:t>/h</w:t>
            </w:r>
            <w:r>
              <w:rPr>
                <w:rFonts w:hint="eastAsia"/>
                <w:lang w:eastAsia="zh-CN"/>
              </w:rPr>
              <w:t>，</w:t>
            </w:r>
            <w:r>
              <w:rPr>
                <w:rFonts w:hint="eastAsia"/>
                <w:lang w:val="en-US" w:eastAsia="zh-CN"/>
              </w:rPr>
              <w:t>DA002排气筒设计</w:t>
            </w:r>
            <w:r>
              <w:t>配套风机风量</w:t>
            </w:r>
            <w:r>
              <w:rPr>
                <w:rFonts w:hint="eastAsia"/>
                <w:lang w:val="en-US" w:eastAsia="zh-CN"/>
              </w:rPr>
              <w:t>6</w:t>
            </w:r>
            <w:r>
              <w:rPr>
                <w:rFonts w:hint="eastAsia"/>
              </w:rPr>
              <w:t>000</w:t>
            </w:r>
            <w:r>
              <w:t>m</w:t>
            </w:r>
            <w:r>
              <w:rPr>
                <w:vertAlign w:val="superscript"/>
              </w:rPr>
              <w:t>3</w:t>
            </w:r>
            <w:r>
              <w:t>/h</w:t>
            </w:r>
            <w:r>
              <w:rPr>
                <w:rFonts w:hint="eastAsia"/>
                <w:lang w:eastAsia="zh-CN"/>
              </w:rPr>
              <w:t>，</w:t>
            </w:r>
            <w:r>
              <w:rPr>
                <w:rFonts w:hint="eastAsia"/>
                <w:lang w:val="en-US" w:eastAsia="zh-CN"/>
              </w:rPr>
              <w:t>均</w:t>
            </w:r>
            <w:r>
              <w:rPr>
                <w:rFonts w:hint="eastAsia"/>
                <w:lang w:eastAsia="zh-CN"/>
              </w:rPr>
              <w:t>满足风量需求。</w:t>
            </w:r>
          </w:p>
          <w:p w14:paraId="6582EA78">
            <w:pPr>
              <w:spacing w:line="360" w:lineRule="auto"/>
              <w:ind w:firstLine="420" w:firstLineChars="200"/>
              <w:rPr>
                <w:b w:val="0"/>
                <w:bCs w:val="0"/>
                <w:szCs w:val="24"/>
              </w:rPr>
            </w:pPr>
            <w:bookmarkStart w:id="8" w:name="_Hlk112855637"/>
            <w:r>
              <w:rPr>
                <w:rFonts w:hint="eastAsia" w:cs="Times New Roman"/>
                <w:kern w:val="2"/>
                <w:sz w:val="21"/>
                <w:szCs w:val="21"/>
                <w:lang w:val="en-US" w:eastAsia="zh-CN" w:bidi="ar-SA"/>
              </w:rPr>
              <w:t>（2</w:t>
            </w:r>
            <w:r>
              <w:rPr>
                <w:rFonts w:hint="eastAsia" w:ascii="Times New Roman" w:hAnsi="Times New Roman" w:eastAsia="宋体" w:cs="Times New Roman"/>
                <w:kern w:val="2"/>
                <w:sz w:val="21"/>
                <w:szCs w:val="21"/>
                <w:lang w:val="en-US" w:eastAsia="zh-CN" w:bidi="ar-SA"/>
              </w:rPr>
              <w:t>）</w:t>
            </w:r>
            <w:r>
              <w:rPr>
                <w:sz w:val="21"/>
                <w:szCs w:val="21"/>
              </w:rPr>
              <w:t>治理措施可行性分析</w:t>
            </w:r>
            <w:r>
              <w:rPr>
                <w:rFonts w:hint="eastAsia"/>
                <w:sz w:val="21"/>
                <w:szCs w:val="21"/>
                <w:lang w:eastAsia="zh-CN"/>
              </w:rPr>
              <w:t>：</w:t>
            </w:r>
            <w:r>
              <w:rPr>
                <w:rFonts w:hint="eastAsia"/>
                <w:b w:val="0"/>
                <w:bCs w:val="0"/>
                <w:szCs w:val="24"/>
              </w:rPr>
              <w:t>根据《排污许可证申请与核发技术规范 铁路、船舶、航空航天和其他运输设备制造业》（H</w:t>
            </w:r>
            <w:r>
              <w:rPr>
                <w:b w:val="0"/>
                <w:bCs w:val="0"/>
                <w:szCs w:val="24"/>
              </w:rPr>
              <w:t>J1124</w:t>
            </w:r>
            <w:r>
              <w:rPr>
                <w:rFonts w:hint="eastAsia"/>
                <w:b w:val="0"/>
                <w:bCs w:val="0"/>
                <w:szCs w:val="24"/>
              </w:rPr>
              <w:t>-</w:t>
            </w:r>
            <w:r>
              <w:rPr>
                <w:b w:val="0"/>
                <w:bCs w:val="0"/>
                <w:szCs w:val="24"/>
              </w:rPr>
              <w:t>2020</w:t>
            </w:r>
            <w:r>
              <w:rPr>
                <w:rFonts w:hint="eastAsia"/>
                <w:b w:val="0"/>
                <w:bCs w:val="0"/>
                <w:szCs w:val="24"/>
              </w:rPr>
              <w:t>）中附录</w:t>
            </w:r>
            <w:r>
              <w:rPr>
                <w:rFonts w:hint="eastAsia"/>
                <w:b w:val="0"/>
                <w:bCs w:val="0"/>
                <w:szCs w:val="24"/>
                <w:lang w:val="en-US" w:eastAsia="zh-CN"/>
              </w:rPr>
              <w:t>表 A.6 “表面处理（涂装）排污单位废气污染防治推荐可行技术”及表 C.1 “铁路运输设备及轨道交通运输设备制造排污单位废气污染防治推荐可行技术”</w:t>
            </w:r>
            <w:r>
              <w:rPr>
                <w:rFonts w:hint="eastAsia"/>
                <w:b w:val="0"/>
                <w:bCs w:val="0"/>
                <w:szCs w:val="24"/>
              </w:rPr>
              <w:t>，本项目涉及的工序可行技术见表</w:t>
            </w:r>
            <w:r>
              <w:rPr>
                <w:rFonts w:hint="eastAsia"/>
                <w:b w:val="0"/>
                <w:bCs w:val="0"/>
                <w:szCs w:val="24"/>
                <w:lang w:val="en-US" w:eastAsia="zh-CN"/>
              </w:rPr>
              <w:t>4-13</w:t>
            </w:r>
            <w:r>
              <w:rPr>
                <w:rFonts w:hint="eastAsia"/>
                <w:b w:val="0"/>
                <w:bCs w:val="0"/>
                <w:szCs w:val="24"/>
              </w:rPr>
              <w:t>。</w:t>
            </w:r>
          </w:p>
          <w:p w14:paraId="22101997">
            <w:pPr>
              <w:ind w:firstLine="422" w:firstLineChars="200"/>
              <w:contextualSpacing/>
              <w:jc w:val="center"/>
              <w:rPr>
                <w:rFonts w:hint="default" w:ascii="Times New Roman" w:hAnsi="Times New Roman" w:eastAsia="宋体" w:cs="Times New Roman"/>
                <w:b/>
                <w:bCs/>
                <w:szCs w:val="24"/>
              </w:rPr>
            </w:pPr>
            <w:r>
              <w:rPr>
                <w:rFonts w:hint="default" w:ascii="Times New Roman" w:hAnsi="Times New Roman" w:eastAsia="宋体" w:cs="Times New Roman"/>
                <w:b/>
                <w:bCs/>
                <w:szCs w:val="24"/>
              </w:rPr>
              <w:t>表</w:t>
            </w:r>
            <w:r>
              <w:rPr>
                <w:rFonts w:hint="default" w:ascii="Times New Roman" w:hAnsi="Times New Roman" w:eastAsia="宋体" w:cs="Times New Roman"/>
                <w:b/>
                <w:bCs/>
                <w:szCs w:val="24"/>
                <w:lang w:val="en-US" w:eastAsia="zh-CN"/>
              </w:rPr>
              <w:t>4-13</w:t>
            </w:r>
            <w:r>
              <w:rPr>
                <w:rFonts w:hint="default" w:ascii="Times New Roman" w:hAnsi="Times New Roman" w:eastAsia="宋体" w:cs="Times New Roman"/>
                <w:b/>
                <w:bCs/>
                <w:szCs w:val="24"/>
              </w:rPr>
              <w:t xml:space="preserve"> 本项目主要污染物排放情况表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933"/>
              <w:gridCol w:w="1692"/>
              <w:gridCol w:w="1220"/>
              <w:gridCol w:w="2274"/>
              <w:gridCol w:w="1197"/>
              <w:gridCol w:w="1052"/>
            </w:tblGrid>
            <w:tr w14:paraId="70CEFA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33" w:type="dxa"/>
                  <w:noWrap w:val="0"/>
                  <w:vAlign w:val="center"/>
                </w:tcPr>
                <w:p w14:paraId="21E53116">
                  <w:pPr>
                    <w:spacing w:line="300" w:lineRule="exact"/>
                    <w:jc w:val="center"/>
                    <w:rPr>
                      <w:rFonts w:hint="eastAsia"/>
                      <w:b w:val="0"/>
                      <w:bCs w:val="0"/>
                      <w:sz w:val="18"/>
                      <w:szCs w:val="18"/>
                    </w:rPr>
                  </w:pPr>
                  <w:r>
                    <w:rPr>
                      <w:rFonts w:hint="eastAsia"/>
                      <w:b w:val="0"/>
                      <w:bCs w:val="0"/>
                      <w:sz w:val="18"/>
                      <w:szCs w:val="18"/>
                    </w:rPr>
                    <w:t>生产单元</w:t>
                  </w:r>
                </w:p>
              </w:tc>
              <w:tc>
                <w:tcPr>
                  <w:tcW w:w="1692" w:type="dxa"/>
                  <w:noWrap w:val="0"/>
                  <w:vAlign w:val="center"/>
                </w:tcPr>
                <w:p w14:paraId="4FE7AFE6">
                  <w:pPr>
                    <w:spacing w:line="300" w:lineRule="exact"/>
                    <w:jc w:val="center"/>
                    <w:rPr>
                      <w:rFonts w:hint="eastAsia"/>
                      <w:b w:val="0"/>
                      <w:bCs w:val="0"/>
                      <w:sz w:val="18"/>
                      <w:szCs w:val="18"/>
                    </w:rPr>
                  </w:pPr>
                  <w:r>
                    <w:rPr>
                      <w:rFonts w:hint="eastAsia"/>
                      <w:b w:val="0"/>
                      <w:bCs w:val="0"/>
                      <w:sz w:val="18"/>
                      <w:szCs w:val="18"/>
                    </w:rPr>
                    <w:t>主要生产设施名称</w:t>
                  </w:r>
                </w:p>
              </w:tc>
              <w:tc>
                <w:tcPr>
                  <w:tcW w:w="1220" w:type="dxa"/>
                  <w:noWrap w:val="0"/>
                  <w:vAlign w:val="center"/>
                </w:tcPr>
                <w:p w14:paraId="1796B485">
                  <w:pPr>
                    <w:spacing w:line="300" w:lineRule="exact"/>
                    <w:jc w:val="center"/>
                    <w:rPr>
                      <w:rFonts w:hint="eastAsia"/>
                      <w:b w:val="0"/>
                      <w:bCs w:val="0"/>
                      <w:sz w:val="18"/>
                      <w:szCs w:val="18"/>
                    </w:rPr>
                  </w:pPr>
                  <w:r>
                    <w:rPr>
                      <w:rFonts w:hint="eastAsia"/>
                      <w:b w:val="0"/>
                      <w:bCs w:val="0"/>
                      <w:sz w:val="18"/>
                      <w:szCs w:val="18"/>
                    </w:rPr>
                    <w:t>大气污染物</w:t>
                  </w:r>
                </w:p>
              </w:tc>
              <w:tc>
                <w:tcPr>
                  <w:tcW w:w="2274" w:type="dxa"/>
                  <w:noWrap w:val="0"/>
                  <w:vAlign w:val="center"/>
                </w:tcPr>
                <w:p w14:paraId="7FA0143C">
                  <w:pPr>
                    <w:spacing w:line="300" w:lineRule="exact"/>
                    <w:jc w:val="center"/>
                    <w:rPr>
                      <w:rFonts w:hint="eastAsia"/>
                      <w:b w:val="0"/>
                      <w:bCs w:val="0"/>
                      <w:sz w:val="18"/>
                      <w:szCs w:val="18"/>
                    </w:rPr>
                  </w:pPr>
                  <w:r>
                    <w:rPr>
                      <w:rFonts w:hint="eastAsia"/>
                      <w:b w:val="0"/>
                      <w:bCs w:val="0"/>
                      <w:sz w:val="18"/>
                      <w:szCs w:val="18"/>
                    </w:rPr>
                    <w:t>推荐可行技术</w:t>
                  </w:r>
                </w:p>
              </w:tc>
              <w:tc>
                <w:tcPr>
                  <w:tcW w:w="1197" w:type="dxa"/>
                  <w:noWrap w:val="0"/>
                  <w:vAlign w:val="center"/>
                </w:tcPr>
                <w:p w14:paraId="68A9571E">
                  <w:pPr>
                    <w:spacing w:line="300" w:lineRule="exact"/>
                    <w:jc w:val="center"/>
                    <w:rPr>
                      <w:b w:val="0"/>
                      <w:bCs w:val="0"/>
                      <w:sz w:val="18"/>
                      <w:szCs w:val="18"/>
                    </w:rPr>
                  </w:pPr>
                  <w:r>
                    <w:rPr>
                      <w:rFonts w:hint="eastAsia"/>
                      <w:b w:val="0"/>
                      <w:bCs w:val="0"/>
                      <w:sz w:val="18"/>
                      <w:szCs w:val="18"/>
                    </w:rPr>
                    <w:t>本项目采取</w:t>
                  </w:r>
                </w:p>
                <w:p w14:paraId="7B3CEB7F">
                  <w:pPr>
                    <w:spacing w:line="300" w:lineRule="exact"/>
                    <w:jc w:val="center"/>
                    <w:rPr>
                      <w:rFonts w:hint="eastAsia"/>
                      <w:b w:val="0"/>
                      <w:bCs w:val="0"/>
                      <w:sz w:val="18"/>
                      <w:szCs w:val="18"/>
                    </w:rPr>
                  </w:pPr>
                  <w:r>
                    <w:rPr>
                      <w:rFonts w:hint="eastAsia"/>
                      <w:b w:val="0"/>
                      <w:bCs w:val="0"/>
                      <w:sz w:val="18"/>
                      <w:szCs w:val="18"/>
                    </w:rPr>
                    <w:t>措施</w:t>
                  </w:r>
                </w:p>
              </w:tc>
              <w:tc>
                <w:tcPr>
                  <w:tcW w:w="1052" w:type="dxa"/>
                  <w:noWrap w:val="0"/>
                  <w:vAlign w:val="center"/>
                </w:tcPr>
                <w:p w14:paraId="5A25C2BA">
                  <w:pPr>
                    <w:spacing w:line="300" w:lineRule="exact"/>
                    <w:jc w:val="center"/>
                    <w:rPr>
                      <w:rFonts w:hint="eastAsia"/>
                      <w:b w:val="0"/>
                      <w:bCs w:val="0"/>
                      <w:sz w:val="18"/>
                      <w:szCs w:val="18"/>
                    </w:rPr>
                  </w:pPr>
                  <w:r>
                    <w:rPr>
                      <w:rFonts w:hint="eastAsia"/>
                      <w:b w:val="0"/>
                      <w:bCs w:val="0"/>
                      <w:sz w:val="18"/>
                      <w:szCs w:val="18"/>
                    </w:rPr>
                    <w:t>是否为可行技术</w:t>
                  </w:r>
                </w:p>
              </w:tc>
            </w:tr>
            <w:tr w14:paraId="16A1EB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33" w:type="dxa"/>
                  <w:vMerge w:val="restart"/>
                  <w:noWrap w:val="0"/>
                  <w:vAlign w:val="center"/>
                </w:tcPr>
                <w:p w14:paraId="667C964F">
                  <w:pPr>
                    <w:spacing w:line="300" w:lineRule="exact"/>
                    <w:jc w:val="center"/>
                    <w:rPr>
                      <w:rFonts w:hint="eastAsia"/>
                      <w:b w:val="0"/>
                      <w:bCs w:val="0"/>
                      <w:sz w:val="18"/>
                      <w:szCs w:val="18"/>
                    </w:rPr>
                  </w:pPr>
                  <w:r>
                    <w:rPr>
                      <w:rFonts w:hint="eastAsia"/>
                      <w:b w:val="0"/>
                      <w:bCs w:val="0"/>
                      <w:sz w:val="18"/>
                      <w:szCs w:val="18"/>
                    </w:rPr>
                    <w:t>涂装</w:t>
                  </w:r>
                </w:p>
              </w:tc>
              <w:tc>
                <w:tcPr>
                  <w:tcW w:w="1692" w:type="dxa"/>
                  <w:vMerge w:val="restart"/>
                  <w:noWrap w:val="0"/>
                  <w:vAlign w:val="center"/>
                </w:tcPr>
                <w:p w14:paraId="70D73036">
                  <w:pPr>
                    <w:spacing w:line="300" w:lineRule="exact"/>
                    <w:jc w:val="center"/>
                    <w:rPr>
                      <w:rFonts w:hint="eastAsia"/>
                      <w:b w:val="0"/>
                      <w:bCs w:val="0"/>
                      <w:sz w:val="18"/>
                      <w:szCs w:val="18"/>
                    </w:rPr>
                  </w:pPr>
                  <w:r>
                    <w:rPr>
                      <w:rFonts w:hint="eastAsia"/>
                      <w:b w:val="0"/>
                      <w:bCs w:val="0"/>
                      <w:sz w:val="18"/>
                      <w:szCs w:val="18"/>
                    </w:rPr>
                    <w:t>喷漆室（作业区）</w:t>
                  </w:r>
                </w:p>
              </w:tc>
              <w:tc>
                <w:tcPr>
                  <w:tcW w:w="1220" w:type="dxa"/>
                  <w:noWrap w:val="0"/>
                  <w:vAlign w:val="center"/>
                </w:tcPr>
                <w:p w14:paraId="3A48C279">
                  <w:pPr>
                    <w:spacing w:line="300" w:lineRule="exact"/>
                    <w:jc w:val="center"/>
                    <w:rPr>
                      <w:rFonts w:hint="eastAsia"/>
                      <w:b w:val="0"/>
                      <w:bCs w:val="0"/>
                      <w:sz w:val="18"/>
                      <w:szCs w:val="18"/>
                    </w:rPr>
                  </w:pPr>
                  <w:r>
                    <w:rPr>
                      <w:rFonts w:hint="eastAsia"/>
                      <w:b w:val="0"/>
                      <w:bCs w:val="0"/>
                      <w:sz w:val="18"/>
                      <w:szCs w:val="18"/>
                    </w:rPr>
                    <w:t xml:space="preserve">颗粒物（漆雾） </w:t>
                  </w:r>
                </w:p>
              </w:tc>
              <w:tc>
                <w:tcPr>
                  <w:tcW w:w="2274" w:type="dxa"/>
                  <w:noWrap w:val="0"/>
                  <w:vAlign w:val="center"/>
                </w:tcPr>
                <w:p w14:paraId="18728CA8">
                  <w:pPr>
                    <w:spacing w:line="300" w:lineRule="exact"/>
                    <w:jc w:val="center"/>
                    <w:rPr>
                      <w:rFonts w:hint="eastAsia"/>
                      <w:b w:val="0"/>
                      <w:bCs w:val="0"/>
                      <w:sz w:val="18"/>
                      <w:szCs w:val="18"/>
                    </w:rPr>
                  </w:pPr>
                  <w:r>
                    <w:rPr>
                      <w:rFonts w:hint="eastAsia"/>
                      <w:b w:val="0"/>
                      <w:bCs w:val="0"/>
                      <w:sz w:val="18"/>
                      <w:szCs w:val="18"/>
                    </w:rPr>
                    <w:t>文丘里/水旋/水帘、石灰粉吸附、纸盒过滤、化学纤维过滤</w:t>
                  </w:r>
                </w:p>
              </w:tc>
              <w:tc>
                <w:tcPr>
                  <w:tcW w:w="1197" w:type="dxa"/>
                  <w:noWrap w:val="0"/>
                  <w:vAlign w:val="center"/>
                </w:tcPr>
                <w:p w14:paraId="306FE47C">
                  <w:pPr>
                    <w:spacing w:line="300" w:lineRule="exact"/>
                    <w:jc w:val="center"/>
                    <w:rPr>
                      <w:rFonts w:hint="eastAsia" w:eastAsia="宋体"/>
                      <w:b w:val="0"/>
                      <w:bCs w:val="0"/>
                      <w:sz w:val="18"/>
                      <w:szCs w:val="18"/>
                      <w:lang w:eastAsia="zh-CN"/>
                    </w:rPr>
                  </w:pPr>
                  <w:r>
                    <w:rPr>
                      <w:rFonts w:hint="eastAsia"/>
                      <w:b w:val="0"/>
                      <w:bCs w:val="0"/>
                      <w:sz w:val="18"/>
                      <w:szCs w:val="18"/>
                      <w:lang w:eastAsia="zh-CN"/>
                    </w:rPr>
                    <w:t>迷宫式过滤箱（纸盒吸附过滤）</w:t>
                  </w:r>
                </w:p>
              </w:tc>
              <w:tc>
                <w:tcPr>
                  <w:tcW w:w="1052" w:type="dxa"/>
                  <w:noWrap w:val="0"/>
                  <w:vAlign w:val="center"/>
                </w:tcPr>
                <w:p w14:paraId="6896CBBD">
                  <w:pPr>
                    <w:spacing w:line="300" w:lineRule="exact"/>
                    <w:jc w:val="center"/>
                    <w:rPr>
                      <w:rFonts w:hint="eastAsia"/>
                      <w:b w:val="0"/>
                      <w:bCs w:val="0"/>
                      <w:sz w:val="18"/>
                      <w:szCs w:val="18"/>
                    </w:rPr>
                  </w:pPr>
                  <w:r>
                    <w:rPr>
                      <w:rFonts w:hint="eastAsia"/>
                      <w:b w:val="0"/>
                      <w:bCs w:val="0"/>
                      <w:sz w:val="18"/>
                      <w:szCs w:val="18"/>
                    </w:rPr>
                    <w:t>是</w:t>
                  </w:r>
                </w:p>
              </w:tc>
            </w:tr>
            <w:tr w14:paraId="55B3A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33" w:type="dxa"/>
                  <w:vMerge w:val="continue"/>
                  <w:noWrap w:val="0"/>
                  <w:vAlign w:val="center"/>
                </w:tcPr>
                <w:p w14:paraId="1508BF7D">
                  <w:pPr>
                    <w:spacing w:line="300" w:lineRule="exact"/>
                    <w:jc w:val="center"/>
                    <w:rPr>
                      <w:rFonts w:hint="eastAsia"/>
                      <w:b w:val="0"/>
                      <w:bCs w:val="0"/>
                      <w:sz w:val="18"/>
                      <w:szCs w:val="18"/>
                    </w:rPr>
                  </w:pPr>
                </w:p>
              </w:tc>
              <w:tc>
                <w:tcPr>
                  <w:tcW w:w="1692" w:type="dxa"/>
                  <w:vMerge w:val="continue"/>
                  <w:noWrap w:val="0"/>
                  <w:vAlign w:val="center"/>
                </w:tcPr>
                <w:p w14:paraId="74EA8F3F">
                  <w:pPr>
                    <w:spacing w:line="300" w:lineRule="exact"/>
                    <w:jc w:val="center"/>
                    <w:rPr>
                      <w:rFonts w:hint="eastAsia"/>
                      <w:b w:val="0"/>
                      <w:bCs w:val="0"/>
                      <w:sz w:val="18"/>
                      <w:szCs w:val="18"/>
                    </w:rPr>
                  </w:pPr>
                </w:p>
              </w:tc>
              <w:tc>
                <w:tcPr>
                  <w:tcW w:w="1220" w:type="dxa"/>
                  <w:noWrap w:val="0"/>
                  <w:vAlign w:val="center"/>
                </w:tcPr>
                <w:p w14:paraId="186EC4E5">
                  <w:pPr>
                    <w:spacing w:line="300" w:lineRule="exact"/>
                    <w:jc w:val="center"/>
                    <w:rPr>
                      <w:rFonts w:hint="eastAsia"/>
                      <w:b w:val="0"/>
                      <w:bCs w:val="0"/>
                      <w:sz w:val="18"/>
                      <w:szCs w:val="18"/>
                    </w:rPr>
                  </w:pPr>
                  <w:r>
                    <w:rPr>
                      <w:rFonts w:hint="eastAsia"/>
                      <w:b w:val="0"/>
                      <w:bCs w:val="0"/>
                      <w:sz w:val="18"/>
                      <w:szCs w:val="18"/>
                    </w:rPr>
                    <w:t>苯、甲苯、二甲苯、挥发性有机物、特征污染物</w:t>
                  </w:r>
                </w:p>
              </w:tc>
              <w:tc>
                <w:tcPr>
                  <w:tcW w:w="2274" w:type="dxa"/>
                  <w:noWrap w:val="0"/>
                  <w:vAlign w:val="center"/>
                </w:tcPr>
                <w:p w14:paraId="76B9ED47">
                  <w:pPr>
                    <w:spacing w:line="300" w:lineRule="exact"/>
                    <w:jc w:val="center"/>
                    <w:rPr>
                      <w:rFonts w:hint="eastAsia"/>
                      <w:b w:val="0"/>
                      <w:bCs w:val="0"/>
                      <w:sz w:val="18"/>
                      <w:szCs w:val="18"/>
                    </w:rPr>
                  </w:pPr>
                  <w:r>
                    <w:rPr>
                      <w:rFonts w:hint="eastAsia"/>
                      <w:b w:val="0"/>
                      <w:bCs w:val="0"/>
                      <w:sz w:val="18"/>
                      <w:szCs w:val="18"/>
                    </w:rPr>
                    <w:t>吸附/浓缩+热力燃烧/催化氧化、吸附+冷凝回收</w:t>
                  </w:r>
                </w:p>
              </w:tc>
              <w:tc>
                <w:tcPr>
                  <w:tcW w:w="1197" w:type="dxa"/>
                  <w:noWrap w:val="0"/>
                  <w:vAlign w:val="center"/>
                </w:tcPr>
                <w:p w14:paraId="286081E8">
                  <w:pPr>
                    <w:spacing w:line="300" w:lineRule="exact"/>
                    <w:jc w:val="center"/>
                    <w:rPr>
                      <w:rFonts w:hint="default" w:eastAsia="宋体"/>
                      <w:b w:val="0"/>
                      <w:bCs w:val="0"/>
                      <w:sz w:val="18"/>
                      <w:szCs w:val="18"/>
                      <w:lang w:val="en-US" w:eastAsia="zh-CN"/>
                    </w:rPr>
                  </w:pPr>
                  <w:r>
                    <w:rPr>
                      <w:rFonts w:hint="eastAsia"/>
                      <w:b w:val="0"/>
                      <w:bCs w:val="0"/>
                      <w:sz w:val="18"/>
                      <w:szCs w:val="18"/>
                      <w:lang w:eastAsia="zh-CN"/>
                    </w:rPr>
                    <w:t>两级活性炭吸附</w:t>
                  </w:r>
                </w:p>
              </w:tc>
              <w:tc>
                <w:tcPr>
                  <w:tcW w:w="1052" w:type="dxa"/>
                  <w:noWrap w:val="0"/>
                  <w:vAlign w:val="center"/>
                </w:tcPr>
                <w:p w14:paraId="55D67E06">
                  <w:pPr>
                    <w:spacing w:line="300" w:lineRule="exact"/>
                    <w:jc w:val="center"/>
                    <w:rPr>
                      <w:rFonts w:hint="eastAsia" w:eastAsia="宋体"/>
                      <w:b w:val="0"/>
                      <w:bCs w:val="0"/>
                      <w:sz w:val="18"/>
                      <w:szCs w:val="18"/>
                      <w:lang w:eastAsia="zh-CN"/>
                    </w:rPr>
                  </w:pPr>
                  <w:r>
                    <w:rPr>
                      <w:rFonts w:hint="eastAsia"/>
                      <w:b w:val="0"/>
                      <w:bCs w:val="0"/>
                      <w:sz w:val="18"/>
                      <w:szCs w:val="18"/>
                      <w:lang w:eastAsia="zh-CN"/>
                    </w:rPr>
                    <w:t>否</w:t>
                  </w:r>
                </w:p>
              </w:tc>
            </w:tr>
            <w:tr w14:paraId="341A8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33" w:type="dxa"/>
                  <w:vMerge w:val="continue"/>
                  <w:noWrap w:val="0"/>
                  <w:vAlign w:val="center"/>
                </w:tcPr>
                <w:p w14:paraId="2F6DD70C">
                  <w:pPr>
                    <w:spacing w:line="300" w:lineRule="exact"/>
                    <w:jc w:val="center"/>
                    <w:rPr>
                      <w:rFonts w:hint="eastAsia"/>
                      <w:b w:val="0"/>
                      <w:bCs w:val="0"/>
                      <w:sz w:val="18"/>
                      <w:szCs w:val="18"/>
                    </w:rPr>
                  </w:pPr>
                </w:p>
              </w:tc>
              <w:tc>
                <w:tcPr>
                  <w:tcW w:w="1692" w:type="dxa"/>
                  <w:noWrap w:val="0"/>
                  <w:vAlign w:val="center"/>
                </w:tcPr>
                <w:p w14:paraId="5877A174">
                  <w:pPr>
                    <w:keepNext w:val="0"/>
                    <w:keepLines w:val="0"/>
                    <w:widowControl/>
                    <w:suppressLineNumbers w:val="0"/>
                    <w:jc w:val="center"/>
                    <w:rPr>
                      <w:rFonts w:hint="eastAsia"/>
                      <w:b w:val="0"/>
                      <w:bCs w:val="0"/>
                      <w:sz w:val="18"/>
                      <w:szCs w:val="18"/>
                    </w:rPr>
                  </w:pPr>
                  <w:r>
                    <w:rPr>
                      <w:rFonts w:hint="eastAsia" w:ascii="宋体" w:hAnsi="宋体" w:eastAsia="宋体" w:cs="宋体"/>
                      <w:color w:val="000000"/>
                      <w:kern w:val="0"/>
                      <w:sz w:val="18"/>
                      <w:szCs w:val="18"/>
                      <w:lang w:val="en-US" w:eastAsia="zh-CN" w:bidi="ar"/>
                    </w:rPr>
                    <w:t>粉末喷涂室</w:t>
                  </w:r>
                </w:p>
              </w:tc>
              <w:tc>
                <w:tcPr>
                  <w:tcW w:w="1220" w:type="dxa"/>
                  <w:noWrap w:val="0"/>
                  <w:vAlign w:val="center"/>
                </w:tcPr>
                <w:p w14:paraId="2D7A48F7">
                  <w:pPr>
                    <w:spacing w:line="300" w:lineRule="exact"/>
                    <w:jc w:val="center"/>
                    <w:rPr>
                      <w:rFonts w:hint="eastAsia"/>
                      <w:b w:val="0"/>
                      <w:bCs w:val="0"/>
                      <w:sz w:val="18"/>
                      <w:szCs w:val="18"/>
                    </w:rPr>
                  </w:pPr>
                  <w:r>
                    <w:rPr>
                      <w:rFonts w:hint="eastAsia"/>
                      <w:b w:val="0"/>
                      <w:bCs w:val="0"/>
                      <w:sz w:val="18"/>
                      <w:szCs w:val="18"/>
                      <w:lang w:eastAsia="zh-CN"/>
                    </w:rPr>
                    <w:t>颗粒物</w:t>
                  </w:r>
                </w:p>
              </w:tc>
              <w:tc>
                <w:tcPr>
                  <w:tcW w:w="2274" w:type="dxa"/>
                  <w:noWrap w:val="0"/>
                  <w:vAlign w:val="center"/>
                </w:tcPr>
                <w:p w14:paraId="3D93DBC4">
                  <w:pPr>
                    <w:spacing w:line="300" w:lineRule="exact"/>
                    <w:jc w:val="center"/>
                    <w:rPr>
                      <w:rFonts w:hint="eastAsia"/>
                      <w:b w:val="0"/>
                      <w:bCs w:val="0"/>
                      <w:sz w:val="18"/>
                      <w:szCs w:val="18"/>
                    </w:rPr>
                  </w:pPr>
                  <w:r>
                    <w:rPr>
                      <w:rFonts w:hint="eastAsia"/>
                      <w:b w:val="0"/>
                      <w:bCs w:val="0"/>
                      <w:sz w:val="18"/>
                      <w:szCs w:val="18"/>
                      <w:lang w:eastAsia="zh-CN"/>
                    </w:rPr>
                    <w:t>袋式除尘</w:t>
                  </w:r>
                </w:p>
              </w:tc>
              <w:tc>
                <w:tcPr>
                  <w:tcW w:w="1197" w:type="dxa"/>
                  <w:noWrap w:val="0"/>
                  <w:vAlign w:val="center"/>
                </w:tcPr>
                <w:p w14:paraId="17835CA8">
                  <w:pPr>
                    <w:spacing w:line="300" w:lineRule="exact"/>
                    <w:jc w:val="center"/>
                    <w:rPr>
                      <w:rFonts w:hint="eastAsia"/>
                      <w:b w:val="0"/>
                      <w:bCs w:val="0"/>
                      <w:sz w:val="18"/>
                      <w:szCs w:val="18"/>
                      <w:lang w:eastAsia="zh-CN"/>
                    </w:rPr>
                  </w:pPr>
                  <w:r>
                    <w:rPr>
                      <w:rFonts w:hint="eastAsia"/>
                      <w:b w:val="0"/>
                      <w:bCs w:val="0"/>
                      <w:sz w:val="18"/>
                      <w:szCs w:val="18"/>
                      <w:lang w:val="en-US" w:eastAsia="zh-CN"/>
                    </w:rPr>
                    <w:t>滤筒</w:t>
                  </w:r>
                  <w:r>
                    <w:rPr>
                      <w:rFonts w:hint="eastAsia"/>
                      <w:b w:val="0"/>
                      <w:bCs w:val="0"/>
                      <w:sz w:val="18"/>
                      <w:szCs w:val="18"/>
                      <w:lang w:eastAsia="zh-CN"/>
                    </w:rPr>
                    <w:t>除尘</w:t>
                  </w:r>
                </w:p>
              </w:tc>
              <w:tc>
                <w:tcPr>
                  <w:tcW w:w="1052" w:type="dxa"/>
                  <w:noWrap w:val="0"/>
                  <w:vAlign w:val="center"/>
                </w:tcPr>
                <w:p w14:paraId="534C02DF">
                  <w:pPr>
                    <w:spacing w:line="300" w:lineRule="exact"/>
                    <w:jc w:val="center"/>
                    <w:rPr>
                      <w:rFonts w:hint="eastAsia"/>
                      <w:b w:val="0"/>
                      <w:bCs w:val="0"/>
                      <w:sz w:val="18"/>
                      <w:szCs w:val="18"/>
                      <w:lang w:eastAsia="zh-CN"/>
                    </w:rPr>
                  </w:pPr>
                  <w:r>
                    <w:rPr>
                      <w:rFonts w:hint="eastAsia"/>
                      <w:b w:val="0"/>
                      <w:bCs w:val="0"/>
                      <w:sz w:val="18"/>
                      <w:szCs w:val="18"/>
                      <w:lang w:val="en-US" w:eastAsia="zh-CN"/>
                    </w:rPr>
                    <w:t>否</w:t>
                  </w:r>
                </w:p>
              </w:tc>
            </w:tr>
            <w:tr w14:paraId="3CA83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933" w:type="dxa"/>
                  <w:vMerge w:val="continue"/>
                  <w:noWrap w:val="0"/>
                  <w:vAlign w:val="center"/>
                </w:tcPr>
                <w:p w14:paraId="5E96618C">
                  <w:pPr>
                    <w:spacing w:line="300" w:lineRule="exact"/>
                    <w:jc w:val="center"/>
                    <w:rPr>
                      <w:rFonts w:hint="eastAsia"/>
                      <w:b w:val="0"/>
                      <w:bCs w:val="0"/>
                      <w:sz w:val="18"/>
                      <w:szCs w:val="18"/>
                    </w:rPr>
                  </w:pPr>
                </w:p>
              </w:tc>
              <w:tc>
                <w:tcPr>
                  <w:tcW w:w="1692" w:type="dxa"/>
                  <w:noWrap w:val="0"/>
                  <w:vAlign w:val="center"/>
                </w:tcPr>
                <w:p w14:paraId="2DC66932">
                  <w:pPr>
                    <w:spacing w:line="300" w:lineRule="exact"/>
                    <w:jc w:val="center"/>
                    <w:rPr>
                      <w:rFonts w:hint="eastAsia"/>
                      <w:b w:val="0"/>
                      <w:bCs w:val="0"/>
                      <w:sz w:val="18"/>
                      <w:szCs w:val="18"/>
                    </w:rPr>
                  </w:pPr>
                  <w:r>
                    <w:rPr>
                      <w:rFonts w:hint="eastAsia"/>
                      <w:b w:val="0"/>
                      <w:bCs w:val="0"/>
                      <w:sz w:val="18"/>
                      <w:szCs w:val="18"/>
                    </w:rPr>
                    <w:t xml:space="preserve">晾干室 </w:t>
                  </w:r>
                </w:p>
              </w:tc>
              <w:tc>
                <w:tcPr>
                  <w:tcW w:w="1220" w:type="dxa"/>
                  <w:noWrap w:val="0"/>
                  <w:vAlign w:val="center"/>
                </w:tcPr>
                <w:p w14:paraId="3CFBF0B0">
                  <w:pPr>
                    <w:spacing w:line="300" w:lineRule="exact"/>
                    <w:jc w:val="center"/>
                    <w:rPr>
                      <w:rFonts w:hint="eastAsia"/>
                      <w:b w:val="0"/>
                      <w:bCs w:val="0"/>
                      <w:sz w:val="18"/>
                      <w:szCs w:val="18"/>
                    </w:rPr>
                  </w:pPr>
                  <w:r>
                    <w:rPr>
                      <w:rFonts w:hint="eastAsia"/>
                      <w:b w:val="0"/>
                      <w:bCs w:val="0"/>
                      <w:sz w:val="18"/>
                      <w:szCs w:val="18"/>
                    </w:rPr>
                    <w:t>苯、甲苯、二甲苯、挥发性有机物、特征污染物</w:t>
                  </w:r>
                </w:p>
              </w:tc>
              <w:tc>
                <w:tcPr>
                  <w:tcW w:w="2274" w:type="dxa"/>
                  <w:noWrap w:val="0"/>
                  <w:vAlign w:val="center"/>
                </w:tcPr>
                <w:p w14:paraId="1E6188D4">
                  <w:pPr>
                    <w:spacing w:line="300" w:lineRule="exact"/>
                    <w:jc w:val="center"/>
                    <w:rPr>
                      <w:rFonts w:hint="eastAsia"/>
                      <w:b w:val="0"/>
                      <w:bCs w:val="0"/>
                      <w:sz w:val="18"/>
                      <w:szCs w:val="18"/>
                    </w:rPr>
                  </w:pPr>
                  <w:r>
                    <w:rPr>
                      <w:rFonts w:hint="eastAsia"/>
                      <w:b w:val="0"/>
                      <w:bCs w:val="0"/>
                      <w:sz w:val="18"/>
                      <w:szCs w:val="18"/>
                    </w:rPr>
                    <w:t>热力焚烧/催化氧化、吸附/浓缩+热力焚烧/催化氧化、吸附+冷凝回收</w:t>
                  </w:r>
                </w:p>
              </w:tc>
              <w:tc>
                <w:tcPr>
                  <w:tcW w:w="1197" w:type="dxa"/>
                  <w:noWrap w:val="0"/>
                  <w:vAlign w:val="center"/>
                </w:tcPr>
                <w:p w14:paraId="10E8E77D">
                  <w:pPr>
                    <w:spacing w:line="300" w:lineRule="exact"/>
                    <w:jc w:val="center"/>
                    <w:rPr>
                      <w:rFonts w:hint="eastAsia"/>
                      <w:b w:val="0"/>
                      <w:bCs w:val="0"/>
                      <w:sz w:val="18"/>
                      <w:szCs w:val="18"/>
                    </w:rPr>
                  </w:pPr>
                  <w:r>
                    <w:rPr>
                      <w:rFonts w:hint="eastAsia"/>
                      <w:b w:val="0"/>
                      <w:bCs w:val="0"/>
                      <w:sz w:val="18"/>
                      <w:szCs w:val="18"/>
                      <w:lang w:eastAsia="zh-CN"/>
                    </w:rPr>
                    <w:t>两级活性炭吸附</w:t>
                  </w:r>
                </w:p>
              </w:tc>
              <w:tc>
                <w:tcPr>
                  <w:tcW w:w="1052" w:type="dxa"/>
                  <w:noWrap w:val="0"/>
                  <w:vAlign w:val="center"/>
                </w:tcPr>
                <w:p w14:paraId="57659B27">
                  <w:pPr>
                    <w:spacing w:line="300" w:lineRule="exact"/>
                    <w:jc w:val="center"/>
                    <w:rPr>
                      <w:rFonts w:hint="eastAsia" w:eastAsia="宋体"/>
                      <w:b w:val="0"/>
                      <w:bCs w:val="0"/>
                      <w:sz w:val="18"/>
                      <w:szCs w:val="18"/>
                      <w:lang w:eastAsia="zh-CN"/>
                    </w:rPr>
                  </w:pPr>
                  <w:r>
                    <w:rPr>
                      <w:rFonts w:hint="eastAsia"/>
                      <w:b w:val="0"/>
                      <w:bCs w:val="0"/>
                      <w:sz w:val="18"/>
                      <w:szCs w:val="18"/>
                      <w:lang w:eastAsia="zh-CN"/>
                    </w:rPr>
                    <w:t>否</w:t>
                  </w:r>
                </w:p>
              </w:tc>
            </w:tr>
            <w:tr w14:paraId="6DAE2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7" w:hRule="atLeast"/>
                <w:jc w:val="center"/>
              </w:trPr>
              <w:tc>
                <w:tcPr>
                  <w:tcW w:w="933" w:type="dxa"/>
                  <w:noWrap w:val="0"/>
                  <w:vAlign w:val="center"/>
                </w:tcPr>
                <w:p w14:paraId="27A7F4C5">
                  <w:pPr>
                    <w:spacing w:line="300" w:lineRule="exact"/>
                    <w:jc w:val="center"/>
                    <w:rPr>
                      <w:rFonts w:hint="eastAsia" w:eastAsia="宋体"/>
                      <w:b w:val="0"/>
                      <w:bCs w:val="0"/>
                      <w:sz w:val="18"/>
                      <w:szCs w:val="18"/>
                      <w:lang w:eastAsia="zh-CN"/>
                    </w:rPr>
                  </w:pPr>
                  <w:r>
                    <w:rPr>
                      <w:rFonts w:hint="eastAsia"/>
                      <w:b w:val="0"/>
                      <w:bCs w:val="0"/>
                      <w:sz w:val="18"/>
                      <w:szCs w:val="18"/>
                      <w:lang w:eastAsia="zh-CN"/>
                    </w:rPr>
                    <w:t>下料</w:t>
                  </w:r>
                </w:p>
              </w:tc>
              <w:tc>
                <w:tcPr>
                  <w:tcW w:w="1692" w:type="dxa"/>
                  <w:noWrap w:val="0"/>
                  <w:vAlign w:val="center"/>
                </w:tcPr>
                <w:p w14:paraId="7DF0CDB4">
                  <w:pPr>
                    <w:spacing w:line="300" w:lineRule="exact"/>
                    <w:jc w:val="center"/>
                    <w:rPr>
                      <w:rFonts w:hint="eastAsia" w:eastAsia="宋体"/>
                      <w:b w:val="0"/>
                      <w:bCs w:val="0"/>
                      <w:sz w:val="18"/>
                      <w:szCs w:val="18"/>
                      <w:lang w:eastAsia="zh-CN"/>
                    </w:rPr>
                  </w:pPr>
                  <w:r>
                    <w:rPr>
                      <w:rFonts w:hint="eastAsia"/>
                      <w:b w:val="0"/>
                      <w:bCs w:val="0"/>
                      <w:sz w:val="18"/>
                      <w:szCs w:val="18"/>
                      <w:lang w:eastAsia="zh-CN"/>
                    </w:rPr>
                    <w:t>各种切割设备</w:t>
                  </w:r>
                </w:p>
              </w:tc>
              <w:tc>
                <w:tcPr>
                  <w:tcW w:w="1220" w:type="dxa"/>
                  <w:noWrap w:val="0"/>
                  <w:vAlign w:val="center"/>
                </w:tcPr>
                <w:p w14:paraId="17C0E4E6">
                  <w:pPr>
                    <w:spacing w:line="300" w:lineRule="exact"/>
                    <w:jc w:val="center"/>
                    <w:rPr>
                      <w:rFonts w:hint="eastAsia"/>
                      <w:b w:val="0"/>
                      <w:bCs w:val="0"/>
                      <w:sz w:val="18"/>
                      <w:szCs w:val="18"/>
                    </w:rPr>
                  </w:pPr>
                  <w:r>
                    <w:rPr>
                      <w:rFonts w:hint="eastAsia"/>
                      <w:b w:val="0"/>
                      <w:bCs w:val="0"/>
                      <w:sz w:val="18"/>
                      <w:szCs w:val="18"/>
                    </w:rPr>
                    <w:t xml:space="preserve">颗粒物 </w:t>
                  </w:r>
                </w:p>
              </w:tc>
              <w:tc>
                <w:tcPr>
                  <w:tcW w:w="2274" w:type="dxa"/>
                  <w:noWrap w:val="0"/>
                  <w:vAlign w:val="center"/>
                </w:tcPr>
                <w:p w14:paraId="3C3C2D34">
                  <w:pPr>
                    <w:spacing w:line="300" w:lineRule="exact"/>
                    <w:jc w:val="center"/>
                    <w:rPr>
                      <w:rFonts w:hint="eastAsia" w:eastAsia="宋体"/>
                      <w:b w:val="0"/>
                      <w:bCs w:val="0"/>
                      <w:sz w:val="18"/>
                      <w:szCs w:val="18"/>
                      <w:lang w:eastAsia="zh-CN"/>
                    </w:rPr>
                  </w:pPr>
                  <w:r>
                    <w:rPr>
                      <w:rFonts w:hint="eastAsia"/>
                      <w:b w:val="0"/>
                      <w:bCs w:val="0"/>
                      <w:sz w:val="18"/>
                      <w:szCs w:val="18"/>
                    </w:rPr>
                    <w:t>袋式除尘</w:t>
                  </w:r>
                  <w:r>
                    <w:rPr>
                      <w:rFonts w:hint="eastAsia"/>
                      <w:b w:val="0"/>
                      <w:bCs w:val="0"/>
                      <w:sz w:val="18"/>
                      <w:szCs w:val="18"/>
                      <w:lang w:eastAsia="zh-CN"/>
                    </w:rPr>
                    <w:t>、静电除尘</w:t>
                  </w:r>
                </w:p>
              </w:tc>
              <w:tc>
                <w:tcPr>
                  <w:tcW w:w="1197" w:type="dxa"/>
                  <w:noWrap w:val="0"/>
                  <w:vAlign w:val="center"/>
                </w:tcPr>
                <w:p w14:paraId="2A5D0141">
                  <w:pPr>
                    <w:spacing w:line="300" w:lineRule="exact"/>
                    <w:jc w:val="center"/>
                    <w:rPr>
                      <w:rFonts w:hint="eastAsia"/>
                      <w:b w:val="0"/>
                      <w:bCs w:val="0"/>
                      <w:sz w:val="18"/>
                      <w:szCs w:val="18"/>
                      <w:lang w:eastAsia="zh-CN"/>
                    </w:rPr>
                  </w:pPr>
                  <w:r>
                    <w:rPr>
                      <w:rFonts w:hint="eastAsia"/>
                      <w:b w:val="0"/>
                      <w:bCs w:val="0"/>
                      <w:sz w:val="18"/>
                      <w:szCs w:val="18"/>
                      <w:lang w:eastAsia="zh-CN"/>
                    </w:rPr>
                    <w:t>移动式焊烟净化器</w:t>
                  </w:r>
                </w:p>
              </w:tc>
              <w:tc>
                <w:tcPr>
                  <w:tcW w:w="1052" w:type="dxa"/>
                  <w:noWrap w:val="0"/>
                  <w:vAlign w:val="center"/>
                </w:tcPr>
                <w:p w14:paraId="0CBE42A9">
                  <w:pPr>
                    <w:spacing w:line="300" w:lineRule="exact"/>
                    <w:jc w:val="center"/>
                    <w:rPr>
                      <w:rFonts w:hint="eastAsia"/>
                      <w:b w:val="0"/>
                      <w:bCs w:val="0"/>
                      <w:sz w:val="18"/>
                      <w:szCs w:val="18"/>
                      <w:lang w:eastAsia="zh-CN"/>
                    </w:rPr>
                  </w:pPr>
                  <w:r>
                    <w:rPr>
                      <w:rFonts w:hint="eastAsia"/>
                      <w:b w:val="0"/>
                      <w:bCs w:val="0"/>
                      <w:sz w:val="18"/>
                      <w:szCs w:val="18"/>
                      <w:lang w:eastAsia="zh-CN"/>
                    </w:rPr>
                    <w:t>否</w:t>
                  </w:r>
                </w:p>
              </w:tc>
            </w:tr>
            <w:tr w14:paraId="54AE2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27" w:hRule="atLeast"/>
                <w:jc w:val="center"/>
              </w:trPr>
              <w:tc>
                <w:tcPr>
                  <w:tcW w:w="933" w:type="dxa"/>
                  <w:noWrap w:val="0"/>
                  <w:vAlign w:val="center"/>
                </w:tcPr>
                <w:p w14:paraId="4335FEE7">
                  <w:pPr>
                    <w:spacing w:line="300" w:lineRule="exact"/>
                    <w:jc w:val="center"/>
                    <w:rPr>
                      <w:rFonts w:hint="eastAsia"/>
                      <w:b w:val="0"/>
                      <w:bCs w:val="0"/>
                      <w:sz w:val="18"/>
                      <w:szCs w:val="18"/>
                      <w:lang w:eastAsia="zh-CN"/>
                    </w:rPr>
                  </w:pPr>
                  <w:r>
                    <w:rPr>
                      <w:rFonts w:hint="eastAsia"/>
                      <w:b w:val="0"/>
                      <w:bCs w:val="0"/>
                      <w:sz w:val="18"/>
                      <w:szCs w:val="18"/>
                      <w:lang w:eastAsia="zh-CN"/>
                    </w:rPr>
                    <w:t>焊接</w:t>
                  </w:r>
                </w:p>
              </w:tc>
              <w:tc>
                <w:tcPr>
                  <w:tcW w:w="1692" w:type="dxa"/>
                  <w:noWrap w:val="0"/>
                  <w:vAlign w:val="center"/>
                </w:tcPr>
                <w:p w14:paraId="31592853">
                  <w:pPr>
                    <w:keepNext w:val="0"/>
                    <w:keepLines w:val="0"/>
                    <w:widowControl/>
                    <w:suppressLineNumbers w:val="0"/>
                    <w:jc w:val="center"/>
                    <w:rPr>
                      <w:rFonts w:hint="eastAsia"/>
                      <w:b w:val="0"/>
                      <w:bCs w:val="0"/>
                      <w:sz w:val="18"/>
                      <w:szCs w:val="18"/>
                      <w:lang w:eastAsia="zh-CN"/>
                    </w:rPr>
                  </w:pPr>
                  <w:r>
                    <w:rPr>
                      <w:rFonts w:hint="eastAsia" w:ascii="宋体" w:hAnsi="宋体" w:eastAsia="宋体" w:cs="宋体"/>
                      <w:color w:val="000000"/>
                      <w:kern w:val="0"/>
                      <w:sz w:val="18"/>
                      <w:szCs w:val="18"/>
                      <w:lang w:val="en-US" w:eastAsia="zh-CN" w:bidi="ar"/>
                    </w:rPr>
                    <w:t>弧焊机、气焊机、钎焊机、激光焊机、等离子焊机等</w:t>
                  </w:r>
                </w:p>
              </w:tc>
              <w:tc>
                <w:tcPr>
                  <w:tcW w:w="1220" w:type="dxa"/>
                  <w:noWrap w:val="0"/>
                  <w:vAlign w:val="center"/>
                </w:tcPr>
                <w:p w14:paraId="6ADF1B3F">
                  <w:pPr>
                    <w:spacing w:line="300" w:lineRule="exact"/>
                    <w:jc w:val="center"/>
                    <w:rPr>
                      <w:rFonts w:hint="eastAsia" w:ascii="Times New Roman" w:hAnsi="Times New Roman" w:eastAsia="宋体" w:cs="Times New Roman"/>
                      <w:b w:val="0"/>
                      <w:bCs w:val="0"/>
                      <w:kern w:val="2"/>
                      <w:sz w:val="18"/>
                      <w:szCs w:val="18"/>
                      <w:lang w:val="en-US" w:eastAsia="zh-CN" w:bidi="ar-SA"/>
                    </w:rPr>
                  </w:pPr>
                  <w:r>
                    <w:rPr>
                      <w:rFonts w:hint="eastAsia"/>
                      <w:b w:val="0"/>
                      <w:bCs w:val="0"/>
                      <w:sz w:val="18"/>
                      <w:szCs w:val="18"/>
                    </w:rPr>
                    <w:t xml:space="preserve">颗粒物 </w:t>
                  </w:r>
                </w:p>
              </w:tc>
              <w:tc>
                <w:tcPr>
                  <w:tcW w:w="2274" w:type="dxa"/>
                  <w:noWrap w:val="0"/>
                  <w:vAlign w:val="center"/>
                </w:tcPr>
                <w:p w14:paraId="0C1B5C8E">
                  <w:pPr>
                    <w:spacing w:line="300" w:lineRule="exact"/>
                    <w:jc w:val="center"/>
                    <w:rPr>
                      <w:rFonts w:hint="eastAsia" w:ascii="Times New Roman" w:hAnsi="Times New Roman" w:eastAsia="宋体" w:cs="Times New Roman"/>
                      <w:b w:val="0"/>
                      <w:bCs w:val="0"/>
                      <w:kern w:val="2"/>
                      <w:sz w:val="18"/>
                      <w:szCs w:val="18"/>
                      <w:lang w:val="en-US" w:eastAsia="zh-CN" w:bidi="ar-SA"/>
                    </w:rPr>
                  </w:pPr>
                  <w:r>
                    <w:rPr>
                      <w:rFonts w:hint="eastAsia"/>
                      <w:b w:val="0"/>
                      <w:bCs w:val="0"/>
                      <w:sz w:val="18"/>
                      <w:szCs w:val="18"/>
                    </w:rPr>
                    <w:t>袋式除尘</w:t>
                  </w:r>
                </w:p>
              </w:tc>
              <w:tc>
                <w:tcPr>
                  <w:tcW w:w="1197" w:type="dxa"/>
                  <w:noWrap w:val="0"/>
                  <w:vAlign w:val="center"/>
                </w:tcPr>
                <w:p w14:paraId="2204D342">
                  <w:pPr>
                    <w:spacing w:line="300" w:lineRule="exact"/>
                    <w:jc w:val="center"/>
                    <w:rPr>
                      <w:rFonts w:hint="eastAsia" w:ascii="Times New Roman" w:hAnsi="Times New Roman" w:eastAsia="宋体" w:cs="Times New Roman"/>
                      <w:b w:val="0"/>
                      <w:bCs w:val="0"/>
                      <w:kern w:val="2"/>
                      <w:sz w:val="18"/>
                      <w:szCs w:val="18"/>
                      <w:lang w:val="en-US" w:eastAsia="zh-CN" w:bidi="ar-SA"/>
                    </w:rPr>
                  </w:pPr>
                  <w:r>
                    <w:rPr>
                      <w:rFonts w:hint="eastAsia"/>
                      <w:b w:val="0"/>
                      <w:bCs w:val="0"/>
                      <w:sz w:val="18"/>
                      <w:szCs w:val="18"/>
                      <w:lang w:eastAsia="zh-CN"/>
                    </w:rPr>
                    <w:t>移动式焊烟净化器</w:t>
                  </w:r>
                </w:p>
              </w:tc>
              <w:tc>
                <w:tcPr>
                  <w:tcW w:w="1052" w:type="dxa"/>
                  <w:noWrap w:val="0"/>
                  <w:vAlign w:val="center"/>
                </w:tcPr>
                <w:p w14:paraId="1BA79AC1">
                  <w:pPr>
                    <w:spacing w:line="300" w:lineRule="exact"/>
                    <w:jc w:val="center"/>
                    <w:rPr>
                      <w:rFonts w:hint="eastAsia" w:ascii="Times New Roman" w:hAnsi="Times New Roman" w:eastAsia="宋体" w:cs="Times New Roman"/>
                      <w:b w:val="0"/>
                      <w:bCs w:val="0"/>
                      <w:kern w:val="2"/>
                      <w:sz w:val="18"/>
                      <w:szCs w:val="18"/>
                      <w:lang w:val="en-US" w:eastAsia="zh-CN" w:bidi="ar-SA"/>
                    </w:rPr>
                  </w:pPr>
                  <w:r>
                    <w:rPr>
                      <w:rFonts w:hint="eastAsia"/>
                      <w:b w:val="0"/>
                      <w:bCs w:val="0"/>
                      <w:sz w:val="18"/>
                      <w:szCs w:val="18"/>
                      <w:lang w:eastAsia="zh-CN"/>
                    </w:rPr>
                    <w:t>否</w:t>
                  </w:r>
                </w:p>
              </w:tc>
            </w:tr>
            <w:bookmarkEnd w:id="8"/>
          </w:tbl>
          <w:p w14:paraId="3149A554">
            <w:pPr>
              <w:jc w:val="center"/>
              <w:rPr>
                <w:rFonts w:hint="default" w:eastAsia="宋体"/>
                <w:b/>
                <w:bCs/>
                <w:lang w:val="en-US" w:eastAsia="zh-CN"/>
              </w:rPr>
            </w:pPr>
          </w:p>
          <w:p w14:paraId="1AA329B8">
            <w:pPr>
              <w:pStyle w:val="381"/>
              <w:ind w:firstLine="420"/>
              <w:rPr>
                <w:rFonts w:hint="eastAsia" w:ascii="Times New Roman" w:hAnsi="Times New Roman" w:eastAsia="宋体" w:cs="Times New Roman"/>
                <w:color w:val="auto"/>
                <w:sz w:val="21"/>
                <w:lang w:val="en-US"/>
              </w:rPr>
            </w:pPr>
            <w:r>
              <w:rPr>
                <w:rFonts w:hint="eastAsia" w:ascii="Times New Roman" w:hAnsi="Times New Roman" w:eastAsia="宋体" w:cs="Times New Roman"/>
                <w:color w:val="auto"/>
                <w:sz w:val="21"/>
                <w:lang w:val="en-US"/>
              </w:rPr>
              <w:t>本项目两级活性炭吸附装置</w:t>
            </w:r>
            <w:r>
              <w:rPr>
                <w:rFonts w:hint="eastAsia" w:ascii="Times New Roman" w:hAnsi="Times New Roman" w:eastAsia="宋体" w:cs="Times New Roman"/>
                <w:color w:val="auto"/>
                <w:sz w:val="21"/>
                <w:lang w:val="en-US" w:eastAsia="zh-CN"/>
              </w:rPr>
              <w:t>处理</w:t>
            </w:r>
            <w:r>
              <w:rPr>
                <w:rFonts w:hint="eastAsia" w:ascii="Times New Roman" w:hAnsi="Times New Roman" w:cs="Times New Roman"/>
                <w:color w:val="auto"/>
                <w:sz w:val="21"/>
                <w:lang w:val="en-US" w:eastAsia="zh-CN"/>
              </w:rPr>
              <w:t>喷漆房涂装工序调漆、喷漆</w:t>
            </w:r>
            <w:r>
              <w:rPr>
                <w:rFonts w:hint="eastAsia" w:ascii="Times New Roman" w:hAnsi="Times New Roman" w:eastAsia="宋体" w:cs="Times New Roman"/>
                <w:color w:val="auto"/>
                <w:sz w:val="21"/>
                <w:lang w:val="en-US" w:eastAsia="zh-CN"/>
              </w:rPr>
              <w:t>产生的VOCs</w:t>
            </w:r>
            <w:r>
              <w:rPr>
                <w:rFonts w:hint="eastAsia" w:ascii="Times New Roman" w:hAnsi="Times New Roman" w:cs="Times New Roman"/>
                <w:color w:val="auto"/>
                <w:sz w:val="21"/>
                <w:lang w:val="en-US" w:eastAsia="zh-CN"/>
              </w:rPr>
              <w:t>属于</w:t>
            </w:r>
            <w:r>
              <w:rPr>
                <w:rFonts w:hint="eastAsia" w:ascii="Times New Roman" w:hAnsi="Times New Roman" w:eastAsia="宋体" w:cs="Times New Roman"/>
                <w:color w:val="auto"/>
                <w:sz w:val="21"/>
                <w:lang w:val="en-US"/>
              </w:rPr>
              <w:t>非可行技术，本项目</w:t>
            </w:r>
            <w:r>
              <w:rPr>
                <w:rFonts w:hint="eastAsia" w:ascii="Times New Roman" w:hAnsi="Times New Roman" w:cs="Times New Roman"/>
                <w:color w:val="auto"/>
                <w:sz w:val="21"/>
                <w:lang w:val="en-US" w:eastAsia="zh-CN"/>
              </w:rPr>
              <w:t>涂料使用量较少</w:t>
            </w:r>
            <w:r>
              <w:rPr>
                <w:rFonts w:hint="eastAsia" w:ascii="Times New Roman" w:hAnsi="Times New Roman" w:eastAsia="宋体" w:cs="Times New Roman"/>
                <w:color w:val="auto"/>
                <w:sz w:val="21"/>
                <w:lang w:val="en-US"/>
              </w:rPr>
              <w:t>，其产生的污染物较低，根据工程分析，本项目</w:t>
            </w:r>
            <w:r>
              <w:rPr>
                <w:rFonts w:hint="eastAsia" w:ascii="Times New Roman" w:hAnsi="Times New Roman" w:cs="Times New Roman"/>
                <w:color w:val="auto"/>
                <w:sz w:val="21"/>
                <w:lang w:val="en-US" w:eastAsia="zh-CN"/>
              </w:rPr>
              <w:t>喷漆房</w:t>
            </w:r>
            <w:r>
              <w:rPr>
                <w:rFonts w:hint="eastAsia" w:cs="Times New Roman"/>
                <w:color w:val="auto"/>
                <w:sz w:val="21"/>
                <w:lang w:val="en-US" w:eastAsia="zh-CN"/>
              </w:rPr>
              <w:t>、浸漆烘干、玻璃钢缠绕罐生产、PPH缠绕罐生产同时进行时，</w:t>
            </w:r>
            <w:r>
              <w:rPr>
                <w:rFonts w:hint="eastAsia" w:ascii="Times New Roman" w:hAnsi="Times New Roman" w:eastAsia="宋体" w:cs="Times New Roman"/>
                <w:color w:val="auto"/>
                <w:sz w:val="21"/>
                <w:lang w:val="en-US"/>
              </w:rPr>
              <w:t>VOCs产生浓度为</w:t>
            </w:r>
            <w:r>
              <w:rPr>
                <w:rFonts w:hint="eastAsia" w:cs="Times New Roman"/>
                <w:color w:val="auto"/>
                <w:sz w:val="21"/>
                <w:lang w:val="en-US" w:eastAsia="zh-CN"/>
              </w:rPr>
              <w:t>109.8</w:t>
            </w:r>
            <w:r>
              <w:rPr>
                <w:rFonts w:hint="eastAsia" w:ascii="Times New Roman" w:hAnsi="Times New Roman" w:eastAsia="宋体" w:cs="Times New Roman"/>
                <w:color w:val="auto"/>
                <w:sz w:val="21"/>
                <w:lang w:val="en-US"/>
              </w:rPr>
              <w:t>mg/m</w:t>
            </w:r>
            <w:r>
              <w:rPr>
                <w:rFonts w:hint="eastAsia" w:ascii="Times New Roman" w:hAnsi="Times New Roman" w:eastAsia="宋体" w:cs="Times New Roman"/>
                <w:color w:val="auto"/>
                <w:sz w:val="21"/>
                <w:vertAlign w:val="superscript"/>
                <w:lang w:val="en-US"/>
              </w:rPr>
              <w:t>3</w:t>
            </w:r>
            <w:r>
              <w:rPr>
                <w:rFonts w:hint="eastAsia" w:ascii="Times New Roman" w:hAnsi="Times New Roman" w:eastAsia="宋体" w:cs="Times New Roman"/>
                <w:color w:val="auto"/>
                <w:sz w:val="21"/>
                <w:lang w:val="en-US"/>
              </w:rPr>
              <w:t>，废气量为</w:t>
            </w:r>
            <w:r>
              <w:rPr>
                <w:rFonts w:hint="eastAsia" w:ascii="Times New Roman" w:hAnsi="Times New Roman" w:cs="Times New Roman"/>
                <w:color w:val="auto"/>
                <w:sz w:val="21"/>
                <w:lang w:val="en-US" w:eastAsia="zh-CN"/>
              </w:rPr>
              <w:t>10</w:t>
            </w:r>
            <w:r>
              <w:rPr>
                <w:rFonts w:hint="eastAsia" w:ascii="Times New Roman" w:hAnsi="Times New Roman" w:eastAsia="宋体" w:cs="Times New Roman"/>
                <w:color w:val="auto"/>
                <w:sz w:val="21"/>
                <w:lang w:val="en-US" w:eastAsia="zh-CN"/>
              </w:rPr>
              <w:t>0</w:t>
            </w:r>
            <w:r>
              <w:rPr>
                <w:rFonts w:hint="eastAsia" w:ascii="Times New Roman" w:hAnsi="Times New Roman" w:eastAsia="宋体" w:cs="Times New Roman"/>
                <w:color w:val="auto"/>
                <w:sz w:val="21"/>
                <w:lang w:val="en-US"/>
              </w:rPr>
              <w:t>00m</w:t>
            </w:r>
            <w:r>
              <w:rPr>
                <w:rFonts w:hint="eastAsia" w:ascii="Times New Roman" w:hAnsi="Times New Roman" w:eastAsia="宋体" w:cs="Times New Roman"/>
                <w:color w:val="auto"/>
                <w:sz w:val="21"/>
                <w:vertAlign w:val="superscript"/>
                <w:lang w:val="en-US"/>
              </w:rPr>
              <w:t>3</w:t>
            </w:r>
            <w:r>
              <w:rPr>
                <w:rFonts w:hint="eastAsia" w:ascii="Times New Roman" w:hAnsi="Times New Roman" w:eastAsia="宋体" w:cs="Times New Roman"/>
                <w:color w:val="auto"/>
                <w:sz w:val="21"/>
                <w:lang w:val="en-US"/>
              </w:rPr>
              <w:t>/h，在采取两级活性炭吸附措施后，其排放浓度仅</w:t>
            </w:r>
            <w:r>
              <w:rPr>
                <w:rFonts w:hint="eastAsia" w:cs="Times New Roman"/>
                <w:color w:val="auto"/>
                <w:sz w:val="21"/>
                <w:lang w:val="en-US" w:eastAsia="zh-CN"/>
              </w:rPr>
              <w:t>31.9</w:t>
            </w:r>
            <w:r>
              <w:rPr>
                <w:rFonts w:hint="eastAsia" w:ascii="Times New Roman" w:hAnsi="Times New Roman" w:eastAsia="宋体" w:cs="Times New Roman"/>
                <w:color w:val="auto"/>
                <w:sz w:val="21"/>
                <w:lang w:val="en-US"/>
              </w:rPr>
              <w:t>mg/m</w:t>
            </w:r>
            <w:r>
              <w:rPr>
                <w:rFonts w:hint="eastAsia" w:ascii="Times New Roman" w:hAnsi="Times New Roman" w:eastAsia="宋体" w:cs="Times New Roman"/>
                <w:color w:val="auto"/>
                <w:sz w:val="21"/>
                <w:vertAlign w:val="superscript"/>
                <w:lang w:val="en-US"/>
              </w:rPr>
              <w:t>3</w:t>
            </w:r>
            <w:r>
              <w:rPr>
                <w:rFonts w:hint="eastAsia" w:ascii="Times New Roman" w:hAnsi="Times New Roman" w:eastAsia="宋体" w:cs="Times New Roman"/>
                <w:color w:val="auto"/>
                <w:sz w:val="21"/>
                <w:lang w:val="en-US"/>
              </w:rPr>
              <w:t>，排放速率</w:t>
            </w:r>
            <w:r>
              <w:rPr>
                <w:rFonts w:hint="eastAsia" w:ascii="Times New Roman" w:hAnsi="Times New Roman" w:eastAsia="宋体" w:cs="Times New Roman"/>
                <w:color w:val="auto"/>
                <w:sz w:val="21"/>
                <w:lang w:val="en-US" w:eastAsia="zh-CN"/>
              </w:rPr>
              <w:t>0.</w:t>
            </w:r>
            <w:r>
              <w:rPr>
                <w:rFonts w:hint="eastAsia" w:cs="Times New Roman"/>
                <w:color w:val="auto"/>
                <w:sz w:val="21"/>
                <w:lang w:val="en-US" w:eastAsia="zh-CN"/>
              </w:rPr>
              <w:t>3193</w:t>
            </w:r>
            <w:r>
              <w:rPr>
                <w:rFonts w:hint="eastAsia" w:ascii="Times New Roman" w:hAnsi="Times New Roman" w:eastAsia="宋体" w:cs="Times New Roman"/>
                <w:color w:val="auto"/>
                <w:sz w:val="21"/>
                <w:lang w:val="en-US"/>
              </w:rPr>
              <w:t>kg/h，远远小于</w:t>
            </w:r>
            <w:r>
              <w:rPr>
                <w:color w:val="auto"/>
                <w:sz w:val="21"/>
              </w:rPr>
              <w:t>《挥发性有机物排放标准 第</w:t>
            </w:r>
            <w:r>
              <w:rPr>
                <w:rFonts w:hint="eastAsia"/>
                <w:color w:val="auto"/>
                <w:sz w:val="21"/>
                <w:lang w:val="en-US" w:eastAsia="zh-CN"/>
              </w:rPr>
              <w:t>5</w:t>
            </w:r>
            <w:r>
              <w:rPr>
                <w:color w:val="auto"/>
                <w:sz w:val="21"/>
              </w:rPr>
              <w:t>部分：</w:t>
            </w:r>
            <w:r>
              <w:rPr>
                <w:rFonts w:hint="eastAsia"/>
                <w:color w:val="auto"/>
                <w:sz w:val="21"/>
                <w:lang w:eastAsia="zh-CN"/>
              </w:rPr>
              <w:t>表面涂装</w:t>
            </w:r>
            <w:r>
              <w:rPr>
                <w:color w:val="auto"/>
                <w:sz w:val="21"/>
              </w:rPr>
              <w:t>行业》（DB37/2801.</w:t>
            </w:r>
            <w:r>
              <w:rPr>
                <w:rFonts w:hint="eastAsia"/>
                <w:color w:val="auto"/>
                <w:sz w:val="21"/>
                <w:lang w:val="en-US" w:eastAsia="zh-CN"/>
              </w:rPr>
              <w:t>5</w:t>
            </w:r>
            <w:r>
              <w:rPr>
                <w:color w:val="auto"/>
                <w:sz w:val="21"/>
              </w:rPr>
              <w:t>-2018）中表</w:t>
            </w:r>
            <w:r>
              <w:rPr>
                <w:rFonts w:hint="eastAsia"/>
                <w:color w:val="auto"/>
                <w:sz w:val="21"/>
                <w:lang w:val="en-US" w:eastAsia="zh-CN"/>
              </w:rPr>
              <w:t>2</w:t>
            </w:r>
            <w:r>
              <w:rPr>
                <w:rFonts w:hint="eastAsia"/>
                <w:color w:val="auto"/>
                <w:sz w:val="21"/>
                <w:lang w:eastAsia="zh-CN"/>
              </w:rPr>
              <w:t>通用设备制造业</w:t>
            </w:r>
            <w:r>
              <w:rPr>
                <w:color w:val="auto"/>
                <w:sz w:val="21"/>
              </w:rPr>
              <w:t>VOCs第Ⅱ时段排放限值</w:t>
            </w:r>
            <w:r>
              <w:rPr>
                <w:rFonts w:hint="eastAsia" w:ascii="Times New Roman" w:hAnsi="Times New Roman" w:eastAsia="宋体" w:cs="Times New Roman"/>
                <w:color w:val="auto"/>
                <w:sz w:val="21"/>
                <w:lang w:val="en-US"/>
              </w:rPr>
              <w:t>（VOCs：浓度</w:t>
            </w:r>
            <w:r>
              <w:rPr>
                <w:rFonts w:hint="eastAsia" w:ascii="Times New Roman" w:hAnsi="Times New Roman" w:cs="Times New Roman"/>
                <w:color w:val="auto"/>
                <w:sz w:val="21"/>
                <w:lang w:val="en-US" w:eastAsia="zh-CN"/>
              </w:rPr>
              <w:t>7</w:t>
            </w:r>
            <w:r>
              <w:rPr>
                <w:rFonts w:hint="eastAsia" w:ascii="Times New Roman" w:hAnsi="Times New Roman" w:eastAsia="宋体" w:cs="Times New Roman"/>
                <w:color w:val="auto"/>
                <w:sz w:val="21"/>
                <w:lang w:val="en-US"/>
              </w:rPr>
              <w:t>0mg/m</w:t>
            </w:r>
            <w:r>
              <w:rPr>
                <w:rFonts w:hint="eastAsia" w:ascii="Times New Roman" w:hAnsi="Times New Roman" w:eastAsia="宋体" w:cs="Times New Roman"/>
                <w:color w:val="auto"/>
                <w:sz w:val="21"/>
                <w:vertAlign w:val="superscript"/>
                <w:lang w:val="en-US"/>
              </w:rPr>
              <w:t>3</w:t>
            </w:r>
            <w:r>
              <w:rPr>
                <w:rFonts w:hint="eastAsia" w:ascii="Times New Roman" w:hAnsi="Times New Roman" w:eastAsia="宋体" w:cs="Times New Roman"/>
                <w:color w:val="auto"/>
                <w:sz w:val="21"/>
                <w:lang w:val="en-US"/>
              </w:rPr>
              <w:t>、速率</w:t>
            </w:r>
            <w:r>
              <w:rPr>
                <w:rFonts w:hint="eastAsia" w:ascii="Times New Roman" w:hAnsi="Times New Roman" w:cs="Times New Roman"/>
                <w:color w:val="auto"/>
                <w:sz w:val="21"/>
                <w:lang w:val="en-US" w:eastAsia="zh-CN"/>
              </w:rPr>
              <w:t>2.4</w:t>
            </w:r>
            <w:r>
              <w:rPr>
                <w:rFonts w:hint="eastAsia" w:ascii="Times New Roman" w:hAnsi="Times New Roman" w:eastAsia="宋体" w:cs="Times New Roman"/>
                <w:color w:val="auto"/>
                <w:sz w:val="21"/>
                <w:lang w:val="en-US"/>
              </w:rPr>
              <w:t>kg/h）</w:t>
            </w:r>
            <w:r>
              <w:rPr>
                <w:rFonts w:hint="eastAsia" w:cs="Times New Roman"/>
                <w:color w:val="auto"/>
                <w:sz w:val="21"/>
                <w:lang w:val="en-US" w:eastAsia="zh-CN"/>
              </w:rPr>
              <w:t>，也小于</w:t>
            </w:r>
            <w:r>
              <w:rPr>
                <w:color w:val="auto"/>
                <w:sz w:val="21"/>
              </w:rPr>
              <w:t>《挥发性有机物排放标准 第</w:t>
            </w:r>
            <w:r>
              <w:rPr>
                <w:rFonts w:hint="eastAsia"/>
                <w:color w:val="auto"/>
                <w:sz w:val="21"/>
                <w:lang w:val="en-US" w:eastAsia="zh-CN"/>
              </w:rPr>
              <w:t>6</w:t>
            </w:r>
            <w:r>
              <w:rPr>
                <w:color w:val="auto"/>
                <w:sz w:val="21"/>
              </w:rPr>
              <w:t>部分：</w:t>
            </w:r>
            <w:r>
              <w:rPr>
                <w:rFonts w:hint="eastAsia"/>
                <w:color w:val="auto"/>
                <w:sz w:val="21"/>
                <w:lang w:eastAsia="zh-CN"/>
              </w:rPr>
              <w:t>有机化工</w:t>
            </w:r>
            <w:r>
              <w:rPr>
                <w:color w:val="auto"/>
                <w:sz w:val="21"/>
              </w:rPr>
              <w:t>行业》（DB37/2801.</w:t>
            </w:r>
            <w:r>
              <w:rPr>
                <w:rFonts w:hint="eastAsia"/>
                <w:color w:val="auto"/>
                <w:sz w:val="21"/>
                <w:lang w:val="en-US" w:eastAsia="zh-CN"/>
              </w:rPr>
              <w:t>6</w:t>
            </w:r>
            <w:r>
              <w:rPr>
                <w:color w:val="auto"/>
                <w:sz w:val="21"/>
              </w:rPr>
              <w:t>-2018）中表</w:t>
            </w:r>
            <w:r>
              <w:rPr>
                <w:rFonts w:hint="eastAsia"/>
                <w:color w:val="auto"/>
                <w:sz w:val="21"/>
                <w:lang w:val="en-US" w:eastAsia="zh-CN"/>
              </w:rPr>
              <w:t>1</w:t>
            </w:r>
            <w:r>
              <w:rPr>
                <w:rFonts w:hint="eastAsia"/>
                <w:color w:val="auto"/>
                <w:sz w:val="21"/>
                <w:lang w:eastAsia="zh-CN"/>
              </w:rPr>
              <w:t>其他行业</w:t>
            </w:r>
            <w:r>
              <w:rPr>
                <w:color w:val="auto"/>
                <w:sz w:val="21"/>
              </w:rPr>
              <w:t>VOCs排放限值</w:t>
            </w:r>
            <w:r>
              <w:rPr>
                <w:rFonts w:hint="eastAsia" w:ascii="Times New Roman" w:hAnsi="Times New Roman" w:eastAsia="宋体" w:cs="Times New Roman"/>
                <w:color w:val="auto"/>
                <w:sz w:val="21"/>
                <w:lang w:val="en-US"/>
              </w:rPr>
              <w:t>（VOCs：浓度</w:t>
            </w:r>
            <w:r>
              <w:rPr>
                <w:rFonts w:hint="eastAsia" w:cs="Times New Roman"/>
                <w:color w:val="auto"/>
                <w:sz w:val="21"/>
                <w:lang w:val="en-US" w:eastAsia="zh-CN"/>
              </w:rPr>
              <w:t>6</w:t>
            </w:r>
            <w:r>
              <w:rPr>
                <w:rFonts w:hint="eastAsia" w:ascii="Times New Roman" w:hAnsi="Times New Roman" w:eastAsia="宋体" w:cs="Times New Roman"/>
                <w:color w:val="auto"/>
                <w:sz w:val="21"/>
                <w:lang w:val="en-US"/>
              </w:rPr>
              <w:t>0mg/m</w:t>
            </w:r>
            <w:r>
              <w:rPr>
                <w:rFonts w:hint="eastAsia" w:ascii="Times New Roman" w:hAnsi="Times New Roman" w:eastAsia="宋体" w:cs="Times New Roman"/>
                <w:color w:val="auto"/>
                <w:sz w:val="21"/>
                <w:vertAlign w:val="superscript"/>
                <w:lang w:val="en-US"/>
              </w:rPr>
              <w:t>3</w:t>
            </w:r>
            <w:r>
              <w:rPr>
                <w:rFonts w:hint="eastAsia" w:ascii="Times New Roman" w:hAnsi="Times New Roman" w:eastAsia="宋体" w:cs="Times New Roman"/>
                <w:color w:val="auto"/>
                <w:sz w:val="21"/>
                <w:lang w:val="en-US"/>
              </w:rPr>
              <w:t>、速率</w:t>
            </w:r>
            <w:r>
              <w:rPr>
                <w:rFonts w:hint="eastAsia" w:cs="Times New Roman"/>
                <w:color w:val="auto"/>
                <w:sz w:val="21"/>
                <w:lang w:val="en-US" w:eastAsia="zh-CN"/>
              </w:rPr>
              <w:t>3.0</w:t>
            </w:r>
            <w:r>
              <w:rPr>
                <w:rFonts w:hint="eastAsia" w:ascii="Times New Roman" w:hAnsi="Times New Roman" w:eastAsia="宋体" w:cs="Times New Roman"/>
                <w:color w:val="auto"/>
                <w:sz w:val="21"/>
                <w:lang w:val="en-US"/>
              </w:rPr>
              <w:t>kg/h），故而本项目</w:t>
            </w:r>
            <w:r>
              <w:rPr>
                <w:rFonts w:hint="eastAsia"/>
                <w:color w:val="auto"/>
                <w:sz w:val="21"/>
                <w:szCs w:val="21"/>
                <w:lang w:val="en-US" w:eastAsia="zh-CN"/>
              </w:rPr>
              <w:t>VOCs产生</w:t>
            </w:r>
            <w:r>
              <w:rPr>
                <w:rFonts w:hint="eastAsia" w:ascii="Times New Roman" w:hAnsi="Times New Roman" w:eastAsia="宋体" w:cs="Times New Roman"/>
                <w:color w:val="auto"/>
                <w:sz w:val="21"/>
                <w:lang w:val="en-US"/>
              </w:rPr>
              <w:t>工序产生的VOCs废气为低浓度、小风量的有机废气。此时活性炭吸附法完全可以有效的处理，其相比热力焚烧/催化氧化、吸附/浓缩+热力焚烧/催化氧化同时具有成品经济性、运行经济性的优势。总体来说，由于本项目</w:t>
            </w:r>
            <w:r>
              <w:rPr>
                <w:rFonts w:hint="eastAsia" w:ascii="Times New Roman" w:hAnsi="Times New Roman" w:cs="Times New Roman"/>
                <w:color w:val="auto"/>
                <w:sz w:val="21"/>
                <w:lang w:val="en-US" w:eastAsia="zh-CN"/>
              </w:rPr>
              <w:t>涂料用量较少</w:t>
            </w:r>
            <w:r>
              <w:rPr>
                <w:rFonts w:hint="eastAsia" w:ascii="Times New Roman" w:hAnsi="Times New Roman" w:eastAsia="宋体" w:cs="Times New Roman"/>
                <w:color w:val="auto"/>
                <w:sz w:val="21"/>
                <w:lang w:val="en-US"/>
              </w:rPr>
              <w:t>，其产生的低浓度小风量的有机废气，即使浓缩20倍后的浓度依然不适合燃烧，需要鼓入大量的天然气助燃，产生大量的二次污染物，得不偿失。本项目采用两级活性炭吸附装置，技术、经济可行。</w:t>
            </w:r>
          </w:p>
          <w:p w14:paraId="767EA063">
            <w:pPr>
              <w:keepNext w:val="0"/>
              <w:keepLines w:val="0"/>
              <w:pageBreakBefore w:val="0"/>
              <w:widowControl w:val="0"/>
              <w:kinsoku/>
              <w:overflowPunct/>
              <w:topLinePunct w:val="0"/>
              <w:autoSpaceDE w:val="0"/>
              <w:autoSpaceDN w:val="0"/>
              <w:bidi w:val="0"/>
              <w:adjustRightInd w:val="0"/>
              <w:spacing w:line="360" w:lineRule="auto"/>
              <w:ind w:firstLine="420" w:firstLineChars="200"/>
              <w:jc w:val="left"/>
              <w:textAlignment w:val="auto"/>
              <w:rPr>
                <w:rFonts w:hint="default"/>
                <w:bCs/>
                <w:sz w:val="21"/>
                <w:szCs w:val="21"/>
                <w:lang w:val="en-US" w:eastAsia="zh-CN"/>
              </w:rPr>
            </w:pPr>
            <w:r>
              <w:rPr>
                <w:rFonts w:hint="eastAsia"/>
                <w:bCs/>
                <w:sz w:val="21"/>
                <w:szCs w:val="21"/>
                <w:lang w:val="en-US" w:eastAsia="zh-CN"/>
              </w:rPr>
              <w:t>根据工程分析内容，喷塑工序配套滤筒除尘器处理后，DA002排气筒出口颗粒物排放浓度为</w:t>
            </w:r>
          </w:p>
          <w:p w14:paraId="4B4F78E0">
            <w:pPr>
              <w:keepNext w:val="0"/>
              <w:keepLines w:val="0"/>
              <w:pageBreakBefore w:val="0"/>
              <w:widowControl w:val="0"/>
              <w:kinsoku/>
              <w:overflowPunct/>
              <w:topLinePunct w:val="0"/>
              <w:autoSpaceDE w:val="0"/>
              <w:autoSpaceDN w:val="0"/>
              <w:bidi w:val="0"/>
              <w:adjustRightInd w:val="0"/>
              <w:spacing w:line="360" w:lineRule="auto"/>
              <w:ind w:firstLine="420" w:firstLineChars="200"/>
              <w:jc w:val="left"/>
              <w:textAlignment w:val="auto"/>
              <w:rPr>
                <w:rFonts w:hint="default" w:ascii="Times New Roman" w:hAnsi="Times New Roman" w:cs="Times New Roman"/>
                <w:color w:val="auto"/>
                <w:sz w:val="21"/>
                <w:szCs w:val="21"/>
              </w:rPr>
            </w:pPr>
            <w:r>
              <w:rPr>
                <w:rFonts w:hint="eastAsia"/>
                <w:bCs/>
                <w:sz w:val="21"/>
                <w:szCs w:val="21"/>
                <w:lang w:val="en-US" w:eastAsia="zh-CN"/>
              </w:rPr>
              <w:t xml:space="preserve">（ </w:t>
            </w:r>
            <w:r>
              <w:rPr>
                <w:rFonts w:hint="eastAsia" w:cs="Times New Roman"/>
                <w:color w:val="auto"/>
                <w:sz w:val="21"/>
                <w:szCs w:val="21"/>
                <w:lang w:val="en-US" w:eastAsia="zh-CN"/>
              </w:rPr>
              <w:t>3</w:t>
            </w:r>
            <w:r>
              <w:rPr>
                <w:rFonts w:hint="eastAsia" w:cs="Times New Roman"/>
                <w:color w:val="auto"/>
                <w:sz w:val="21"/>
                <w:szCs w:val="21"/>
                <w:lang w:eastAsia="zh-CN"/>
              </w:rPr>
              <w:t>）</w:t>
            </w:r>
            <w:r>
              <w:rPr>
                <w:rFonts w:hint="default" w:ascii="Times New Roman" w:hAnsi="Times New Roman" w:cs="Times New Roman"/>
                <w:color w:val="auto"/>
                <w:sz w:val="21"/>
                <w:szCs w:val="21"/>
              </w:rPr>
              <w:t>排气筒内径</w:t>
            </w:r>
          </w:p>
          <w:p w14:paraId="1B571E73">
            <w:pPr>
              <w:pStyle w:val="2"/>
              <w:keepNext w:val="0"/>
              <w:keepLines w:val="0"/>
              <w:pageBreakBefore w:val="0"/>
              <w:widowControl w:val="0"/>
              <w:kinsoku/>
              <w:wordWrap w:val="0"/>
              <w:overflowPunct/>
              <w:topLinePunct w:val="0"/>
              <w:bidi w:val="0"/>
              <w:spacing w:after="0" w:line="360" w:lineRule="auto"/>
              <w:ind w:left="0" w:leftChars="0"/>
              <w:jc w:val="both"/>
              <w:textAlignment w:val="auto"/>
              <w:rPr>
                <w:sz w:val="21"/>
                <w:szCs w:val="21"/>
              </w:rPr>
            </w:pPr>
            <w:r>
              <w:rPr>
                <w:rFonts w:hint="eastAsia"/>
                <w:sz w:val="21"/>
                <w:szCs w:val="21"/>
              </w:rPr>
              <w:t>根据《大气污染治理工程技术导则》（H</w:t>
            </w:r>
            <w:r>
              <w:rPr>
                <w:sz w:val="21"/>
                <w:szCs w:val="21"/>
              </w:rPr>
              <w:t>J2000-2010</w:t>
            </w:r>
            <w:r>
              <w:rPr>
                <w:rFonts w:hint="eastAsia"/>
                <w:sz w:val="21"/>
                <w:szCs w:val="21"/>
              </w:rPr>
              <w:t>），排气筒的出口直径应根据出口流速确定，流速宜取1</w:t>
            </w:r>
            <w:r>
              <w:rPr>
                <w:sz w:val="21"/>
                <w:szCs w:val="21"/>
              </w:rPr>
              <w:t>5</w:t>
            </w:r>
            <w:r>
              <w:rPr>
                <w:rFonts w:hint="eastAsia"/>
                <w:sz w:val="21"/>
                <w:szCs w:val="21"/>
              </w:rPr>
              <w:t>m</w:t>
            </w:r>
            <w:r>
              <w:rPr>
                <w:sz w:val="21"/>
                <w:szCs w:val="21"/>
              </w:rPr>
              <w:t>/</w:t>
            </w:r>
            <w:r>
              <w:rPr>
                <w:rFonts w:hint="eastAsia"/>
                <w:sz w:val="21"/>
                <w:szCs w:val="21"/>
              </w:rPr>
              <w:t>s左右，当采用钢管烟囱且高度较高时或烟气量较大时，可适当提高出口流速至2</w:t>
            </w:r>
            <w:r>
              <w:rPr>
                <w:sz w:val="21"/>
                <w:szCs w:val="21"/>
              </w:rPr>
              <w:t>0</w:t>
            </w:r>
            <w:r>
              <w:rPr>
                <w:rFonts w:hint="eastAsia"/>
                <w:sz w:val="21"/>
                <w:szCs w:val="21"/>
              </w:rPr>
              <w:t>m</w:t>
            </w:r>
            <w:r>
              <w:rPr>
                <w:sz w:val="21"/>
                <w:szCs w:val="21"/>
              </w:rPr>
              <w:t>/</w:t>
            </w:r>
            <w:r>
              <w:rPr>
                <w:rFonts w:hint="eastAsia"/>
                <w:sz w:val="21"/>
                <w:szCs w:val="21"/>
              </w:rPr>
              <w:t>s</w:t>
            </w:r>
            <w:r>
              <w:rPr>
                <w:rFonts w:hint="eastAsia" w:ascii="宋体" w:hAnsi="宋体"/>
                <w:sz w:val="21"/>
                <w:szCs w:val="21"/>
              </w:rPr>
              <w:t>～</w:t>
            </w:r>
            <w:r>
              <w:rPr>
                <w:rFonts w:hint="eastAsia"/>
                <w:sz w:val="21"/>
                <w:szCs w:val="21"/>
              </w:rPr>
              <w:t>2</w:t>
            </w:r>
            <w:r>
              <w:rPr>
                <w:sz w:val="21"/>
                <w:szCs w:val="21"/>
              </w:rPr>
              <w:t>5</w:t>
            </w:r>
            <w:r>
              <w:rPr>
                <w:rFonts w:hint="eastAsia"/>
                <w:sz w:val="21"/>
                <w:szCs w:val="21"/>
              </w:rPr>
              <w:t>m</w:t>
            </w:r>
            <w:r>
              <w:rPr>
                <w:sz w:val="21"/>
                <w:szCs w:val="21"/>
              </w:rPr>
              <w:t>/</w:t>
            </w:r>
            <w:r>
              <w:rPr>
                <w:rFonts w:hint="eastAsia"/>
                <w:sz w:val="21"/>
                <w:szCs w:val="21"/>
              </w:rPr>
              <w:t>s左右。本项目</w:t>
            </w:r>
            <w:r>
              <w:rPr>
                <w:rFonts w:hint="eastAsia"/>
                <w:sz w:val="21"/>
                <w:szCs w:val="21"/>
                <w:lang w:val="en-US" w:eastAsia="zh-CN"/>
              </w:rPr>
              <w:t>DA001</w:t>
            </w:r>
            <w:r>
              <w:rPr>
                <w:rFonts w:hint="eastAsia" w:eastAsia="宋体"/>
                <w:sz w:val="21"/>
                <w:szCs w:val="21"/>
                <w:lang w:val="en-US" w:eastAsia="zh-CN"/>
              </w:rPr>
              <w:t>排气筒配套风机最大风量为</w:t>
            </w:r>
            <w:r>
              <w:rPr>
                <w:rFonts w:hint="eastAsia"/>
                <w:sz w:val="21"/>
                <w:szCs w:val="21"/>
                <w:lang w:val="en-US" w:eastAsia="zh-CN"/>
              </w:rPr>
              <w:t>20</w:t>
            </w:r>
            <w:r>
              <w:rPr>
                <w:rFonts w:hint="eastAsia" w:eastAsia="宋体"/>
                <w:sz w:val="21"/>
                <w:szCs w:val="21"/>
                <w:lang w:val="en-US" w:eastAsia="zh-CN"/>
              </w:rPr>
              <w:t>000</w:t>
            </w:r>
            <w:r>
              <w:rPr>
                <w:rFonts w:hint="eastAsia"/>
                <w:b w:val="0"/>
                <w:bCs w:val="0"/>
                <w:color w:val="auto"/>
                <w:sz w:val="21"/>
                <w:szCs w:val="21"/>
              </w:rPr>
              <w:t>m</w:t>
            </w:r>
            <w:r>
              <w:rPr>
                <w:b w:val="0"/>
                <w:bCs w:val="0"/>
                <w:color w:val="auto"/>
                <w:sz w:val="21"/>
                <w:szCs w:val="21"/>
                <w:vertAlign w:val="superscript"/>
              </w:rPr>
              <w:t>3</w:t>
            </w:r>
            <w:r>
              <w:rPr>
                <w:b w:val="0"/>
                <w:bCs w:val="0"/>
                <w:color w:val="auto"/>
                <w:sz w:val="21"/>
                <w:szCs w:val="21"/>
              </w:rPr>
              <w:t>/</w:t>
            </w:r>
            <w:r>
              <w:rPr>
                <w:rFonts w:hint="eastAsia"/>
                <w:b w:val="0"/>
                <w:bCs w:val="0"/>
                <w:color w:val="auto"/>
                <w:sz w:val="21"/>
                <w:szCs w:val="21"/>
              </w:rPr>
              <w:t>h</w:t>
            </w:r>
            <w:r>
              <w:rPr>
                <w:rFonts w:hint="eastAsia" w:eastAsia="宋体"/>
                <w:b w:val="0"/>
                <w:bCs w:val="0"/>
                <w:color w:val="auto"/>
                <w:sz w:val="21"/>
                <w:szCs w:val="21"/>
                <w:lang w:eastAsia="zh-CN"/>
              </w:rPr>
              <w:t>，</w:t>
            </w:r>
            <w:r>
              <w:rPr>
                <w:rFonts w:hint="eastAsia" w:eastAsia="宋体"/>
                <w:sz w:val="21"/>
                <w:szCs w:val="21"/>
                <w:lang w:val="en-US" w:eastAsia="zh-CN"/>
              </w:rPr>
              <w:t>出口流速</w:t>
            </w:r>
            <w:r>
              <w:rPr>
                <w:rFonts w:hint="eastAsia"/>
                <w:sz w:val="21"/>
                <w:szCs w:val="21"/>
              </w:rPr>
              <w:t>按照</w:t>
            </w:r>
            <w:r>
              <w:rPr>
                <w:rFonts w:hint="eastAsia"/>
                <w:sz w:val="21"/>
                <w:szCs w:val="21"/>
                <w:lang w:val="en-US" w:eastAsia="zh-CN"/>
              </w:rPr>
              <w:t>25</w:t>
            </w:r>
            <w:r>
              <w:rPr>
                <w:rFonts w:hint="eastAsia"/>
                <w:sz w:val="21"/>
                <w:szCs w:val="21"/>
              </w:rPr>
              <w:t>m/</w:t>
            </w:r>
            <w:r>
              <w:rPr>
                <w:sz w:val="21"/>
                <w:szCs w:val="21"/>
              </w:rPr>
              <w:t>s</w:t>
            </w:r>
            <w:r>
              <w:rPr>
                <w:rFonts w:hint="eastAsia"/>
                <w:sz w:val="21"/>
                <w:szCs w:val="21"/>
              </w:rPr>
              <w:t>设计</w:t>
            </w:r>
            <w:r>
              <w:rPr>
                <w:rFonts w:hint="eastAsia"/>
                <w:b w:val="0"/>
                <w:bCs w:val="0"/>
                <w:color w:val="auto"/>
                <w:sz w:val="21"/>
                <w:szCs w:val="21"/>
                <w:lang w:eastAsia="zh-CN"/>
              </w:rPr>
              <w:t>，</w:t>
            </w:r>
            <w:r>
              <w:rPr>
                <w:rFonts w:hint="eastAsia"/>
                <w:sz w:val="21"/>
                <w:szCs w:val="21"/>
              </w:rPr>
              <w:t>则</w:t>
            </w:r>
            <w:r>
              <w:rPr>
                <w:rFonts w:hint="eastAsia"/>
                <w:sz w:val="21"/>
                <w:szCs w:val="21"/>
                <w:lang w:val="en-US" w:eastAsia="zh-CN"/>
              </w:rPr>
              <w:t>DA001</w:t>
            </w:r>
            <w:r>
              <w:rPr>
                <w:rFonts w:hint="eastAsia"/>
                <w:sz w:val="21"/>
                <w:szCs w:val="21"/>
              </w:rPr>
              <w:t>排气筒内径</w:t>
            </w:r>
            <w:r>
              <w:rPr>
                <w:rFonts w:hint="eastAsia"/>
                <w:sz w:val="21"/>
                <w:szCs w:val="21"/>
                <w:lang w:val="en-US" w:eastAsia="zh-CN"/>
              </w:rPr>
              <w:t>应设计</w:t>
            </w:r>
            <w:r>
              <w:rPr>
                <w:rFonts w:hint="eastAsia"/>
                <w:sz w:val="21"/>
                <w:szCs w:val="21"/>
              </w:rPr>
              <w:t>为</w:t>
            </w:r>
            <w:r>
              <w:rPr>
                <w:sz w:val="21"/>
                <w:szCs w:val="21"/>
              </w:rPr>
              <w:t>0.</w:t>
            </w:r>
            <w:r>
              <w:rPr>
                <w:rFonts w:hint="eastAsia"/>
                <w:sz w:val="21"/>
                <w:szCs w:val="21"/>
                <w:lang w:val="en-US" w:eastAsia="zh-CN"/>
              </w:rPr>
              <w:t>53</w:t>
            </w:r>
            <w:r>
              <w:rPr>
                <w:rFonts w:hint="eastAsia"/>
                <w:sz w:val="21"/>
                <w:szCs w:val="21"/>
              </w:rPr>
              <w:t>m</w:t>
            </w:r>
            <w:r>
              <w:rPr>
                <w:rFonts w:hint="eastAsia"/>
                <w:sz w:val="21"/>
                <w:szCs w:val="21"/>
                <w:lang w:eastAsia="zh-CN"/>
              </w:rPr>
              <w:t>。</w:t>
            </w:r>
            <w:r>
              <w:rPr>
                <w:rFonts w:hint="eastAsia"/>
                <w:sz w:val="21"/>
                <w:szCs w:val="21"/>
                <w:lang w:val="en-US" w:eastAsia="zh-CN"/>
              </w:rPr>
              <w:t>DA002</w:t>
            </w:r>
            <w:r>
              <w:rPr>
                <w:rFonts w:hint="eastAsia" w:eastAsia="宋体"/>
                <w:sz w:val="21"/>
                <w:szCs w:val="21"/>
                <w:lang w:val="en-US" w:eastAsia="zh-CN"/>
              </w:rPr>
              <w:t>排气筒配套风机最大风量为</w:t>
            </w:r>
            <w:r>
              <w:rPr>
                <w:rFonts w:hint="eastAsia"/>
                <w:sz w:val="21"/>
                <w:szCs w:val="21"/>
                <w:lang w:val="en-US" w:eastAsia="zh-CN"/>
              </w:rPr>
              <w:t>6</w:t>
            </w:r>
            <w:r>
              <w:rPr>
                <w:rFonts w:hint="eastAsia" w:eastAsia="宋体"/>
                <w:sz w:val="21"/>
                <w:szCs w:val="21"/>
                <w:lang w:val="en-US" w:eastAsia="zh-CN"/>
              </w:rPr>
              <w:t>000</w:t>
            </w:r>
            <w:r>
              <w:rPr>
                <w:rFonts w:hint="eastAsia"/>
                <w:b w:val="0"/>
                <w:bCs w:val="0"/>
                <w:color w:val="auto"/>
                <w:sz w:val="21"/>
                <w:szCs w:val="21"/>
              </w:rPr>
              <w:t>m</w:t>
            </w:r>
            <w:r>
              <w:rPr>
                <w:b w:val="0"/>
                <w:bCs w:val="0"/>
                <w:color w:val="auto"/>
                <w:sz w:val="21"/>
                <w:szCs w:val="21"/>
                <w:vertAlign w:val="superscript"/>
              </w:rPr>
              <w:t>3</w:t>
            </w:r>
            <w:r>
              <w:rPr>
                <w:b w:val="0"/>
                <w:bCs w:val="0"/>
                <w:color w:val="auto"/>
                <w:sz w:val="21"/>
                <w:szCs w:val="21"/>
              </w:rPr>
              <w:t>/</w:t>
            </w:r>
            <w:r>
              <w:rPr>
                <w:rFonts w:hint="eastAsia"/>
                <w:b w:val="0"/>
                <w:bCs w:val="0"/>
                <w:color w:val="auto"/>
                <w:sz w:val="21"/>
                <w:szCs w:val="21"/>
              </w:rPr>
              <w:t>h</w:t>
            </w:r>
            <w:r>
              <w:rPr>
                <w:rFonts w:hint="eastAsia"/>
                <w:b w:val="0"/>
                <w:bCs w:val="0"/>
                <w:color w:val="auto"/>
                <w:sz w:val="21"/>
                <w:szCs w:val="21"/>
                <w:lang w:eastAsia="zh-CN"/>
              </w:rPr>
              <w:t>，</w:t>
            </w:r>
            <w:r>
              <w:rPr>
                <w:rFonts w:hint="eastAsia" w:eastAsia="宋体"/>
                <w:sz w:val="21"/>
                <w:szCs w:val="21"/>
                <w:lang w:val="en-US" w:eastAsia="zh-CN"/>
              </w:rPr>
              <w:t>出口流速</w:t>
            </w:r>
            <w:r>
              <w:rPr>
                <w:rFonts w:hint="eastAsia"/>
                <w:sz w:val="21"/>
                <w:szCs w:val="21"/>
              </w:rPr>
              <w:t>按照</w:t>
            </w:r>
            <w:r>
              <w:rPr>
                <w:rFonts w:hint="eastAsia"/>
                <w:sz w:val="21"/>
                <w:szCs w:val="21"/>
                <w:lang w:val="en-US" w:eastAsia="zh-CN"/>
              </w:rPr>
              <w:t>15</w:t>
            </w:r>
            <w:r>
              <w:rPr>
                <w:rFonts w:hint="eastAsia"/>
                <w:sz w:val="21"/>
                <w:szCs w:val="21"/>
              </w:rPr>
              <w:t>m/</w:t>
            </w:r>
            <w:r>
              <w:rPr>
                <w:sz w:val="21"/>
                <w:szCs w:val="21"/>
              </w:rPr>
              <w:t>s</w:t>
            </w:r>
            <w:r>
              <w:rPr>
                <w:rFonts w:hint="eastAsia"/>
                <w:sz w:val="21"/>
                <w:szCs w:val="21"/>
              </w:rPr>
              <w:t>设计</w:t>
            </w:r>
            <w:r>
              <w:rPr>
                <w:rFonts w:hint="eastAsia"/>
                <w:sz w:val="21"/>
                <w:szCs w:val="21"/>
                <w:lang w:eastAsia="zh-CN"/>
              </w:rPr>
              <w:t>，本项目</w:t>
            </w:r>
            <w:r>
              <w:rPr>
                <w:rFonts w:hint="eastAsia"/>
                <w:sz w:val="21"/>
                <w:szCs w:val="21"/>
                <w:lang w:val="en-US" w:eastAsia="zh-CN"/>
              </w:rPr>
              <w:t>DA002排气筒设计排气筒内径应为0.37m。本项目DA001排气筒内径拟建设为0.6m，DA002排气筒内径拟建设为0.38m，均满足要求</w:t>
            </w:r>
            <w:r>
              <w:rPr>
                <w:rFonts w:hint="eastAsia"/>
                <w:sz w:val="21"/>
                <w:szCs w:val="21"/>
              </w:rPr>
              <w:t>。</w:t>
            </w:r>
          </w:p>
          <w:p w14:paraId="3EF2EF9D">
            <w:pPr>
              <w:spacing w:line="360" w:lineRule="auto"/>
              <w:ind w:firstLine="422" w:firstLineChars="200"/>
              <w:rPr>
                <w:rFonts w:hint="default" w:eastAsia="宋体"/>
                <w:b/>
                <w:bCs/>
                <w:highlight w:val="none"/>
                <w:lang w:val="en-US" w:eastAsia="zh-CN"/>
              </w:rPr>
            </w:pPr>
            <w:r>
              <w:rPr>
                <w:b/>
                <w:bCs/>
                <w:highlight w:val="none"/>
              </w:rPr>
              <w:t>3、污染物排放</w:t>
            </w:r>
            <w:r>
              <w:rPr>
                <w:rFonts w:hint="eastAsia"/>
                <w:b/>
                <w:bCs/>
                <w:highlight w:val="none"/>
                <w:lang w:val="en-US" w:eastAsia="zh-CN"/>
              </w:rPr>
              <w:t>达标情况分析</w:t>
            </w:r>
          </w:p>
          <w:p w14:paraId="233F6FB5">
            <w:pPr>
              <w:pStyle w:val="381"/>
              <w:ind w:firstLine="420"/>
              <w:rPr>
                <w:color w:val="auto"/>
                <w:sz w:val="21"/>
                <w:highlight w:val="none"/>
              </w:rPr>
            </w:pPr>
            <w:r>
              <w:rPr>
                <w:kern w:val="24"/>
                <w:sz w:val="21"/>
                <w:lang w:bidi="ar"/>
              </w:rPr>
              <w:t>该项目所在淄川区属于不达标区域</w:t>
            </w:r>
            <w:r>
              <w:rPr>
                <w:kern w:val="24"/>
                <w:sz w:val="21"/>
                <w:highlight w:val="none"/>
                <w:lang w:bidi="ar"/>
              </w:rPr>
              <w:t>。</w:t>
            </w:r>
            <w:r>
              <w:rPr>
                <w:sz w:val="21"/>
                <w:highlight w:val="none"/>
              </w:rPr>
              <w:t>经AERSCREEN模式</w:t>
            </w:r>
            <w:r>
              <w:rPr>
                <w:sz w:val="21"/>
                <w:highlight w:val="none"/>
                <w:lang w:val="en-US"/>
              </w:rPr>
              <w:t>估算</w:t>
            </w:r>
            <w:r>
              <w:rPr>
                <w:sz w:val="21"/>
                <w:highlight w:val="none"/>
              </w:rPr>
              <w:t>可知，无组织</w:t>
            </w:r>
            <w:r>
              <w:rPr>
                <w:rFonts w:hint="eastAsia"/>
                <w:sz w:val="21"/>
                <w:highlight w:val="none"/>
                <w:lang w:eastAsia="zh-CN"/>
              </w:rPr>
              <w:t>颗粒物排放浓度</w:t>
            </w:r>
            <w:r>
              <w:rPr>
                <w:rFonts w:hint="eastAsia"/>
                <w:sz w:val="21"/>
                <w:szCs w:val="21"/>
                <w:highlight w:val="none"/>
                <w:lang w:eastAsia="zh-CN"/>
              </w:rPr>
              <w:t>满足</w:t>
            </w:r>
            <w:r>
              <w:rPr>
                <w:rFonts w:hint="eastAsia" w:cs="Times New Roman"/>
                <w:sz w:val="21"/>
                <w:szCs w:val="21"/>
                <w:lang w:eastAsia="zh-CN"/>
              </w:rPr>
              <w:t>《大气污染物综合排放标准》（</w:t>
            </w:r>
            <w:r>
              <w:rPr>
                <w:rFonts w:hint="eastAsia" w:cs="Times New Roman"/>
                <w:sz w:val="21"/>
                <w:szCs w:val="21"/>
                <w:lang w:val="en-US" w:eastAsia="zh-CN"/>
              </w:rPr>
              <w:t>GB16297-1996</w:t>
            </w:r>
            <w:r>
              <w:rPr>
                <w:rFonts w:hint="eastAsia" w:cs="Times New Roman"/>
                <w:sz w:val="21"/>
                <w:szCs w:val="21"/>
                <w:lang w:eastAsia="zh-CN"/>
              </w:rPr>
              <w:t>）表</w:t>
            </w:r>
            <w:r>
              <w:rPr>
                <w:rFonts w:hint="eastAsia" w:cs="Times New Roman"/>
                <w:sz w:val="21"/>
                <w:szCs w:val="21"/>
                <w:lang w:val="en-US" w:eastAsia="zh-CN"/>
              </w:rPr>
              <w:t>2厂界监控点浓度限值（颗粒物</w:t>
            </w:r>
            <w:r>
              <w:rPr>
                <w:rFonts w:hint="default" w:ascii="Times New Roman" w:hAnsi="Times New Roman" w:eastAsia="宋体" w:cs="Times New Roman"/>
                <w:color w:val="auto"/>
                <w:sz w:val="21"/>
                <w:szCs w:val="21"/>
                <w:highlight w:val="none"/>
                <w:lang w:val="en-US" w:eastAsia="zh-CN"/>
              </w:rPr>
              <w:t>1.0mg/m</w:t>
            </w:r>
            <w:r>
              <w:rPr>
                <w:rFonts w:hint="default" w:ascii="Times New Roman" w:hAnsi="Times New Roman" w:eastAsia="宋体" w:cs="Times New Roman"/>
                <w:color w:val="auto"/>
                <w:sz w:val="21"/>
                <w:szCs w:val="21"/>
                <w:highlight w:val="none"/>
                <w:vertAlign w:val="superscript"/>
                <w:lang w:val="en-US" w:eastAsia="zh-CN"/>
              </w:rPr>
              <w:t>3</w:t>
            </w:r>
            <w:r>
              <w:rPr>
                <w:rFonts w:hint="eastAsia" w:cs="Times New Roman"/>
                <w:sz w:val="21"/>
                <w:szCs w:val="21"/>
                <w:lang w:val="en-US" w:eastAsia="zh-CN"/>
              </w:rPr>
              <w:t>）；无组织VOCs</w:t>
            </w:r>
            <w:r>
              <w:rPr>
                <w:rFonts w:hint="eastAsia"/>
                <w:sz w:val="21"/>
                <w:szCs w:val="21"/>
                <w:highlight w:val="none"/>
                <w:lang w:eastAsia="zh-CN"/>
              </w:rPr>
              <w:t>排放浓度满足</w:t>
            </w:r>
            <w:r>
              <w:rPr>
                <w:rFonts w:hint="default" w:ascii="Times New Roman" w:hAnsi="Times New Roman" w:cs="Times New Roman"/>
                <w:sz w:val="21"/>
                <w:szCs w:val="21"/>
              </w:rPr>
              <w:t>《挥发性有机物排放标准 第</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部分：</w:t>
            </w:r>
            <w:r>
              <w:rPr>
                <w:rFonts w:hint="default" w:ascii="Times New Roman" w:hAnsi="Times New Roman" w:cs="Times New Roman"/>
                <w:sz w:val="21"/>
                <w:szCs w:val="21"/>
                <w:lang w:eastAsia="zh-CN"/>
              </w:rPr>
              <w:t>表面涂装</w:t>
            </w:r>
            <w:r>
              <w:rPr>
                <w:rFonts w:hint="default" w:ascii="Times New Roman" w:hAnsi="Times New Roman" w:cs="Times New Roman"/>
                <w:sz w:val="21"/>
                <w:szCs w:val="21"/>
              </w:rPr>
              <w:t>行业》（DB37/2801.</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）表</w:t>
            </w:r>
            <w:r>
              <w:rPr>
                <w:rFonts w:hint="eastAsia" w:ascii="Times New Roman" w:hAnsi="Times New Roman" w:cs="Times New Roman"/>
                <w:sz w:val="21"/>
                <w:szCs w:val="21"/>
                <w:lang w:val="en-US" w:eastAsia="zh-CN"/>
              </w:rPr>
              <w:t>3及</w:t>
            </w:r>
            <w:r>
              <w:rPr>
                <w:rFonts w:hint="eastAsia" w:eastAsiaTheme="minorEastAsia"/>
                <w:sz w:val="21"/>
                <w:szCs w:val="21"/>
                <w:lang w:val="en-US" w:eastAsia="zh-CN"/>
              </w:rPr>
              <w:t>《</w:t>
            </w:r>
            <w:r>
              <w:rPr>
                <w:rFonts w:hint="eastAsia" w:ascii="Times New Roman" w:hAnsi="Times New Roman" w:cs="Times New Roman" w:eastAsiaTheme="minorEastAsia"/>
                <w:sz w:val="21"/>
                <w:szCs w:val="21"/>
                <w:lang w:val="en-US" w:eastAsia="zh-CN"/>
              </w:rPr>
              <w:t>挥发性有机物排放标准 第 6 部分：有机化工行业》（</w:t>
            </w:r>
            <w:r>
              <w:rPr>
                <w:rFonts w:hint="default" w:ascii="Times New Roman" w:hAnsi="Times New Roman" w:cs="Times New Roman" w:eastAsiaTheme="minorEastAsia"/>
                <w:sz w:val="21"/>
                <w:szCs w:val="21"/>
                <w:lang w:val="en-US" w:eastAsia="zh-CN"/>
              </w:rPr>
              <w:t>D</w:t>
            </w:r>
            <w:r>
              <w:rPr>
                <w:rFonts w:hint="default" w:ascii="Times New Roman" w:hAnsi="Times New Roman" w:cs="Times New Roman"/>
                <w:sz w:val="21"/>
                <w:szCs w:val="21"/>
              </w:rPr>
              <w:t>B37/2801.</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eastAsia" w:eastAsiaTheme="minorEastAsia"/>
                <w:sz w:val="21"/>
                <w:szCs w:val="21"/>
                <w:lang w:val="en-US" w:eastAsia="zh-CN"/>
              </w:rPr>
              <w:t>）表3中厂界VOCs排放浓度限值，无组织苯乙烯排放满足《恶臭污染物排放标准》（GB14554-1993）中表1中“二级-新改扩建”排放限值要求</w:t>
            </w:r>
            <w:r>
              <w:rPr>
                <w:rFonts w:hint="eastAsia" w:ascii="宋体" w:hAnsi="宋体" w:eastAsia="宋体" w:cs="宋体"/>
                <w:color w:val="000000"/>
                <w:kern w:val="0"/>
                <w:sz w:val="21"/>
                <w:szCs w:val="21"/>
                <w:lang w:val="en-US" w:eastAsia="zh-CN" w:bidi="ar"/>
              </w:rPr>
              <w:t>。</w:t>
            </w:r>
            <w:r>
              <w:rPr>
                <w:color w:val="auto"/>
                <w:sz w:val="21"/>
                <w:szCs w:val="21"/>
              </w:rPr>
              <w:t>厂区内无组织VOCs浓度执行《挥发性有机物无组织排放控制标准》（GB37822-2019）中的控制标准及附录A中厂区内</w:t>
            </w:r>
            <w:r>
              <w:rPr>
                <w:rFonts w:hint="eastAsia"/>
                <w:color w:val="auto"/>
                <w:sz w:val="21"/>
                <w:szCs w:val="21"/>
              </w:rPr>
              <w:t>N</w:t>
            </w:r>
            <w:r>
              <w:rPr>
                <w:color w:val="auto"/>
                <w:sz w:val="21"/>
                <w:szCs w:val="21"/>
              </w:rPr>
              <w:t>MHC排放浓度（监控点处1h平均浓度值6mg/m</w:t>
            </w:r>
            <w:r>
              <w:rPr>
                <w:color w:val="auto"/>
                <w:sz w:val="21"/>
                <w:szCs w:val="21"/>
                <w:vertAlign w:val="superscript"/>
              </w:rPr>
              <w:t>3</w:t>
            </w:r>
            <w:r>
              <w:rPr>
                <w:color w:val="auto"/>
                <w:sz w:val="21"/>
                <w:szCs w:val="21"/>
              </w:rPr>
              <w:t>、监控点处任意一次浓度值20mg/m</w:t>
            </w:r>
            <w:r>
              <w:rPr>
                <w:color w:val="auto"/>
                <w:sz w:val="21"/>
                <w:szCs w:val="21"/>
                <w:vertAlign w:val="superscript"/>
              </w:rPr>
              <w:t>3</w:t>
            </w:r>
            <w:r>
              <w:rPr>
                <w:color w:val="auto"/>
                <w:sz w:val="21"/>
                <w:szCs w:val="21"/>
              </w:rPr>
              <w:t>）</w:t>
            </w:r>
            <w:r>
              <w:rPr>
                <w:rFonts w:hint="eastAsia"/>
                <w:color w:val="auto"/>
                <w:sz w:val="21"/>
                <w:szCs w:val="21"/>
                <w:lang w:eastAsia="zh-CN"/>
              </w:rPr>
              <w:t>。</w:t>
            </w:r>
          </w:p>
          <w:p w14:paraId="7FAA1110">
            <w:pPr>
              <w:adjustRightInd w:val="0"/>
              <w:snapToGrid w:val="0"/>
              <w:spacing w:line="360" w:lineRule="auto"/>
              <w:ind w:firstLine="420" w:firstLineChars="200"/>
              <w:rPr>
                <w:rFonts w:hint="default"/>
                <w:vertAlign w:val="baseline"/>
                <w:lang w:val="en-US"/>
              </w:rPr>
            </w:pPr>
            <w:r>
              <w:t>经上文分析，</w:t>
            </w:r>
            <w:r>
              <w:rPr>
                <w:rFonts w:hint="eastAsia" w:ascii="Times New Roman" w:hAnsi="Times New Roman" w:eastAsia="宋体" w:cs="Times New Roman"/>
                <w:color w:val="auto"/>
                <w:sz w:val="21"/>
                <w:szCs w:val="21"/>
                <w:lang w:val="en-US" w:eastAsia="zh-CN"/>
              </w:rPr>
              <w:t>DA00</w:t>
            </w:r>
            <w:r>
              <w:rPr>
                <w:rFonts w:hint="eastAsia" w:cs="Times New Roman"/>
                <w:color w:val="auto"/>
                <w:sz w:val="21"/>
                <w:szCs w:val="21"/>
                <w:lang w:val="en-US" w:eastAsia="zh-CN"/>
              </w:rPr>
              <w:t>1</w:t>
            </w:r>
            <w:r>
              <w:rPr>
                <w:rFonts w:hint="eastAsia" w:ascii="Times New Roman" w:hAnsi="Times New Roman" w:eastAsia="宋体" w:cs="Times New Roman"/>
                <w:color w:val="auto"/>
                <w:sz w:val="21"/>
                <w:szCs w:val="21"/>
                <w:lang w:val="en-US" w:eastAsia="zh-CN"/>
              </w:rPr>
              <w:t>排气筒出口VOCs排放浓度32.7mg/m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，排放速率0.3269kg/h，苯乙烯排放浓度9.8</w:t>
            </w:r>
            <w:r>
              <w:rPr>
                <w:rFonts w:hint="eastAsia" w:ascii="Times New Roman" w:hAnsi="Times New Roman" w:eastAsia="宋体" w:cs="Times New Roman"/>
                <w:color w:val="auto"/>
                <w:sz w:val="21"/>
                <w:szCs w:val="21"/>
                <w:lang w:val="en-US" w:eastAsia="zh-CN"/>
              </w:rPr>
              <w:t>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，颗粒物排放浓度4.2</w:t>
            </w:r>
            <w:r>
              <w:rPr>
                <w:rFonts w:hint="eastAsia" w:ascii="Times New Roman" w:hAnsi="Times New Roman" w:eastAsia="宋体" w:cs="Times New Roman"/>
                <w:color w:val="auto"/>
                <w:sz w:val="21"/>
                <w:szCs w:val="21"/>
                <w:lang w:val="en-US" w:eastAsia="zh-CN"/>
              </w:rPr>
              <w:t>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，DA002</w:t>
            </w:r>
            <w:r>
              <w:rPr>
                <w:rFonts w:hint="eastAsia" w:ascii="Times New Roman" w:hAnsi="Times New Roman" w:eastAsia="宋体" w:cs="Times New Roman"/>
                <w:color w:val="auto"/>
                <w:sz w:val="21"/>
                <w:szCs w:val="21"/>
                <w:lang w:val="en-US" w:eastAsia="zh-CN"/>
              </w:rPr>
              <w:t>排气筒出口</w:t>
            </w:r>
            <w:r>
              <w:rPr>
                <w:rFonts w:hint="eastAsia" w:ascii="Times New Roman" w:hAnsi="Times New Roman" w:eastAsia="宋体" w:cs="Times New Roman"/>
                <w:color w:val="auto"/>
                <w:sz w:val="21"/>
                <w:szCs w:val="21"/>
                <w:vertAlign w:val="baseline"/>
                <w:lang w:val="en-US" w:eastAsia="zh-CN"/>
              </w:rPr>
              <w:t>颗粒物</w:t>
            </w:r>
            <w:r>
              <w:rPr>
                <w:rFonts w:hint="eastAsia" w:ascii="Times New Roman" w:hAnsi="Times New Roman" w:eastAsia="宋体" w:cs="Times New Roman"/>
                <w:color w:val="auto"/>
                <w:sz w:val="21"/>
                <w:szCs w:val="21"/>
                <w:lang w:val="en-US" w:eastAsia="zh-CN"/>
              </w:rPr>
              <w:t>放浓度9.3mg/m</w:t>
            </w:r>
            <w:r>
              <w:rPr>
                <w:rFonts w:hint="eastAsia" w:ascii="Times New Roman" w:hAnsi="Times New Roman" w:eastAsia="宋体" w:cs="Times New Roman"/>
                <w:color w:val="auto"/>
                <w:sz w:val="21"/>
                <w:szCs w:val="21"/>
                <w:vertAlign w:val="superscript"/>
                <w:lang w:val="en-US" w:eastAsia="zh-CN"/>
              </w:rPr>
              <w:t>3</w:t>
            </w:r>
            <w:r>
              <w:rPr>
                <w:rFonts w:hint="eastAsia" w:ascii="Times New Roman" w:hAnsi="Times New Roman" w:eastAsia="宋体" w:cs="Times New Roman"/>
                <w:color w:val="auto"/>
                <w:sz w:val="21"/>
                <w:szCs w:val="21"/>
                <w:vertAlign w:val="baseline"/>
                <w:lang w:val="en-US" w:eastAsia="zh-CN"/>
              </w:rPr>
              <w:t>，</w:t>
            </w:r>
            <w:r>
              <w:rPr>
                <w:rFonts w:hint="eastAsia" w:cs="Times New Roman"/>
                <w:color w:val="auto"/>
                <w:sz w:val="21"/>
                <w:szCs w:val="21"/>
                <w:lang w:val="en-US" w:eastAsia="zh-CN"/>
              </w:rPr>
              <w:t>VOCs、苯乙烯</w:t>
            </w:r>
            <w:r>
              <w:rPr>
                <w:rFonts w:hint="eastAsia" w:ascii="Times New Roman" w:hAnsi="Times New Roman" w:eastAsia="宋体" w:cs="Times New Roman"/>
                <w:color w:val="auto"/>
                <w:sz w:val="21"/>
                <w:szCs w:val="21"/>
              </w:rPr>
              <w:t>排放满足</w:t>
            </w:r>
            <w:r>
              <w:rPr>
                <w:rFonts w:hint="default" w:ascii="Times New Roman" w:hAnsi="Times New Roman" w:cs="Times New Roman"/>
                <w:sz w:val="21"/>
                <w:szCs w:val="21"/>
              </w:rPr>
              <w:t>《挥发性有机物排放标准 第</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部分：</w:t>
            </w:r>
            <w:r>
              <w:rPr>
                <w:rFonts w:hint="default" w:ascii="Times New Roman" w:hAnsi="Times New Roman" w:cs="Times New Roman"/>
                <w:sz w:val="21"/>
                <w:szCs w:val="21"/>
                <w:lang w:eastAsia="zh-CN"/>
              </w:rPr>
              <w:t>表面涂装</w:t>
            </w:r>
            <w:r>
              <w:rPr>
                <w:rFonts w:hint="default" w:ascii="Times New Roman" w:hAnsi="Times New Roman" w:cs="Times New Roman"/>
                <w:sz w:val="21"/>
                <w:szCs w:val="21"/>
              </w:rPr>
              <w:t>行业》（DB37/2801.</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）表</w:t>
            </w:r>
            <w:r>
              <w:rPr>
                <w:rFonts w:hint="default" w:ascii="Times New Roman" w:hAnsi="Times New Roman" w:cs="Times New Roman"/>
                <w:sz w:val="21"/>
                <w:szCs w:val="21"/>
                <w:lang w:val="en-US" w:eastAsia="zh-CN"/>
              </w:rPr>
              <w:t>2</w:t>
            </w:r>
            <w:r>
              <w:rPr>
                <w:rFonts w:hint="eastAsia" w:ascii="宋体" w:hAnsi="宋体" w:eastAsia="宋体" w:cs="宋体"/>
                <w:color w:val="000000"/>
                <w:kern w:val="0"/>
                <w:sz w:val="21"/>
                <w:szCs w:val="21"/>
                <w:lang w:val="en-US" w:eastAsia="zh-CN" w:bidi="ar"/>
              </w:rPr>
              <w:t>通用设备制造业</w:t>
            </w:r>
            <w:r>
              <w:rPr>
                <w:rFonts w:hint="eastAsia" w:ascii="Times New Roman" w:hAnsi="Times New Roman" w:cs="Times New Roman"/>
                <w:sz w:val="21"/>
                <w:szCs w:val="21"/>
                <w:lang w:val="en-US" w:eastAsia="zh-CN"/>
              </w:rPr>
              <w:t>（C34）</w:t>
            </w:r>
            <w:r>
              <w:rPr>
                <w:rFonts w:hint="default" w:ascii="Times New Roman" w:hAnsi="Times New Roman" w:cs="Times New Roman"/>
                <w:sz w:val="21"/>
                <w:szCs w:val="21"/>
              </w:rPr>
              <w:t>VOCs排放限值</w:t>
            </w:r>
            <w:r>
              <w:rPr>
                <w:rFonts w:hint="eastAsia"/>
                <w:kern w:val="0"/>
                <w:sz w:val="21"/>
                <w:szCs w:val="21"/>
              </w:rPr>
              <w:t>（</w:t>
            </w:r>
            <w:r>
              <w:rPr>
                <w:rFonts w:hint="eastAsia"/>
                <w:kern w:val="0"/>
                <w:sz w:val="21"/>
                <w:szCs w:val="21"/>
                <w:lang w:val="en-US" w:eastAsia="zh-CN"/>
              </w:rPr>
              <w:t>VOCs7</w:t>
            </w:r>
            <w:r>
              <w:rPr>
                <w:kern w:val="0"/>
                <w:sz w:val="21"/>
                <w:szCs w:val="21"/>
              </w:rPr>
              <w:t>0</w:t>
            </w:r>
            <w:r>
              <w:rPr>
                <w:rFonts w:hint="eastAsia"/>
                <w:kern w:val="0"/>
                <w:sz w:val="21"/>
                <w:szCs w:val="21"/>
              </w:rPr>
              <w:t>mg/m</w:t>
            </w:r>
            <w:r>
              <w:rPr>
                <w:kern w:val="0"/>
                <w:sz w:val="21"/>
                <w:szCs w:val="21"/>
                <w:vertAlign w:val="superscript"/>
              </w:rPr>
              <w:t>3</w:t>
            </w:r>
            <w:r>
              <w:rPr>
                <w:rFonts w:hint="eastAsia"/>
                <w:kern w:val="0"/>
                <w:sz w:val="21"/>
                <w:szCs w:val="21"/>
                <w:lang w:eastAsia="zh-CN"/>
              </w:rPr>
              <w:t>、</w:t>
            </w:r>
            <w:r>
              <w:rPr>
                <w:rFonts w:hint="eastAsia"/>
                <w:kern w:val="0"/>
                <w:sz w:val="21"/>
                <w:szCs w:val="21"/>
                <w:lang w:val="en-US" w:eastAsia="zh-CN"/>
              </w:rPr>
              <w:t>2.4kg/h</w:t>
            </w:r>
            <w:r>
              <w:rPr>
                <w:rFonts w:hint="eastAsia"/>
                <w:kern w:val="0"/>
                <w:sz w:val="21"/>
                <w:szCs w:val="21"/>
              </w:rPr>
              <w:t>）</w:t>
            </w:r>
            <w:r>
              <w:rPr>
                <w:rFonts w:hint="eastAsia"/>
                <w:kern w:val="0"/>
                <w:sz w:val="21"/>
                <w:szCs w:val="21"/>
                <w:lang w:eastAsia="zh-CN"/>
              </w:rPr>
              <w:t>；也满足</w:t>
            </w:r>
            <w:r>
              <w:rPr>
                <w:rFonts w:hint="eastAsia" w:eastAsiaTheme="minorEastAsia"/>
                <w:sz w:val="21"/>
                <w:szCs w:val="21"/>
                <w:lang w:val="en-US" w:eastAsia="zh-CN"/>
              </w:rPr>
              <w:t>《</w:t>
            </w:r>
            <w:r>
              <w:rPr>
                <w:rFonts w:hint="eastAsia" w:ascii="Times New Roman" w:hAnsi="Times New Roman" w:cs="Times New Roman" w:eastAsiaTheme="minorEastAsia"/>
                <w:sz w:val="21"/>
                <w:szCs w:val="21"/>
                <w:lang w:val="en-US" w:eastAsia="zh-CN"/>
              </w:rPr>
              <w:t>挥发性有机物排放标准 第 6 部分：有机化工行业》（</w:t>
            </w:r>
            <w:r>
              <w:rPr>
                <w:rFonts w:hint="default" w:ascii="Times New Roman" w:hAnsi="Times New Roman" w:cs="Times New Roman" w:eastAsiaTheme="minorEastAsia"/>
                <w:sz w:val="21"/>
                <w:szCs w:val="21"/>
                <w:lang w:val="en-US" w:eastAsia="zh-CN"/>
              </w:rPr>
              <w:t>D</w:t>
            </w:r>
            <w:r>
              <w:rPr>
                <w:rFonts w:hint="default" w:ascii="Times New Roman" w:hAnsi="Times New Roman" w:cs="Times New Roman"/>
                <w:sz w:val="21"/>
                <w:szCs w:val="21"/>
              </w:rPr>
              <w:t>B37/2801.</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eastAsia" w:eastAsiaTheme="minorEastAsia"/>
                <w:sz w:val="21"/>
                <w:szCs w:val="21"/>
                <w:lang w:val="en-US" w:eastAsia="zh-CN"/>
              </w:rPr>
              <w:t>）表1其他行业VOCs排放限值及表2中苯乙烯排放限值</w:t>
            </w:r>
            <w:r>
              <w:rPr>
                <w:rFonts w:hint="eastAsia"/>
                <w:kern w:val="0"/>
                <w:sz w:val="21"/>
                <w:szCs w:val="21"/>
              </w:rPr>
              <w:t>（</w:t>
            </w:r>
            <w:r>
              <w:rPr>
                <w:rFonts w:hint="eastAsia"/>
                <w:kern w:val="0"/>
                <w:sz w:val="21"/>
                <w:szCs w:val="21"/>
                <w:lang w:val="en-US" w:eastAsia="zh-CN"/>
              </w:rPr>
              <w:t>VOCs6</w:t>
            </w:r>
            <w:r>
              <w:rPr>
                <w:kern w:val="0"/>
                <w:sz w:val="21"/>
                <w:szCs w:val="21"/>
              </w:rPr>
              <w:t>0</w:t>
            </w:r>
            <w:r>
              <w:rPr>
                <w:rFonts w:hint="eastAsia"/>
                <w:kern w:val="0"/>
                <w:sz w:val="21"/>
                <w:szCs w:val="21"/>
              </w:rPr>
              <w:t>mg/m</w:t>
            </w:r>
            <w:r>
              <w:rPr>
                <w:kern w:val="0"/>
                <w:sz w:val="21"/>
                <w:szCs w:val="21"/>
                <w:vertAlign w:val="superscript"/>
              </w:rPr>
              <w:t>3</w:t>
            </w:r>
            <w:r>
              <w:rPr>
                <w:rFonts w:hint="eastAsia"/>
                <w:kern w:val="0"/>
                <w:sz w:val="21"/>
                <w:szCs w:val="21"/>
                <w:lang w:eastAsia="zh-CN"/>
              </w:rPr>
              <w:t>、</w:t>
            </w:r>
            <w:r>
              <w:rPr>
                <w:rFonts w:hint="eastAsia"/>
                <w:kern w:val="0"/>
                <w:sz w:val="21"/>
                <w:szCs w:val="21"/>
                <w:lang w:val="en-US" w:eastAsia="zh-CN"/>
              </w:rPr>
              <w:t>3.0kg/h；苯乙烯20</w:t>
            </w:r>
            <w:r>
              <w:rPr>
                <w:rFonts w:hint="eastAsia"/>
                <w:kern w:val="0"/>
                <w:sz w:val="21"/>
                <w:szCs w:val="21"/>
              </w:rPr>
              <w:t>mg</w:t>
            </w:r>
            <w:r>
              <w:rPr>
                <w:kern w:val="0"/>
                <w:sz w:val="21"/>
                <w:szCs w:val="21"/>
              </w:rPr>
              <w:t>/</w:t>
            </w:r>
            <w:r>
              <w:rPr>
                <w:rFonts w:hint="eastAsia"/>
                <w:kern w:val="0"/>
                <w:sz w:val="21"/>
                <w:szCs w:val="21"/>
              </w:rPr>
              <w:t>m</w:t>
            </w:r>
            <w:r>
              <w:rPr>
                <w:kern w:val="0"/>
                <w:sz w:val="21"/>
                <w:szCs w:val="21"/>
                <w:vertAlign w:val="superscript"/>
              </w:rPr>
              <w:t>3</w:t>
            </w:r>
            <w:r>
              <w:rPr>
                <w:rFonts w:hint="eastAsia"/>
                <w:kern w:val="0"/>
                <w:sz w:val="21"/>
                <w:szCs w:val="21"/>
              </w:rPr>
              <w:t>）</w:t>
            </w:r>
            <w:r>
              <w:rPr>
                <w:rFonts w:hint="eastAsia"/>
                <w:kern w:val="0"/>
                <w:sz w:val="21"/>
                <w:szCs w:val="21"/>
                <w:lang w:eastAsia="zh-CN"/>
              </w:rPr>
              <w:t>，颗粒物排放浓度满足</w:t>
            </w:r>
            <w:r>
              <w:rPr>
                <w:rFonts w:hint="default" w:ascii="Times New Roman" w:hAnsi="Times New Roman" w:cs="Times New Roman"/>
                <w:sz w:val="21"/>
                <w:szCs w:val="21"/>
              </w:rPr>
              <w:t>《区域性大气污染物综合排放标准》（DB37/2376-2019）表1中“重点控制区”标准限值</w:t>
            </w:r>
            <w:r>
              <w:rPr>
                <w:rFonts w:hint="eastAsia" w:cs="Times New Roman"/>
                <w:sz w:val="21"/>
                <w:szCs w:val="21"/>
                <w:lang w:eastAsia="zh-CN"/>
              </w:rPr>
              <w:t>（</w:t>
            </w:r>
            <w:r>
              <w:rPr>
                <w:rFonts w:hint="eastAsia"/>
                <w:kern w:val="0"/>
                <w:sz w:val="21"/>
                <w:szCs w:val="21"/>
                <w:lang w:val="en-US" w:eastAsia="zh-CN"/>
              </w:rPr>
              <w:t>颗粒物1</w:t>
            </w:r>
            <w:r>
              <w:rPr>
                <w:kern w:val="0"/>
                <w:sz w:val="21"/>
                <w:szCs w:val="21"/>
              </w:rPr>
              <w:t>0</w:t>
            </w:r>
            <w:r>
              <w:rPr>
                <w:rFonts w:hint="eastAsia"/>
                <w:kern w:val="0"/>
                <w:sz w:val="21"/>
                <w:szCs w:val="21"/>
              </w:rPr>
              <w:t>mg/m</w:t>
            </w:r>
            <w:r>
              <w:rPr>
                <w:kern w:val="0"/>
                <w:sz w:val="21"/>
                <w:szCs w:val="21"/>
                <w:vertAlign w:val="superscript"/>
              </w:rPr>
              <w:t>3</w:t>
            </w:r>
            <w:r>
              <w:rPr>
                <w:rFonts w:hint="eastAsia" w:cs="Times New Roman"/>
                <w:sz w:val="21"/>
                <w:szCs w:val="21"/>
                <w:lang w:eastAsia="zh-CN"/>
              </w:rPr>
              <w:t>）</w:t>
            </w:r>
            <w:r>
              <w:rPr>
                <w:rFonts w:hint="eastAsia"/>
                <w:kern w:val="0"/>
                <w:sz w:val="21"/>
                <w:szCs w:val="21"/>
                <w:lang w:eastAsia="zh-CN"/>
              </w:rPr>
              <w:t>。</w:t>
            </w:r>
          </w:p>
          <w:p w14:paraId="2DDBBE11">
            <w:pPr>
              <w:adjustRightInd w:val="0"/>
              <w:snapToGrid w:val="0"/>
              <w:spacing w:line="360" w:lineRule="auto"/>
              <w:ind w:firstLine="420" w:firstLineChars="200"/>
              <w:rPr>
                <w:rFonts w:hint="eastAsia" w:eastAsia="宋体"/>
                <w:b/>
                <w:bCs/>
                <w:lang w:eastAsia="zh-CN"/>
              </w:rPr>
            </w:pPr>
            <w:r>
              <w:t>本项目废气有组织废气和无组织废气均能达标排放，污染物最大落地浓度较小，均满足相应的环境质量标准，在落实污染物治理方案后，对大气环境和周围敏感点的影响较小</w:t>
            </w:r>
            <w:r>
              <w:rPr>
                <w:rFonts w:hint="eastAsia"/>
                <w:lang w:eastAsia="zh-CN"/>
              </w:rPr>
              <w:t>。</w:t>
            </w:r>
          </w:p>
          <w:p w14:paraId="5AA9F979">
            <w:pPr>
              <w:adjustRightInd w:val="0"/>
              <w:snapToGrid w:val="0"/>
              <w:spacing w:line="360" w:lineRule="auto"/>
              <w:ind w:firstLine="422" w:firstLineChars="200"/>
              <w:rPr>
                <w:b/>
                <w:bCs/>
              </w:rPr>
            </w:pPr>
            <w:r>
              <w:rPr>
                <w:rFonts w:hint="eastAsia"/>
                <w:b/>
                <w:bCs/>
                <w:lang w:val="en-US" w:eastAsia="zh-CN"/>
              </w:rPr>
              <w:t>4</w:t>
            </w:r>
            <w:r>
              <w:rPr>
                <w:b/>
                <w:bCs/>
              </w:rPr>
              <w:t>、非正常工况分析</w:t>
            </w:r>
          </w:p>
          <w:p w14:paraId="3E5F0F85">
            <w:pPr>
              <w:adjustRightInd w:val="0"/>
              <w:snapToGrid w:val="0"/>
              <w:spacing w:line="360" w:lineRule="auto"/>
              <w:ind w:firstLine="420" w:firstLineChars="200"/>
            </w:pPr>
            <w:r>
              <w:t>非正常工况是指工艺运行中所有生产运行技术参数未达到设计范围的情况。包括生产运行阶段的开停车、检修，工艺设备的运转异常、污染物排放控制措施达不到应有的效率、一般性事故和泄漏，以及发生严重的环境事故等。</w:t>
            </w:r>
          </w:p>
          <w:p w14:paraId="13210FD5">
            <w:pPr>
              <w:adjustRightInd w:val="0"/>
              <w:snapToGrid w:val="0"/>
              <w:spacing w:line="360" w:lineRule="auto"/>
              <w:ind w:firstLine="420" w:firstLineChars="200"/>
            </w:pPr>
            <w:r>
              <w:t>本项目非正常工况主要为废气处理设备运转失灵导致大气污染物直接排放。非正常工况废气排放源强见下表：</w:t>
            </w:r>
          </w:p>
          <w:p w14:paraId="50C9A8F1">
            <w:pPr>
              <w:adjustRightInd w:val="0"/>
              <w:snapToGrid w:val="0"/>
              <w:spacing w:line="360" w:lineRule="auto"/>
              <w:jc w:val="center"/>
              <w:rPr>
                <w:rFonts w:hint="eastAsia" w:eastAsia="宋体"/>
                <w:lang w:eastAsia="zh-CN"/>
              </w:rPr>
            </w:pPr>
            <w:r>
              <w:rPr>
                <w:b/>
              </w:rPr>
              <w:t>表4-</w:t>
            </w:r>
            <w:r>
              <w:rPr>
                <w:rFonts w:hint="eastAsia"/>
                <w:b/>
                <w:lang w:val="en-US" w:eastAsia="zh-CN"/>
              </w:rPr>
              <w:t>14</w:t>
            </w:r>
            <w:r>
              <w:rPr>
                <w:b/>
              </w:rPr>
              <w:t>非正常工况下污染物排放源强</w:t>
            </w:r>
          </w:p>
          <w:tbl>
            <w:tblPr>
              <w:tblStyle w:val="81"/>
              <w:tblW w:w="83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5"/>
              <w:gridCol w:w="1014"/>
              <w:gridCol w:w="1015"/>
              <w:gridCol w:w="1005"/>
              <w:gridCol w:w="1025"/>
              <w:gridCol w:w="823"/>
              <w:gridCol w:w="823"/>
              <w:gridCol w:w="823"/>
              <w:gridCol w:w="823"/>
            </w:tblGrid>
            <w:tr w14:paraId="6018C9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015" w:type="dxa"/>
                  <w:vAlign w:val="center"/>
                </w:tcPr>
                <w:p w14:paraId="2C65F92F">
                  <w:pPr>
                    <w:pStyle w:val="200"/>
                    <w:spacing w:before="24" w:after="24"/>
                    <w:rPr>
                      <w:rFonts w:ascii="Times New Roman"/>
                      <w:b/>
                      <w:bCs/>
                      <w:color w:val="auto"/>
                      <w:sz w:val="18"/>
                      <w:szCs w:val="16"/>
                    </w:rPr>
                  </w:pPr>
                  <w:r>
                    <w:rPr>
                      <w:rFonts w:ascii="Times New Roman"/>
                      <w:b/>
                      <w:bCs/>
                      <w:color w:val="auto"/>
                      <w:sz w:val="18"/>
                      <w:szCs w:val="16"/>
                    </w:rPr>
                    <w:t>污染源</w:t>
                  </w:r>
                </w:p>
              </w:tc>
              <w:tc>
                <w:tcPr>
                  <w:tcW w:w="1014" w:type="dxa"/>
                  <w:vAlign w:val="center"/>
                </w:tcPr>
                <w:p w14:paraId="3C69DF7C">
                  <w:pPr>
                    <w:pStyle w:val="200"/>
                    <w:spacing w:before="24" w:after="24"/>
                    <w:rPr>
                      <w:rFonts w:ascii="Times New Roman"/>
                      <w:b/>
                      <w:bCs/>
                      <w:color w:val="auto"/>
                      <w:sz w:val="18"/>
                      <w:szCs w:val="16"/>
                    </w:rPr>
                  </w:pPr>
                  <w:r>
                    <w:rPr>
                      <w:rFonts w:ascii="Times New Roman"/>
                      <w:b/>
                      <w:bCs/>
                      <w:color w:val="auto"/>
                      <w:sz w:val="18"/>
                      <w:szCs w:val="16"/>
                    </w:rPr>
                    <w:t>非正常排放原因</w:t>
                  </w:r>
                </w:p>
              </w:tc>
              <w:tc>
                <w:tcPr>
                  <w:tcW w:w="1015" w:type="dxa"/>
                  <w:vAlign w:val="center"/>
                </w:tcPr>
                <w:p w14:paraId="6AA2DDB8">
                  <w:pPr>
                    <w:pStyle w:val="200"/>
                    <w:spacing w:before="24" w:after="24"/>
                    <w:rPr>
                      <w:rFonts w:ascii="Times New Roman"/>
                      <w:b/>
                      <w:bCs/>
                      <w:color w:val="auto"/>
                      <w:sz w:val="18"/>
                      <w:szCs w:val="16"/>
                    </w:rPr>
                  </w:pPr>
                  <w:r>
                    <w:rPr>
                      <w:rFonts w:ascii="Times New Roman"/>
                      <w:b/>
                      <w:bCs/>
                      <w:color w:val="auto"/>
                      <w:sz w:val="18"/>
                      <w:szCs w:val="16"/>
                    </w:rPr>
                    <w:t>污染物</w:t>
                  </w:r>
                </w:p>
              </w:tc>
              <w:tc>
                <w:tcPr>
                  <w:tcW w:w="1005" w:type="dxa"/>
                  <w:vAlign w:val="center"/>
                </w:tcPr>
                <w:p w14:paraId="3BDD7FC5">
                  <w:pPr>
                    <w:pStyle w:val="200"/>
                    <w:spacing w:before="24" w:after="24"/>
                    <w:rPr>
                      <w:rFonts w:ascii="Times New Roman"/>
                      <w:b/>
                      <w:bCs/>
                      <w:color w:val="auto"/>
                      <w:sz w:val="18"/>
                      <w:szCs w:val="16"/>
                    </w:rPr>
                  </w:pPr>
                  <w:r>
                    <w:rPr>
                      <w:rFonts w:ascii="Times New Roman"/>
                      <w:b/>
                      <w:bCs/>
                      <w:color w:val="auto"/>
                      <w:sz w:val="18"/>
                      <w:szCs w:val="16"/>
                    </w:rPr>
                    <w:t>排放速率（kg/h）</w:t>
                  </w:r>
                </w:p>
              </w:tc>
              <w:tc>
                <w:tcPr>
                  <w:tcW w:w="1025" w:type="dxa"/>
                  <w:vAlign w:val="center"/>
                </w:tcPr>
                <w:p w14:paraId="075252F3">
                  <w:pPr>
                    <w:pStyle w:val="200"/>
                    <w:spacing w:before="24" w:after="24"/>
                    <w:rPr>
                      <w:rFonts w:ascii="Times New Roman"/>
                      <w:b/>
                      <w:bCs/>
                      <w:color w:val="auto"/>
                      <w:sz w:val="18"/>
                      <w:szCs w:val="16"/>
                    </w:rPr>
                  </w:pPr>
                  <w:r>
                    <w:rPr>
                      <w:rFonts w:ascii="Times New Roman"/>
                      <w:b/>
                      <w:bCs/>
                      <w:color w:val="auto"/>
                      <w:sz w:val="18"/>
                      <w:szCs w:val="16"/>
                    </w:rPr>
                    <w:t>排放浓度（mg/m</w:t>
                  </w:r>
                  <w:r>
                    <w:rPr>
                      <w:rFonts w:ascii="Times New Roman"/>
                      <w:b/>
                      <w:bCs/>
                      <w:color w:val="auto"/>
                      <w:sz w:val="18"/>
                      <w:szCs w:val="16"/>
                      <w:vertAlign w:val="superscript"/>
                    </w:rPr>
                    <w:t>3</w:t>
                  </w:r>
                  <w:r>
                    <w:rPr>
                      <w:rFonts w:ascii="Times New Roman"/>
                      <w:b/>
                      <w:bCs/>
                      <w:color w:val="auto"/>
                      <w:sz w:val="18"/>
                      <w:szCs w:val="16"/>
                    </w:rPr>
                    <w:t>）</w:t>
                  </w:r>
                </w:p>
              </w:tc>
              <w:tc>
                <w:tcPr>
                  <w:tcW w:w="823" w:type="dxa"/>
                  <w:vAlign w:val="center"/>
                </w:tcPr>
                <w:p w14:paraId="246AC90D">
                  <w:pPr>
                    <w:pStyle w:val="200"/>
                    <w:spacing w:before="24" w:after="24"/>
                    <w:rPr>
                      <w:rFonts w:ascii="Times New Roman"/>
                      <w:b/>
                      <w:bCs/>
                      <w:color w:val="auto"/>
                      <w:sz w:val="18"/>
                      <w:szCs w:val="16"/>
                    </w:rPr>
                  </w:pPr>
                  <w:r>
                    <w:rPr>
                      <w:rFonts w:ascii="Times New Roman"/>
                      <w:b/>
                      <w:bCs/>
                      <w:color w:val="auto"/>
                      <w:sz w:val="18"/>
                      <w:szCs w:val="16"/>
                    </w:rPr>
                    <w:t>单次持续时间/h</w:t>
                  </w:r>
                </w:p>
              </w:tc>
              <w:tc>
                <w:tcPr>
                  <w:tcW w:w="823" w:type="dxa"/>
                  <w:vAlign w:val="center"/>
                </w:tcPr>
                <w:p w14:paraId="1F6AD554">
                  <w:pPr>
                    <w:pStyle w:val="200"/>
                    <w:spacing w:before="24" w:after="24"/>
                    <w:rPr>
                      <w:rFonts w:ascii="Times New Roman"/>
                      <w:b/>
                      <w:bCs/>
                      <w:color w:val="auto"/>
                      <w:sz w:val="18"/>
                      <w:szCs w:val="16"/>
                    </w:rPr>
                  </w:pPr>
                  <w:r>
                    <w:rPr>
                      <w:rFonts w:ascii="Times New Roman"/>
                      <w:b/>
                      <w:bCs/>
                      <w:color w:val="auto"/>
                      <w:sz w:val="18"/>
                      <w:szCs w:val="16"/>
                    </w:rPr>
                    <w:t>年发生频次/次</w:t>
                  </w:r>
                </w:p>
              </w:tc>
              <w:tc>
                <w:tcPr>
                  <w:tcW w:w="823" w:type="dxa"/>
                  <w:vAlign w:val="center"/>
                </w:tcPr>
                <w:p w14:paraId="30D7AAA1">
                  <w:pPr>
                    <w:pStyle w:val="200"/>
                    <w:spacing w:before="24" w:after="24"/>
                    <w:rPr>
                      <w:rFonts w:hint="default" w:ascii="Times New Roman" w:eastAsia="宋体"/>
                      <w:b/>
                      <w:bCs/>
                      <w:color w:val="auto"/>
                      <w:sz w:val="18"/>
                      <w:szCs w:val="16"/>
                      <w:lang w:val="en-US" w:eastAsia="zh-CN"/>
                    </w:rPr>
                  </w:pPr>
                  <w:r>
                    <w:rPr>
                      <w:rFonts w:hint="eastAsia" w:ascii="Times New Roman"/>
                      <w:b/>
                      <w:bCs/>
                      <w:color w:val="auto"/>
                      <w:sz w:val="18"/>
                      <w:szCs w:val="16"/>
                      <w:lang w:eastAsia="zh-CN"/>
                    </w:rPr>
                    <w:t>排放量</w:t>
                  </w:r>
                  <w:r>
                    <w:rPr>
                      <w:rFonts w:hint="eastAsia" w:ascii="Times New Roman"/>
                      <w:b/>
                      <w:bCs/>
                      <w:color w:val="auto"/>
                      <w:sz w:val="18"/>
                      <w:szCs w:val="16"/>
                      <w:lang w:val="en-US" w:eastAsia="zh-CN"/>
                    </w:rPr>
                    <w:t>kg</w:t>
                  </w:r>
                </w:p>
              </w:tc>
              <w:tc>
                <w:tcPr>
                  <w:tcW w:w="823" w:type="dxa"/>
                  <w:vAlign w:val="center"/>
                </w:tcPr>
                <w:p w14:paraId="20C2C532">
                  <w:pPr>
                    <w:pStyle w:val="200"/>
                    <w:spacing w:before="24" w:after="24"/>
                    <w:rPr>
                      <w:rFonts w:ascii="Times New Roman"/>
                      <w:b/>
                      <w:bCs/>
                      <w:color w:val="auto"/>
                      <w:sz w:val="18"/>
                      <w:szCs w:val="16"/>
                    </w:rPr>
                  </w:pPr>
                  <w:r>
                    <w:rPr>
                      <w:rFonts w:ascii="Times New Roman"/>
                      <w:b/>
                      <w:bCs/>
                      <w:color w:val="auto"/>
                      <w:sz w:val="18"/>
                      <w:szCs w:val="16"/>
                    </w:rPr>
                    <w:t>应对措施</w:t>
                  </w:r>
                </w:p>
              </w:tc>
            </w:tr>
            <w:tr w14:paraId="0FFF1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Merge w:val="restart"/>
                  <w:vAlign w:val="center"/>
                </w:tcPr>
                <w:p w14:paraId="5275B6F2">
                  <w:pPr>
                    <w:pStyle w:val="200"/>
                    <w:spacing w:before="24" w:after="24"/>
                    <w:rPr>
                      <w:rFonts w:ascii="Times New Roman"/>
                      <w:color w:val="auto"/>
                    </w:rPr>
                  </w:pPr>
                  <w:r>
                    <w:rPr>
                      <w:rFonts w:ascii="Times New Roman"/>
                      <w:color w:val="auto"/>
                      <w:sz w:val="18"/>
                      <w:szCs w:val="16"/>
                    </w:rPr>
                    <w:t>DA00</w:t>
                  </w:r>
                  <w:r>
                    <w:rPr>
                      <w:rFonts w:hint="eastAsia" w:ascii="Times New Roman"/>
                      <w:color w:val="auto"/>
                      <w:sz w:val="18"/>
                      <w:szCs w:val="16"/>
                      <w:lang w:val="en-US" w:eastAsia="zh-CN"/>
                    </w:rPr>
                    <w:t>1</w:t>
                  </w:r>
                  <w:r>
                    <w:rPr>
                      <w:rFonts w:ascii="Times New Roman"/>
                      <w:color w:val="auto"/>
                      <w:sz w:val="18"/>
                      <w:szCs w:val="16"/>
                    </w:rPr>
                    <w:t>排气筒</w:t>
                  </w:r>
                </w:p>
              </w:tc>
              <w:tc>
                <w:tcPr>
                  <w:tcW w:w="1014" w:type="dxa"/>
                  <w:vAlign w:val="center"/>
                </w:tcPr>
                <w:p w14:paraId="58A8698B">
                  <w:pPr>
                    <w:pStyle w:val="200"/>
                    <w:spacing w:before="24" w:after="24"/>
                    <w:rPr>
                      <w:rFonts w:hint="default" w:ascii="Times New Roman" w:eastAsia="宋体"/>
                      <w:color w:val="auto"/>
                      <w:lang w:val="en-US" w:eastAsia="zh-CN"/>
                    </w:rPr>
                  </w:pPr>
                  <w:r>
                    <w:rPr>
                      <w:rFonts w:hint="eastAsia" w:ascii="Times New Roman"/>
                      <w:color w:val="auto"/>
                      <w:sz w:val="18"/>
                      <w:szCs w:val="18"/>
                      <w:lang w:eastAsia="zh-CN"/>
                    </w:rPr>
                    <w:t>迷宫式过滤箱</w:t>
                  </w:r>
                  <w:r>
                    <w:rPr>
                      <w:rFonts w:ascii="Times New Roman"/>
                      <w:color w:val="auto"/>
                      <w:sz w:val="18"/>
                      <w:szCs w:val="16"/>
                    </w:rPr>
                    <w:t>运转异常</w:t>
                  </w:r>
                  <w:r>
                    <w:rPr>
                      <w:rFonts w:hint="eastAsia" w:ascii="Times New Roman"/>
                      <w:color w:val="auto"/>
                      <w:sz w:val="18"/>
                      <w:szCs w:val="16"/>
                      <w:lang w:eastAsia="zh-CN"/>
                    </w:rPr>
                    <w:t>，处理效率为</w:t>
                  </w:r>
                  <w:r>
                    <w:rPr>
                      <w:rFonts w:hint="eastAsia" w:ascii="Times New Roman"/>
                      <w:color w:val="auto"/>
                      <w:sz w:val="18"/>
                      <w:szCs w:val="16"/>
                      <w:lang w:val="en-US" w:eastAsia="zh-CN"/>
                    </w:rPr>
                    <w:t>0</w:t>
                  </w:r>
                </w:p>
              </w:tc>
              <w:tc>
                <w:tcPr>
                  <w:tcW w:w="1015" w:type="dxa"/>
                  <w:vAlign w:val="center"/>
                </w:tcPr>
                <w:p w14:paraId="66FF2689">
                  <w:pPr>
                    <w:jc w:val="center"/>
                    <w:rPr>
                      <w:kern w:val="0"/>
                      <w:sz w:val="18"/>
                      <w:szCs w:val="18"/>
                    </w:rPr>
                  </w:pPr>
                  <w:r>
                    <w:rPr>
                      <w:kern w:val="0"/>
                      <w:sz w:val="18"/>
                      <w:szCs w:val="18"/>
                    </w:rPr>
                    <w:t>颗粒物</w:t>
                  </w:r>
                </w:p>
              </w:tc>
              <w:tc>
                <w:tcPr>
                  <w:tcW w:w="1005" w:type="dxa"/>
                  <w:vAlign w:val="center"/>
                </w:tcPr>
                <w:p w14:paraId="4D1F15D0">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18"/>
                      <w:szCs w:val="18"/>
                      <w:u w:val="none"/>
                      <w:lang w:val="en-US" w:eastAsia="zh-CN" w:bidi="ar-SA"/>
                    </w:rPr>
                  </w:pPr>
                  <w:r>
                    <w:rPr>
                      <w:rFonts w:hint="eastAsia" w:cs="Times New Roman"/>
                      <w:i w:val="0"/>
                      <w:iCs w:val="0"/>
                      <w:color w:val="000000"/>
                      <w:kern w:val="0"/>
                      <w:sz w:val="18"/>
                      <w:szCs w:val="18"/>
                      <w:u w:val="none"/>
                      <w:lang w:val="en-US" w:eastAsia="zh-CN" w:bidi="ar"/>
                    </w:rPr>
                    <w:t>0.4193</w:t>
                  </w:r>
                </w:p>
              </w:tc>
              <w:tc>
                <w:tcPr>
                  <w:tcW w:w="1025" w:type="dxa"/>
                  <w:vAlign w:val="center"/>
                </w:tcPr>
                <w:p w14:paraId="3197396F">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18"/>
                      <w:szCs w:val="18"/>
                      <w:u w:val="none"/>
                      <w:lang w:val="en-US" w:eastAsia="zh-CN" w:bidi="ar-SA"/>
                    </w:rPr>
                  </w:pPr>
                  <w:r>
                    <w:rPr>
                      <w:rFonts w:hint="eastAsia" w:cs="Times New Roman"/>
                      <w:i w:val="0"/>
                      <w:iCs w:val="0"/>
                      <w:color w:val="000000"/>
                      <w:kern w:val="0"/>
                      <w:sz w:val="18"/>
                      <w:szCs w:val="18"/>
                      <w:u w:val="none"/>
                      <w:lang w:val="en-US" w:eastAsia="zh-CN" w:bidi="ar"/>
                    </w:rPr>
                    <w:t>21.0</w:t>
                  </w:r>
                </w:p>
              </w:tc>
              <w:tc>
                <w:tcPr>
                  <w:tcW w:w="823" w:type="dxa"/>
                  <w:vAlign w:val="center"/>
                </w:tcPr>
                <w:p w14:paraId="10E2EF84">
                  <w:pPr>
                    <w:pStyle w:val="200"/>
                    <w:spacing w:before="24" w:after="24"/>
                    <w:rPr>
                      <w:rFonts w:ascii="Times New Roman"/>
                      <w:color w:val="auto"/>
                      <w:sz w:val="18"/>
                      <w:szCs w:val="16"/>
                    </w:rPr>
                  </w:pPr>
                  <w:r>
                    <w:rPr>
                      <w:rFonts w:ascii="Times New Roman"/>
                      <w:color w:val="auto"/>
                      <w:sz w:val="18"/>
                      <w:szCs w:val="16"/>
                    </w:rPr>
                    <w:t>1</w:t>
                  </w:r>
                </w:p>
              </w:tc>
              <w:tc>
                <w:tcPr>
                  <w:tcW w:w="823" w:type="dxa"/>
                  <w:vAlign w:val="center"/>
                </w:tcPr>
                <w:p w14:paraId="752DE5D8">
                  <w:pPr>
                    <w:pStyle w:val="200"/>
                    <w:spacing w:before="24" w:after="24"/>
                    <w:rPr>
                      <w:rFonts w:ascii="Times New Roman"/>
                      <w:color w:val="auto"/>
                      <w:sz w:val="18"/>
                      <w:szCs w:val="16"/>
                    </w:rPr>
                  </w:pPr>
                  <w:r>
                    <w:rPr>
                      <w:rFonts w:ascii="Times New Roman"/>
                      <w:color w:val="auto"/>
                      <w:sz w:val="18"/>
                      <w:szCs w:val="16"/>
                    </w:rPr>
                    <w:t>2</w:t>
                  </w:r>
                </w:p>
              </w:tc>
              <w:tc>
                <w:tcPr>
                  <w:tcW w:w="823" w:type="dxa"/>
                  <w:vAlign w:val="center"/>
                </w:tcPr>
                <w:p w14:paraId="4F88AC93">
                  <w:pPr>
                    <w:keepNext w:val="0"/>
                    <w:keepLines w:val="0"/>
                    <w:widowControl/>
                    <w:suppressLineNumbers w:val="0"/>
                    <w:jc w:val="center"/>
                    <w:textAlignment w:val="center"/>
                    <w:rPr>
                      <w:rFonts w:hint="default" w:ascii="Times New Roman" w:eastAsia="宋体"/>
                      <w:color w:val="auto"/>
                      <w:sz w:val="18"/>
                      <w:szCs w:val="16"/>
                      <w:lang w:val="en-US" w:eastAsia="zh-CN"/>
                    </w:rPr>
                  </w:pPr>
                  <w:r>
                    <w:rPr>
                      <w:rFonts w:hint="eastAsia" w:cs="Times New Roman"/>
                      <w:i w:val="0"/>
                      <w:iCs w:val="0"/>
                      <w:color w:val="000000"/>
                      <w:kern w:val="0"/>
                      <w:sz w:val="18"/>
                      <w:szCs w:val="18"/>
                      <w:u w:val="none"/>
                      <w:lang w:val="en-US" w:eastAsia="zh-CN" w:bidi="ar"/>
                    </w:rPr>
                    <w:t>0.8386</w:t>
                  </w:r>
                </w:p>
              </w:tc>
              <w:tc>
                <w:tcPr>
                  <w:tcW w:w="823" w:type="dxa"/>
                  <w:vMerge w:val="restart"/>
                  <w:vAlign w:val="center"/>
                </w:tcPr>
                <w:p w14:paraId="4FE829F7">
                  <w:pPr>
                    <w:pStyle w:val="200"/>
                    <w:spacing w:before="24" w:after="24"/>
                    <w:rPr>
                      <w:rFonts w:ascii="Times New Roman"/>
                      <w:color w:val="auto"/>
                      <w:sz w:val="18"/>
                      <w:szCs w:val="16"/>
                    </w:rPr>
                  </w:pPr>
                  <w:r>
                    <w:rPr>
                      <w:rFonts w:ascii="Times New Roman"/>
                      <w:color w:val="auto"/>
                      <w:sz w:val="18"/>
                      <w:szCs w:val="16"/>
                    </w:rPr>
                    <w:t>立即启动紧急停车装置</w:t>
                  </w:r>
                </w:p>
              </w:tc>
            </w:tr>
            <w:tr w14:paraId="77AA58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Merge w:val="continue"/>
                  <w:vAlign w:val="center"/>
                </w:tcPr>
                <w:p w14:paraId="3BE8C487">
                  <w:pPr>
                    <w:pStyle w:val="200"/>
                    <w:spacing w:before="24" w:after="24"/>
                    <w:rPr>
                      <w:rFonts w:ascii="Times New Roman"/>
                      <w:color w:val="auto"/>
                      <w:sz w:val="18"/>
                      <w:szCs w:val="16"/>
                    </w:rPr>
                  </w:pPr>
                </w:p>
              </w:tc>
              <w:tc>
                <w:tcPr>
                  <w:tcW w:w="1014" w:type="dxa"/>
                  <w:vMerge w:val="restart"/>
                  <w:vAlign w:val="center"/>
                </w:tcPr>
                <w:p w14:paraId="51108BE6">
                  <w:pPr>
                    <w:pStyle w:val="200"/>
                    <w:spacing w:before="24" w:after="24"/>
                    <w:rPr>
                      <w:rFonts w:hint="default" w:ascii="Times New Roman" w:eastAsia="宋体"/>
                      <w:color w:val="auto"/>
                      <w:sz w:val="18"/>
                      <w:szCs w:val="18"/>
                      <w:lang w:val="en-US" w:eastAsia="zh-CN"/>
                    </w:rPr>
                  </w:pPr>
                  <w:r>
                    <w:rPr>
                      <w:rFonts w:hint="eastAsia" w:ascii="Times New Roman"/>
                      <w:color w:val="auto"/>
                      <w:sz w:val="18"/>
                      <w:szCs w:val="18"/>
                      <w:lang w:val="en-US" w:eastAsia="zh-CN"/>
                    </w:rPr>
                    <w:t>两级活性炭吸附装置中毒，处理效率为0</w:t>
                  </w:r>
                </w:p>
              </w:tc>
              <w:tc>
                <w:tcPr>
                  <w:tcW w:w="1015" w:type="dxa"/>
                  <w:vAlign w:val="center"/>
                </w:tcPr>
                <w:p w14:paraId="167A7077">
                  <w:pPr>
                    <w:jc w:val="center"/>
                    <w:rPr>
                      <w:rFonts w:hint="default" w:eastAsia="宋体"/>
                      <w:kern w:val="0"/>
                      <w:sz w:val="18"/>
                      <w:szCs w:val="18"/>
                      <w:lang w:val="en-US" w:eastAsia="zh-CN"/>
                    </w:rPr>
                  </w:pPr>
                  <w:r>
                    <w:rPr>
                      <w:rFonts w:hint="eastAsia"/>
                      <w:kern w:val="0"/>
                      <w:sz w:val="18"/>
                      <w:szCs w:val="18"/>
                      <w:lang w:val="en-US" w:eastAsia="zh-CN"/>
                    </w:rPr>
                    <w:t>VOCs</w:t>
                  </w:r>
                </w:p>
              </w:tc>
              <w:tc>
                <w:tcPr>
                  <w:tcW w:w="1005" w:type="dxa"/>
                  <w:vAlign w:val="center"/>
                </w:tcPr>
                <w:p w14:paraId="61CD7152">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18"/>
                      <w:szCs w:val="18"/>
                      <w:u w:val="none"/>
                      <w:lang w:val="en-US" w:eastAsia="zh-CN" w:bidi="ar-SA"/>
                    </w:rPr>
                  </w:pPr>
                  <w:r>
                    <w:rPr>
                      <w:rFonts w:hint="eastAsia" w:cs="Times New Roman"/>
                      <w:i w:val="0"/>
                      <w:iCs w:val="0"/>
                      <w:color w:val="000000"/>
                      <w:kern w:val="0"/>
                      <w:sz w:val="18"/>
                      <w:szCs w:val="18"/>
                      <w:u w:val="none"/>
                      <w:lang w:val="en-US" w:eastAsia="zh-CN" w:bidi="ar"/>
                    </w:rPr>
                    <w:t>1.1234</w:t>
                  </w:r>
                </w:p>
              </w:tc>
              <w:tc>
                <w:tcPr>
                  <w:tcW w:w="1025" w:type="dxa"/>
                  <w:vAlign w:val="center"/>
                </w:tcPr>
                <w:p w14:paraId="2388C093">
                  <w:pPr>
                    <w:keepNext w:val="0"/>
                    <w:keepLines w:val="0"/>
                    <w:widowControl/>
                    <w:suppressLineNumbers w:val="0"/>
                    <w:jc w:val="center"/>
                    <w:textAlignment w:val="center"/>
                    <w:rPr>
                      <w:rFonts w:hint="default" w:ascii="Times New Roman" w:hAnsi="Times New Roman" w:eastAsia="宋体" w:cs="Times New Roman"/>
                      <w:i w:val="0"/>
                      <w:iCs w:val="0"/>
                      <w:color w:val="000000"/>
                      <w:kern w:val="2"/>
                      <w:sz w:val="18"/>
                      <w:szCs w:val="18"/>
                      <w:u w:val="none"/>
                      <w:lang w:val="en-US" w:eastAsia="zh-CN" w:bidi="ar-SA"/>
                    </w:rPr>
                  </w:pPr>
                  <w:r>
                    <w:rPr>
                      <w:rFonts w:hint="eastAsia" w:cs="Times New Roman"/>
                      <w:i w:val="0"/>
                      <w:iCs w:val="0"/>
                      <w:color w:val="000000"/>
                      <w:kern w:val="0"/>
                      <w:sz w:val="18"/>
                      <w:szCs w:val="18"/>
                      <w:u w:val="none"/>
                      <w:lang w:val="en-US" w:eastAsia="zh-CN" w:bidi="ar"/>
                    </w:rPr>
                    <w:t>56.2</w:t>
                  </w:r>
                </w:p>
              </w:tc>
              <w:tc>
                <w:tcPr>
                  <w:tcW w:w="823" w:type="dxa"/>
                  <w:vAlign w:val="center"/>
                </w:tcPr>
                <w:p w14:paraId="1D9C5889">
                  <w:pPr>
                    <w:spacing w:before="24" w:after="24"/>
                    <w:jc w:val="center"/>
                    <w:rPr>
                      <w:rFonts w:ascii="Times New Roman"/>
                      <w:color w:val="auto"/>
                      <w:sz w:val="18"/>
                      <w:szCs w:val="16"/>
                    </w:rPr>
                  </w:pPr>
                  <w:r>
                    <w:rPr>
                      <w:rFonts w:ascii="Times New Roman"/>
                      <w:color w:val="auto"/>
                      <w:sz w:val="18"/>
                      <w:szCs w:val="16"/>
                    </w:rPr>
                    <w:t>1</w:t>
                  </w:r>
                </w:p>
              </w:tc>
              <w:tc>
                <w:tcPr>
                  <w:tcW w:w="823" w:type="dxa"/>
                  <w:vAlign w:val="center"/>
                </w:tcPr>
                <w:p w14:paraId="764B9B07">
                  <w:pPr>
                    <w:spacing w:before="24" w:after="24"/>
                    <w:jc w:val="center"/>
                    <w:rPr>
                      <w:rFonts w:ascii="Times New Roman"/>
                      <w:color w:val="auto"/>
                      <w:sz w:val="18"/>
                      <w:szCs w:val="16"/>
                    </w:rPr>
                  </w:pPr>
                  <w:r>
                    <w:rPr>
                      <w:rFonts w:ascii="Times New Roman"/>
                      <w:color w:val="auto"/>
                      <w:sz w:val="18"/>
                      <w:szCs w:val="16"/>
                    </w:rPr>
                    <w:t>2</w:t>
                  </w:r>
                </w:p>
              </w:tc>
              <w:tc>
                <w:tcPr>
                  <w:tcW w:w="823" w:type="dxa"/>
                  <w:vAlign w:val="center"/>
                </w:tcPr>
                <w:p w14:paraId="1E46F47B">
                  <w:pPr>
                    <w:keepNext w:val="0"/>
                    <w:keepLines w:val="0"/>
                    <w:widowControl/>
                    <w:suppressLineNumbers w:val="0"/>
                    <w:jc w:val="center"/>
                    <w:textAlignment w:val="center"/>
                    <w:rPr>
                      <w:rFonts w:hint="default" w:ascii="Times New Roman"/>
                      <w:color w:val="auto"/>
                      <w:sz w:val="18"/>
                      <w:szCs w:val="16"/>
                      <w:lang w:val="en-US" w:eastAsia="zh-CN"/>
                    </w:rPr>
                  </w:pPr>
                  <w:r>
                    <w:rPr>
                      <w:rFonts w:hint="eastAsia" w:cs="Times New Roman"/>
                      <w:i w:val="0"/>
                      <w:iCs w:val="0"/>
                      <w:color w:val="000000"/>
                      <w:kern w:val="0"/>
                      <w:sz w:val="18"/>
                      <w:szCs w:val="18"/>
                      <w:u w:val="none"/>
                      <w:lang w:val="en-US" w:eastAsia="zh-CN" w:bidi="ar"/>
                    </w:rPr>
                    <w:t>2.2468</w:t>
                  </w:r>
                </w:p>
              </w:tc>
              <w:tc>
                <w:tcPr>
                  <w:tcW w:w="823" w:type="dxa"/>
                  <w:vMerge w:val="continue"/>
                  <w:vAlign w:val="center"/>
                </w:tcPr>
                <w:p w14:paraId="232F8C8A">
                  <w:pPr>
                    <w:pStyle w:val="200"/>
                    <w:spacing w:before="24" w:after="24"/>
                    <w:rPr>
                      <w:rFonts w:hint="eastAsia" w:ascii="Times New Roman" w:eastAsia="宋体"/>
                      <w:color w:val="auto"/>
                      <w:sz w:val="18"/>
                      <w:szCs w:val="16"/>
                      <w:lang w:eastAsia="zh-CN"/>
                    </w:rPr>
                  </w:pPr>
                </w:p>
              </w:tc>
            </w:tr>
            <w:tr w14:paraId="44F713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Merge w:val="continue"/>
                  <w:vAlign w:val="center"/>
                </w:tcPr>
                <w:p w14:paraId="6C02713B">
                  <w:pPr>
                    <w:pStyle w:val="200"/>
                    <w:spacing w:before="24" w:after="24"/>
                    <w:rPr>
                      <w:rFonts w:ascii="Times New Roman"/>
                      <w:color w:val="auto"/>
                      <w:sz w:val="18"/>
                      <w:szCs w:val="16"/>
                    </w:rPr>
                  </w:pPr>
                </w:p>
              </w:tc>
              <w:tc>
                <w:tcPr>
                  <w:tcW w:w="1014" w:type="dxa"/>
                  <w:vMerge w:val="continue"/>
                  <w:vAlign w:val="center"/>
                </w:tcPr>
                <w:p w14:paraId="541DE0A2">
                  <w:pPr>
                    <w:pStyle w:val="200"/>
                    <w:spacing w:before="24" w:after="24"/>
                    <w:rPr>
                      <w:rFonts w:hint="eastAsia" w:ascii="Times New Roman"/>
                      <w:color w:val="auto"/>
                      <w:sz w:val="18"/>
                      <w:szCs w:val="18"/>
                      <w:lang w:val="en-US" w:eastAsia="zh-CN"/>
                    </w:rPr>
                  </w:pPr>
                </w:p>
              </w:tc>
              <w:tc>
                <w:tcPr>
                  <w:tcW w:w="1015" w:type="dxa"/>
                  <w:vAlign w:val="center"/>
                </w:tcPr>
                <w:p w14:paraId="2EE6F80F">
                  <w:pPr>
                    <w:jc w:val="center"/>
                    <w:rPr>
                      <w:rFonts w:hint="eastAsia"/>
                      <w:kern w:val="0"/>
                      <w:sz w:val="18"/>
                      <w:szCs w:val="18"/>
                      <w:lang w:val="en-US" w:eastAsia="zh-CN"/>
                    </w:rPr>
                  </w:pPr>
                  <w:r>
                    <w:rPr>
                      <w:rFonts w:hint="eastAsia"/>
                      <w:kern w:val="0"/>
                      <w:sz w:val="18"/>
                      <w:szCs w:val="18"/>
                      <w:lang w:val="en-US" w:eastAsia="zh-CN"/>
                    </w:rPr>
                    <w:t>苯乙烯</w:t>
                  </w:r>
                </w:p>
              </w:tc>
              <w:tc>
                <w:tcPr>
                  <w:tcW w:w="1005" w:type="dxa"/>
                  <w:vAlign w:val="center"/>
                </w:tcPr>
                <w:p w14:paraId="6AB23CB5">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0.3252</w:t>
                  </w:r>
                </w:p>
              </w:tc>
              <w:tc>
                <w:tcPr>
                  <w:tcW w:w="1025" w:type="dxa"/>
                  <w:vAlign w:val="center"/>
                </w:tcPr>
                <w:p w14:paraId="198969C0">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16.3</w:t>
                  </w:r>
                </w:p>
              </w:tc>
              <w:tc>
                <w:tcPr>
                  <w:tcW w:w="823" w:type="dxa"/>
                  <w:vAlign w:val="center"/>
                </w:tcPr>
                <w:p w14:paraId="1A467AE1">
                  <w:pPr>
                    <w:spacing w:before="24" w:after="24"/>
                    <w:jc w:val="center"/>
                    <w:rPr>
                      <w:rFonts w:hint="eastAsia" w:ascii="Times New Roman" w:eastAsia="宋体"/>
                      <w:color w:val="auto"/>
                      <w:sz w:val="18"/>
                      <w:szCs w:val="16"/>
                      <w:lang w:val="en-US" w:eastAsia="zh-CN"/>
                    </w:rPr>
                  </w:pPr>
                  <w:r>
                    <w:rPr>
                      <w:rFonts w:hint="eastAsia"/>
                      <w:color w:val="auto"/>
                      <w:sz w:val="18"/>
                      <w:szCs w:val="16"/>
                      <w:lang w:val="en-US" w:eastAsia="zh-CN"/>
                    </w:rPr>
                    <w:t>1</w:t>
                  </w:r>
                </w:p>
              </w:tc>
              <w:tc>
                <w:tcPr>
                  <w:tcW w:w="823" w:type="dxa"/>
                  <w:vAlign w:val="center"/>
                </w:tcPr>
                <w:p w14:paraId="503283FF">
                  <w:pPr>
                    <w:spacing w:before="24" w:after="24"/>
                    <w:jc w:val="center"/>
                    <w:rPr>
                      <w:rFonts w:hint="eastAsia" w:ascii="Times New Roman" w:eastAsia="宋体"/>
                      <w:color w:val="auto"/>
                      <w:sz w:val="18"/>
                      <w:szCs w:val="16"/>
                      <w:lang w:val="en-US" w:eastAsia="zh-CN"/>
                    </w:rPr>
                  </w:pPr>
                  <w:r>
                    <w:rPr>
                      <w:rFonts w:hint="eastAsia"/>
                      <w:color w:val="auto"/>
                      <w:sz w:val="18"/>
                      <w:szCs w:val="16"/>
                      <w:lang w:val="en-US" w:eastAsia="zh-CN"/>
                    </w:rPr>
                    <w:t>2</w:t>
                  </w:r>
                </w:p>
              </w:tc>
              <w:tc>
                <w:tcPr>
                  <w:tcW w:w="823" w:type="dxa"/>
                  <w:vAlign w:val="center"/>
                </w:tcPr>
                <w:p w14:paraId="0065AA5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0.6504</w:t>
                  </w:r>
                </w:p>
              </w:tc>
              <w:tc>
                <w:tcPr>
                  <w:tcW w:w="823" w:type="dxa"/>
                  <w:vMerge w:val="continue"/>
                  <w:vAlign w:val="center"/>
                </w:tcPr>
                <w:p w14:paraId="29F60DD0">
                  <w:pPr>
                    <w:pStyle w:val="200"/>
                    <w:spacing w:before="24" w:after="24"/>
                    <w:rPr>
                      <w:rFonts w:hint="eastAsia" w:ascii="Times New Roman"/>
                      <w:color w:val="auto"/>
                      <w:sz w:val="18"/>
                      <w:szCs w:val="16"/>
                      <w:lang w:eastAsia="zh-CN"/>
                    </w:rPr>
                  </w:pPr>
                </w:p>
              </w:tc>
            </w:tr>
            <w:tr w14:paraId="7A6401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1015" w:type="dxa"/>
                  <w:vAlign w:val="center"/>
                </w:tcPr>
                <w:p w14:paraId="6A9B140D">
                  <w:pPr>
                    <w:pStyle w:val="200"/>
                    <w:spacing w:before="24" w:after="24"/>
                    <w:rPr>
                      <w:rFonts w:ascii="Times New Roman"/>
                      <w:color w:val="auto"/>
                      <w:sz w:val="18"/>
                      <w:szCs w:val="16"/>
                    </w:rPr>
                  </w:pPr>
                  <w:r>
                    <w:rPr>
                      <w:rFonts w:ascii="Times New Roman"/>
                      <w:color w:val="auto"/>
                      <w:sz w:val="18"/>
                      <w:szCs w:val="16"/>
                    </w:rPr>
                    <w:t>DA00</w:t>
                  </w:r>
                  <w:r>
                    <w:rPr>
                      <w:rFonts w:hint="eastAsia" w:ascii="Times New Roman"/>
                      <w:color w:val="auto"/>
                      <w:sz w:val="18"/>
                      <w:szCs w:val="16"/>
                      <w:lang w:val="en-US" w:eastAsia="zh-CN"/>
                    </w:rPr>
                    <w:t>2</w:t>
                  </w:r>
                  <w:r>
                    <w:rPr>
                      <w:rFonts w:ascii="Times New Roman"/>
                      <w:color w:val="auto"/>
                      <w:sz w:val="18"/>
                      <w:szCs w:val="16"/>
                    </w:rPr>
                    <w:t>排气筒</w:t>
                  </w:r>
                </w:p>
              </w:tc>
              <w:tc>
                <w:tcPr>
                  <w:tcW w:w="1014" w:type="dxa"/>
                  <w:vAlign w:val="center"/>
                </w:tcPr>
                <w:p w14:paraId="171FEF46">
                  <w:pPr>
                    <w:pStyle w:val="200"/>
                    <w:spacing w:before="24" w:after="24"/>
                    <w:rPr>
                      <w:rFonts w:hint="default" w:ascii="Times New Roman"/>
                      <w:color w:val="auto"/>
                      <w:sz w:val="18"/>
                      <w:szCs w:val="18"/>
                      <w:lang w:val="en-US" w:eastAsia="zh-CN"/>
                    </w:rPr>
                  </w:pPr>
                  <w:r>
                    <w:rPr>
                      <w:rFonts w:hint="eastAsia" w:ascii="Times New Roman"/>
                      <w:color w:val="auto"/>
                      <w:sz w:val="18"/>
                      <w:szCs w:val="18"/>
                      <w:lang w:val="en-US" w:eastAsia="zh-CN"/>
                    </w:rPr>
                    <w:t>滤筒除尘器处理效率为0</w:t>
                  </w:r>
                </w:p>
              </w:tc>
              <w:tc>
                <w:tcPr>
                  <w:tcW w:w="1015" w:type="dxa"/>
                  <w:vAlign w:val="center"/>
                </w:tcPr>
                <w:p w14:paraId="5C8AF17F">
                  <w:pPr>
                    <w:jc w:val="center"/>
                    <w:rPr>
                      <w:rFonts w:hint="eastAsia"/>
                      <w:kern w:val="0"/>
                      <w:sz w:val="18"/>
                      <w:szCs w:val="18"/>
                      <w:lang w:val="en-US" w:eastAsia="zh-CN"/>
                    </w:rPr>
                  </w:pPr>
                  <w:r>
                    <w:rPr>
                      <w:kern w:val="0"/>
                      <w:sz w:val="18"/>
                      <w:szCs w:val="18"/>
                    </w:rPr>
                    <w:t>颗粒物</w:t>
                  </w:r>
                </w:p>
              </w:tc>
              <w:tc>
                <w:tcPr>
                  <w:tcW w:w="1005" w:type="dxa"/>
                  <w:vAlign w:val="center"/>
                </w:tcPr>
                <w:p w14:paraId="3D940E0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1.1208</w:t>
                  </w:r>
                </w:p>
              </w:tc>
              <w:tc>
                <w:tcPr>
                  <w:tcW w:w="1025" w:type="dxa"/>
                  <w:vAlign w:val="center"/>
                </w:tcPr>
                <w:p w14:paraId="4EB2D0C8">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186.8</w:t>
                  </w:r>
                </w:p>
              </w:tc>
              <w:tc>
                <w:tcPr>
                  <w:tcW w:w="823" w:type="dxa"/>
                  <w:vAlign w:val="center"/>
                </w:tcPr>
                <w:p w14:paraId="278C1619">
                  <w:pPr>
                    <w:spacing w:before="24" w:after="24"/>
                    <w:jc w:val="center"/>
                    <w:rPr>
                      <w:rFonts w:hint="default"/>
                      <w:color w:val="auto"/>
                      <w:sz w:val="18"/>
                      <w:szCs w:val="16"/>
                      <w:lang w:val="en-US" w:eastAsia="zh-CN"/>
                    </w:rPr>
                  </w:pPr>
                  <w:r>
                    <w:rPr>
                      <w:rFonts w:hint="eastAsia"/>
                      <w:color w:val="auto"/>
                      <w:sz w:val="18"/>
                      <w:szCs w:val="16"/>
                      <w:lang w:val="en-US" w:eastAsia="zh-CN"/>
                    </w:rPr>
                    <w:t>1</w:t>
                  </w:r>
                </w:p>
              </w:tc>
              <w:tc>
                <w:tcPr>
                  <w:tcW w:w="823" w:type="dxa"/>
                  <w:vAlign w:val="center"/>
                </w:tcPr>
                <w:p w14:paraId="69AE167A">
                  <w:pPr>
                    <w:spacing w:before="24" w:after="24"/>
                    <w:jc w:val="center"/>
                    <w:rPr>
                      <w:rFonts w:hint="default"/>
                      <w:color w:val="auto"/>
                      <w:sz w:val="18"/>
                      <w:szCs w:val="16"/>
                      <w:lang w:val="en-US" w:eastAsia="zh-CN"/>
                    </w:rPr>
                  </w:pPr>
                  <w:r>
                    <w:rPr>
                      <w:rFonts w:hint="eastAsia"/>
                      <w:color w:val="auto"/>
                      <w:sz w:val="18"/>
                      <w:szCs w:val="16"/>
                      <w:lang w:val="en-US" w:eastAsia="zh-CN"/>
                    </w:rPr>
                    <w:t>2</w:t>
                  </w:r>
                </w:p>
              </w:tc>
              <w:tc>
                <w:tcPr>
                  <w:tcW w:w="823" w:type="dxa"/>
                  <w:vAlign w:val="center"/>
                </w:tcPr>
                <w:p w14:paraId="09B04391">
                  <w:pPr>
                    <w:keepNext w:val="0"/>
                    <w:keepLines w:val="0"/>
                    <w:widowControl/>
                    <w:suppressLineNumbers w:val="0"/>
                    <w:jc w:val="center"/>
                    <w:textAlignment w:val="center"/>
                    <w:rPr>
                      <w:rFonts w:hint="default" w:cs="Times New Roman"/>
                      <w:i w:val="0"/>
                      <w:iCs w:val="0"/>
                      <w:color w:val="000000"/>
                      <w:kern w:val="0"/>
                      <w:sz w:val="18"/>
                      <w:szCs w:val="18"/>
                      <w:u w:val="none"/>
                      <w:lang w:val="en-US" w:eastAsia="zh-CN" w:bidi="ar"/>
                    </w:rPr>
                  </w:pPr>
                  <w:r>
                    <w:rPr>
                      <w:rFonts w:hint="eastAsia" w:cs="Times New Roman"/>
                      <w:i w:val="0"/>
                      <w:iCs w:val="0"/>
                      <w:color w:val="000000"/>
                      <w:kern w:val="0"/>
                      <w:sz w:val="18"/>
                      <w:szCs w:val="18"/>
                      <w:u w:val="none"/>
                      <w:lang w:val="en-US" w:eastAsia="zh-CN" w:bidi="ar"/>
                    </w:rPr>
                    <w:t>2.2416</w:t>
                  </w:r>
                </w:p>
              </w:tc>
              <w:tc>
                <w:tcPr>
                  <w:tcW w:w="823" w:type="dxa"/>
                  <w:vMerge w:val="continue"/>
                  <w:vAlign w:val="center"/>
                </w:tcPr>
                <w:p w14:paraId="4579DC9F">
                  <w:pPr>
                    <w:pStyle w:val="200"/>
                    <w:spacing w:before="24" w:after="24"/>
                    <w:rPr>
                      <w:rFonts w:hint="eastAsia" w:ascii="Times New Roman"/>
                      <w:color w:val="auto"/>
                      <w:sz w:val="18"/>
                      <w:szCs w:val="16"/>
                      <w:lang w:eastAsia="zh-CN"/>
                    </w:rPr>
                  </w:pPr>
                </w:p>
              </w:tc>
            </w:tr>
          </w:tbl>
          <w:p w14:paraId="0F0CF574">
            <w:pPr>
              <w:pStyle w:val="381"/>
              <w:ind w:firstLine="420"/>
              <w:rPr>
                <w:sz w:val="21"/>
                <w:lang w:val="en-US"/>
              </w:rPr>
            </w:pPr>
            <w:r>
              <w:rPr>
                <w:sz w:val="21"/>
                <w:lang w:val="en-US"/>
              </w:rPr>
              <w:t>由上表可知，非正常工况下，</w:t>
            </w:r>
            <w:r>
              <w:rPr>
                <w:rFonts w:hint="eastAsia"/>
                <w:sz w:val="21"/>
                <w:lang w:val="en-US" w:eastAsia="zh-CN"/>
              </w:rPr>
              <w:t>DA001排气筒出口颗粒物，DA002排气筒出口颗粒物排放浓度均超标，需立即启动紧急停车装置。</w:t>
            </w:r>
            <w:r>
              <w:rPr>
                <w:sz w:val="21"/>
                <w:lang w:val="en-US"/>
              </w:rPr>
              <w:t>该项目非正常工况排放次数极少，排放时间较短，</w:t>
            </w:r>
            <w:r>
              <w:rPr>
                <w:rFonts w:hint="eastAsia"/>
                <w:sz w:val="21"/>
                <w:lang w:val="en-US" w:eastAsia="zh-CN"/>
              </w:rPr>
              <w:t>只要定期对环保设施进行维护保养，基本</w:t>
            </w:r>
            <w:r>
              <w:rPr>
                <w:sz w:val="21"/>
                <w:lang w:val="en-US"/>
              </w:rPr>
              <w:t>不会对周围大气造成长期影响，因此本次评价不做主要分析。</w:t>
            </w:r>
          </w:p>
          <w:p w14:paraId="74D6260E">
            <w:pPr>
              <w:adjustRightInd w:val="0"/>
              <w:snapToGrid w:val="0"/>
              <w:spacing w:line="360" w:lineRule="auto"/>
              <w:ind w:firstLine="420" w:firstLineChars="200"/>
            </w:pPr>
            <w:r>
              <w:t>针对拟建项目的实际情况，非正常工况下采取的控制措施主要为：</w:t>
            </w:r>
            <w:r>
              <w:rPr>
                <w:rFonts w:ascii="Times New Roman" w:hAnsi="Times New Roman" w:eastAsia="宋体" w:cs="Times New Roman"/>
              </w:rPr>
              <w:t>立即启动紧急停车装置</w:t>
            </w:r>
            <w:r>
              <w:rPr>
                <w:rFonts w:hint="eastAsia" w:ascii="Times New Roman" w:hAnsi="Times New Roman" w:eastAsia="宋体" w:cs="Times New Roman"/>
                <w:lang w:eastAsia="zh-CN"/>
              </w:rPr>
              <w:t>。日常</w:t>
            </w:r>
            <w:r>
              <w:t>加强废气处理装置的维护保养，发现风机风量不正常时及时检维修，排除故障</w:t>
            </w:r>
            <w:r>
              <w:rPr>
                <w:rFonts w:hint="eastAsia"/>
              </w:rPr>
              <w:t>。</w:t>
            </w:r>
          </w:p>
          <w:p w14:paraId="78ECDF85">
            <w:pPr>
              <w:pStyle w:val="2"/>
              <w:keepNext w:val="0"/>
              <w:keepLines w:val="0"/>
              <w:pageBreakBefore w:val="0"/>
              <w:widowControl w:val="0"/>
              <w:kinsoku/>
              <w:wordWrap w:val="0"/>
              <w:overflowPunct/>
              <w:topLinePunct w:val="0"/>
              <w:autoSpaceDE/>
              <w:autoSpaceDN/>
              <w:bidi w:val="0"/>
              <w:adjustRightInd/>
              <w:snapToGrid/>
              <w:spacing w:after="0" w:line="360" w:lineRule="auto"/>
              <w:ind w:left="0" w:leftChars="0" w:firstLine="422" w:firstLineChars="200"/>
              <w:textAlignment w:val="auto"/>
              <w:rPr>
                <w:b/>
                <w:bCs/>
                <w:color w:val="auto"/>
                <w:sz w:val="21"/>
                <w:szCs w:val="21"/>
              </w:rPr>
            </w:pPr>
            <w:r>
              <w:rPr>
                <w:rFonts w:hint="eastAsia"/>
                <w:b/>
                <w:bCs/>
                <w:sz w:val="21"/>
                <w:szCs w:val="21"/>
                <w:lang w:val="en-US" w:eastAsia="zh-CN"/>
              </w:rPr>
              <w:t>5</w:t>
            </w:r>
            <w:r>
              <w:rPr>
                <w:rFonts w:hint="eastAsia"/>
                <w:b/>
                <w:bCs/>
                <w:sz w:val="21"/>
                <w:szCs w:val="21"/>
              </w:rPr>
              <w:t>、</w:t>
            </w:r>
            <w:r>
              <w:rPr>
                <w:b/>
                <w:bCs/>
                <w:color w:val="auto"/>
                <w:sz w:val="21"/>
                <w:szCs w:val="21"/>
                <w:lang w:val="zh-CN"/>
              </w:rPr>
              <w:t>监测要求</w:t>
            </w:r>
          </w:p>
          <w:p w14:paraId="65D19514">
            <w:pPr>
              <w:adjustRightInd w:val="0"/>
              <w:snapToGrid w:val="0"/>
              <w:spacing w:line="360" w:lineRule="auto"/>
              <w:ind w:firstLine="420" w:firstLineChars="200"/>
              <w:rPr>
                <w:color w:val="auto"/>
              </w:rPr>
            </w:pPr>
            <w:r>
              <w:rPr>
                <w:color w:val="auto"/>
              </w:rPr>
              <w:t>根据《淄博市污染源自动监控条例》、《关于开展全市纳入排污许可管理企业自动监控设施安装工作的通知》（淄环委办函[2021]45号），本项目</w:t>
            </w:r>
            <w:r>
              <w:rPr>
                <w:rFonts w:hint="eastAsia"/>
                <w:color w:val="auto"/>
                <w:lang w:eastAsia="zh-CN"/>
              </w:rPr>
              <w:t>属于</w:t>
            </w:r>
            <w:r>
              <w:rPr>
                <w:rFonts w:hint="eastAsia"/>
                <w:color w:val="auto"/>
              </w:rPr>
              <w:t>新建项目，全厂总计设置</w:t>
            </w:r>
            <w:r>
              <w:rPr>
                <w:rFonts w:hint="eastAsia"/>
                <w:color w:val="auto"/>
                <w:lang w:val="en-US" w:eastAsia="zh-CN"/>
              </w:rPr>
              <w:t>2</w:t>
            </w:r>
            <w:r>
              <w:rPr>
                <w:rFonts w:hint="eastAsia"/>
                <w:color w:val="auto"/>
              </w:rPr>
              <w:t>根排气筒，排气筒内径</w:t>
            </w:r>
            <w:r>
              <w:rPr>
                <w:rFonts w:hint="eastAsia"/>
                <w:color w:val="auto"/>
                <w:lang w:val="en-US" w:eastAsia="zh-CN"/>
              </w:rPr>
              <w:t>均</w:t>
            </w:r>
            <w:r>
              <w:rPr>
                <w:rFonts w:hint="eastAsia"/>
                <w:color w:val="auto"/>
              </w:rPr>
              <w:t>为</w:t>
            </w:r>
            <w:r>
              <w:rPr>
                <w:rFonts w:hint="eastAsia"/>
                <w:color w:val="auto"/>
                <w:lang w:val="en-US" w:eastAsia="zh-CN"/>
              </w:rPr>
              <w:t>0.38</w:t>
            </w:r>
            <w:r>
              <w:rPr>
                <w:rFonts w:hint="eastAsia"/>
                <w:color w:val="auto"/>
              </w:rPr>
              <w:t>m，排污许可证管理级别为登记管理。根据《淄博市污染源自动监控条例》、《关于开展全市纳入排污许可管理企业自动监控设施安装工作的通知》（淄环委办函[2021]45号），本项目无需进行自动监控设施的安装。</w:t>
            </w:r>
          </w:p>
          <w:p w14:paraId="3E380F97">
            <w:pPr>
              <w:adjustRightInd w:val="0"/>
              <w:snapToGrid w:val="0"/>
              <w:spacing w:line="360" w:lineRule="auto"/>
              <w:ind w:firstLine="420" w:firstLineChars="200"/>
              <w:rPr>
                <w:color w:val="auto"/>
              </w:rPr>
            </w:pPr>
            <w:r>
              <w:rPr>
                <w:color w:val="auto"/>
              </w:rPr>
              <w:t>依据《排污单位自行监测技术指南 总则》（HJ819-2017）</w:t>
            </w:r>
            <w:r>
              <w:rPr>
                <w:rFonts w:hint="eastAsia"/>
                <w:color w:val="auto"/>
              </w:rPr>
              <w:t>、</w:t>
            </w:r>
            <w:r>
              <w:rPr>
                <w:rFonts w:hint="eastAsia"/>
                <w:color w:val="auto"/>
                <w:lang w:eastAsia="zh-CN"/>
              </w:rPr>
              <w:t>《</w:t>
            </w:r>
            <w:r>
              <w:rPr>
                <w:rFonts w:hint="eastAsia"/>
                <w:color w:val="auto"/>
              </w:rPr>
              <w:fldChar w:fldCharType="begin"/>
            </w:r>
            <w:r>
              <w:rPr>
                <w:rFonts w:hint="eastAsia"/>
                <w:color w:val="auto"/>
              </w:rPr>
              <w:instrText xml:space="preserve"> HYPERLINK "https://www.mee.gov.cn/ywgz/fgbz/bz/bzwb/jcffbz/202112/W020211206547863741730.pdf" </w:instrText>
            </w:r>
            <w:r>
              <w:rPr>
                <w:rFonts w:hint="eastAsia"/>
                <w:color w:val="auto"/>
              </w:rPr>
              <w:fldChar w:fldCharType="separate"/>
            </w:r>
            <w:r>
              <w:rPr>
                <w:rFonts w:hint="eastAsia"/>
                <w:color w:val="auto"/>
              </w:rPr>
              <w:t>排污单位自行监测技术指南 橡胶和塑料制品</w:t>
            </w:r>
            <w:r>
              <w:rPr>
                <w:rFonts w:hint="eastAsia"/>
                <w:color w:val="auto"/>
                <w:lang w:eastAsia="zh-CN"/>
              </w:rPr>
              <w:t>》</w:t>
            </w:r>
            <w:r>
              <w:rPr>
                <w:rFonts w:hint="eastAsia"/>
                <w:color w:val="auto"/>
              </w:rPr>
              <w:t>（HJ 1207—2021）</w:t>
            </w:r>
            <w:r>
              <w:rPr>
                <w:rFonts w:hint="eastAsia"/>
                <w:color w:val="auto"/>
              </w:rPr>
              <w:fldChar w:fldCharType="end"/>
            </w:r>
            <w:r>
              <w:rPr>
                <w:rFonts w:hint="eastAsia"/>
                <w:color w:val="auto"/>
                <w:lang w:eastAsia="zh-CN"/>
              </w:rPr>
              <w:t>、</w:t>
            </w:r>
            <w:r>
              <w:rPr>
                <w:rFonts w:hint="default" w:ascii="Times New Roman" w:hAnsi="Times New Roman" w:eastAsia="宋体" w:cs="Times New Roman"/>
                <w:color w:val="auto"/>
              </w:rPr>
              <w:t>《排污单位自行监测技术指南 涂装》（HJ1086-2017）</w:t>
            </w:r>
            <w:r>
              <w:rPr>
                <w:rFonts w:hint="eastAsia"/>
                <w:color w:val="auto"/>
              </w:rPr>
              <w:t>要求，</w:t>
            </w:r>
            <w:r>
              <w:rPr>
                <w:rFonts w:hint="eastAsia"/>
                <w:color w:val="auto"/>
                <w:lang w:eastAsia="zh-CN"/>
              </w:rPr>
              <w:t>本</w:t>
            </w:r>
            <w:r>
              <w:rPr>
                <w:rFonts w:hint="eastAsia"/>
                <w:color w:val="auto"/>
              </w:rPr>
              <w:t>项目</w:t>
            </w:r>
            <w:r>
              <w:rPr>
                <w:color w:val="auto"/>
              </w:rPr>
              <w:t>废气自行监测方案如下：</w:t>
            </w:r>
          </w:p>
          <w:p w14:paraId="622135C0">
            <w:pPr>
              <w:adjustRightInd w:val="0"/>
              <w:snapToGrid w:val="0"/>
              <w:ind w:firstLine="422" w:firstLineChars="200"/>
              <w:jc w:val="center"/>
              <w:rPr>
                <w:rFonts w:hint="eastAsia" w:eastAsia="宋体"/>
                <w:b/>
                <w:bCs/>
                <w:lang w:eastAsia="zh-CN"/>
              </w:rPr>
            </w:pPr>
            <w:r>
              <w:rPr>
                <w:b/>
                <w:bCs/>
              </w:rPr>
              <w:t>表4-</w:t>
            </w:r>
            <w:r>
              <w:rPr>
                <w:rFonts w:hint="eastAsia"/>
                <w:b/>
                <w:bCs/>
                <w:lang w:val="en-US" w:eastAsia="zh-CN"/>
              </w:rPr>
              <w:t>15</w:t>
            </w:r>
            <w:r>
              <w:rPr>
                <w:b/>
                <w:bCs/>
              </w:rPr>
              <w:t>本项目废气自行监测方案</w:t>
            </w:r>
          </w:p>
          <w:tbl>
            <w:tblPr>
              <w:tblStyle w:val="81"/>
              <w:tblW w:w="49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0"/>
              <w:gridCol w:w="1453"/>
              <w:gridCol w:w="1737"/>
              <w:gridCol w:w="1503"/>
              <w:gridCol w:w="2058"/>
              <w:gridCol w:w="7"/>
            </w:tblGrid>
            <w:tr w14:paraId="775FDB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tcMar>
                    <w:top w:w="0" w:type="dxa"/>
                    <w:left w:w="0" w:type="dxa"/>
                    <w:bottom w:w="0" w:type="dxa"/>
                    <w:right w:w="0" w:type="dxa"/>
                  </w:tcMar>
                  <w:vAlign w:val="center"/>
                </w:tcPr>
                <w:p w14:paraId="59D4197A">
                  <w:pPr>
                    <w:contextualSpacing/>
                    <w:jc w:val="center"/>
                    <w:rPr>
                      <w:b/>
                      <w:bCs/>
                      <w:sz w:val="18"/>
                      <w:szCs w:val="18"/>
                    </w:rPr>
                  </w:pPr>
                  <w:r>
                    <w:rPr>
                      <w:b/>
                      <w:bCs/>
                      <w:sz w:val="18"/>
                      <w:szCs w:val="18"/>
                    </w:rPr>
                    <w:t>排放口编号</w:t>
                  </w:r>
                </w:p>
              </w:tc>
              <w:tc>
                <w:tcPr>
                  <w:tcW w:w="869" w:type="pct"/>
                  <w:tcMar>
                    <w:top w:w="0" w:type="dxa"/>
                    <w:left w:w="0" w:type="dxa"/>
                    <w:bottom w:w="0" w:type="dxa"/>
                    <w:right w:w="0" w:type="dxa"/>
                  </w:tcMar>
                  <w:vAlign w:val="center"/>
                </w:tcPr>
                <w:p w14:paraId="2CC0E735">
                  <w:pPr>
                    <w:contextualSpacing/>
                    <w:jc w:val="center"/>
                    <w:rPr>
                      <w:b/>
                      <w:bCs/>
                      <w:sz w:val="18"/>
                      <w:szCs w:val="18"/>
                    </w:rPr>
                  </w:pPr>
                  <w:r>
                    <w:rPr>
                      <w:b/>
                      <w:bCs/>
                      <w:sz w:val="18"/>
                      <w:szCs w:val="18"/>
                    </w:rPr>
                    <w:t>监测点位</w:t>
                  </w:r>
                </w:p>
              </w:tc>
              <w:tc>
                <w:tcPr>
                  <w:tcW w:w="1039" w:type="pct"/>
                  <w:tcMar>
                    <w:top w:w="0" w:type="dxa"/>
                    <w:left w:w="0" w:type="dxa"/>
                    <w:bottom w:w="0" w:type="dxa"/>
                    <w:right w:w="0" w:type="dxa"/>
                  </w:tcMar>
                  <w:vAlign w:val="center"/>
                </w:tcPr>
                <w:p w14:paraId="7383B0FA">
                  <w:pPr>
                    <w:contextualSpacing/>
                    <w:jc w:val="center"/>
                    <w:rPr>
                      <w:b/>
                      <w:bCs/>
                      <w:sz w:val="18"/>
                      <w:szCs w:val="18"/>
                    </w:rPr>
                  </w:pPr>
                  <w:r>
                    <w:rPr>
                      <w:b/>
                      <w:bCs/>
                      <w:sz w:val="18"/>
                      <w:szCs w:val="18"/>
                    </w:rPr>
                    <w:t>监测因子</w:t>
                  </w:r>
                </w:p>
              </w:tc>
              <w:tc>
                <w:tcPr>
                  <w:tcW w:w="899" w:type="pct"/>
                  <w:tcMar>
                    <w:top w:w="0" w:type="dxa"/>
                    <w:left w:w="0" w:type="dxa"/>
                    <w:bottom w:w="0" w:type="dxa"/>
                    <w:right w:w="0" w:type="dxa"/>
                  </w:tcMar>
                  <w:vAlign w:val="center"/>
                </w:tcPr>
                <w:p w14:paraId="3604EC44">
                  <w:pPr>
                    <w:contextualSpacing/>
                    <w:jc w:val="center"/>
                    <w:rPr>
                      <w:b/>
                      <w:bCs/>
                      <w:sz w:val="18"/>
                      <w:szCs w:val="18"/>
                    </w:rPr>
                  </w:pPr>
                  <w:r>
                    <w:rPr>
                      <w:b/>
                      <w:bCs/>
                      <w:sz w:val="18"/>
                      <w:szCs w:val="18"/>
                    </w:rPr>
                    <w:t>监测频次</w:t>
                  </w:r>
                </w:p>
              </w:tc>
              <w:tc>
                <w:tcPr>
                  <w:tcW w:w="1235" w:type="pct"/>
                  <w:gridSpan w:val="2"/>
                  <w:tcMar>
                    <w:top w:w="0" w:type="dxa"/>
                    <w:left w:w="0" w:type="dxa"/>
                    <w:bottom w:w="0" w:type="dxa"/>
                    <w:right w:w="0" w:type="dxa"/>
                  </w:tcMar>
                  <w:vAlign w:val="center"/>
                </w:tcPr>
                <w:p w14:paraId="40826490">
                  <w:pPr>
                    <w:contextualSpacing/>
                    <w:jc w:val="center"/>
                    <w:rPr>
                      <w:b/>
                      <w:bCs/>
                      <w:sz w:val="18"/>
                      <w:szCs w:val="18"/>
                    </w:rPr>
                  </w:pPr>
                  <w:r>
                    <w:rPr>
                      <w:b/>
                      <w:bCs/>
                      <w:sz w:val="18"/>
                      <w:szCs w:val="18"/>
                    </w:rPr>
                    <w:t>标准限值</w:t>
                  </w:r>
                </w:p>
              </w:tc>
            </w:tr>
            <w:tr w14:paraId="68787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vMerge w:val="restart"/>
                  <w:tcMar>
                    <w:top w:w="0" w:type="dxa"/>
                    <w:left w:w="0" w:type="dxa"/>
                    <w:bottom w:w="0" w:type="dxa"/>
                    <w:right w:w="0" w:type="dxa"/>
                  </w:tcMar>
                  <w:vAlign w:val="center"/>
                </w:tcPr>
                <w:p w14:paraId="7057449C">
                  <w:pPr>
                    <w:spacing w:line="240" w:lineRule="exact"/>
                    <w:jc w:val="center"/>
                    <w:rPr>
                      <w:rFonts w:hint="eastAsia" w:eastAsia="宋体"/>
                      <w:sz w:val="18"/>
                      <w:szCs w:val="18"/>
                      <w:lang w:eastAsia="zh-CN"/>
                    </w:rPr>
                  </w:pPr>
                  <w:r>
                    <w:rPr>
                      <w:sz w:val="18"/>
                      <w:szCs w:val="18"/>
                    </w:rPr>
                    <w:t>DA00</w:t>
                  </w:r>
                  <w:r>
                    <w:rPr>
                      <w:rFonts w:hint="eastAsia"/>
                      <w:sz w:val="18"/>
                      <w:szCs w:val="18"/>
                      <w:lang w:val="en-US" w:eastAsia="zh-CN"/>
                    </w:rPr>
                    <w:t>1</w:t>
                  </w:r>
                </w:p>
              </w:tc>
              <w:tc>
                <w:tcPr>
                  <w:tcW w:w="869" w:type="pct"/>
                  <w:vMerge w:val="restart"/>
                  <w:tcMar>
                    <w:top w:w="0" w:type="dxa"/>
                    <w:left w:w="0" w:type="dxa"/>
                    <w:bottom w:w="0" w:type="dxa"/>
                    <w:right w:w="0" w:type="dxa"/>
                  </w:tcMar>
                  <w:vAlign w:val="center"/>
                </w:tcPr>
                <w:p w14:paraId="0DD09FC4">
                  <w:pPr>
                    <w:spacing w:line="240" w:lineRule="exact"/>
                    <w:jc w:val="center"/>
                    <w:rPr>
                      <w:sz w:val="18"/>
                      <w:szCs w:val="18"/>
                    </w:rPr>
                  </w:pPr>
                  <w:r>
                    <w:rPr>
                      <w:sz w:val="18"/>
                      <w:szCs w:val="18"/>
                    </w:rPr>
                    <w:t>出口</w:t>
                  </w:r>
                </w:p>
              </w:tc>
              <w:tc>
                <w:tcPr>
                  <w:tcW w:w="1039" w:type="pct"/>
                  <w:tcMar>
                    <w:top w:w="0" w:type="dxa"/>
                    <w:left w:w="0" w:type="dxa"/>
                    <w:bottom w:w="0" w:type="dxa"/>
                    <w:right w:w="0" w:type="dxa"/>
                  </w:tcMar>
                  <w:vAlign w:val="center"/>
                </w:tcPr>
                <w:p w14:paraId="5852E64A">
                  <w:pPr>
                    <w:spacing w:line="240" w:lineRule="exact"/>
                    <w:jc w:val="center"/>
                    <w:rPr>
                      <w:sz w:val="18"/>
                      <w:szCs w:val="18"/>
                    </w:rPr>
                  </w:pPr>
                  <w:r>
                    <w:rPr>
                      <w:sz w:val="18"/>
                      <w:szCs w:val="18"/>
                    </w:rPr>
                    <w:t>颗粒物</w:t>
                  </w:r>
                </w:p>
              </w:tc>
              <w:tc>
                <w:tcPr>
                  <w:tcW w:w="899" w:type="pct"/>
                  <w:tcMar>
                    <w:top w:w="0" w:type="dxa"/>
                    <w:left w:w="0" w:type="dxa"/>
                    <w:bottom w:w="0" w:type="dxa"/>
                    <w:right w:w="0" w:type="dxa"/>
                  </w:tcMar>
                  <w:vAlign w:val="center"/>
                </w:tcPr>
                <w:p w14:paraId="1AFEA9B8">
                  <w:pPr>
                    <w:spacing w:line="240" w:lineRule="exact"/>
                    <w:jc w:val="center"/>
                    <w:rPr>
                      <w:rFonts w:hint="eastAsia" w:eastAsia="宋体"/>
                      <w:sz w:val="18"/>
                      <w:szCs w:val="18"/>
                      <w:lang w:eastAsia="zh-CN"/>
                    </w:rPr>
                  </w:pPr>
                  <w:r>
                    <w:rPr>
                      <w:sz w:val="18"/>
                      <w:szCs w:val="18"/>
                    </w:rPr>
                    <w:t>1次/年</w:t>
                  </w:r>
                </w:p>
              </w:tc>
              <w:tc>
                <w:tcPr>
                  <w:tcW w:w="1235" w:type="pct"/>
                  <w:gridSpan w:val="2"/>
                  <w:tcMar>
                    <w:top w:w="0" w:type="dxa"/>
                    <w:left w:w="0" w:type="dxa"/>
                    <w:bottom w:w="0" w:type="dxa"/>
                    <w:right w:w="0" w:type="dxa"/>
                  </w:tcMar>
                  <w:vAlign w:val="center"/>
                </w:tcPr>
                <w:p w14:paraId="780F7BF0">
                  <w:pPr>
                    <w:spacing w:line="240" w:lineRule="exact"/>
                    <w:jc w:val="center"/>
                    <w:rPr>
                      <w:sz w:val="18"/>
                      <w:szCs w:val="18"/>
                    </w:rPr>
                  </w:pPr>
                  <w:r>
                    <w:rPr>
                      <w:sz w:val="18"/>
                      <w:szCs w:val="18"/>
                    </w:rPr>
                    <w:t>10 mg/m</w:t>
                  </w:r>
                  <w:r>
                    <w:rPr>
                      <w:sz w:val="18"/>
                      <w:szCs w:val="18"/>
                      <w:vertAlign w:val="superscript"/>
                    </w:rPr>
                    <w:t>3</w:t>
                  </w:r>
                </w:p>
              </w:tc>
            </w:tr>
            <w:tr w14:paraId="012B1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vMerge w:val="continue"/>
                  <w:tcMar>
                    <w:top w:w="0" w:type="dxa"/>
                    <w:left w:w="0" w:type="dxa"/>
                    <w:bottom w:w="0" w:type="dxa"/>
                    <w:right w:w="0" w:type="dxa"/>
                  </w:tcMar>
                  <w:vAlign w:val="center"/>
                </w:tcPr>
                <w:p w14:paraId="3CE9AEA5">
                  <w:pPr>
                    <w:spacing w:line="240" w:lineRule="exact"/>
                    <w:jc w:val="center"/>
                    <w:rPr>
                      <w:sz w:val="18"/>
                      <w:szCs w:val="18"/>
                    </w:rPr>
                  </w:pPr>
                </w:p>
              </w:tc>
              <w:tc>
                <w:tcPr>
                  <w:tcW w:w="869" w:type="pct"/>
                  <w:vMerge w:val="continue"/>
                  <w:tcMar>
                    <w:top w:w="0" w:type="dxa"/>
                    <w:left w:w="0" w:type="dxa"/>
                    <w:bottom w:w="0" w:type="dxa"/>
                    <w:right w:w="0" w:type="dxa"/>
                  </w:tcMar>
                  <w:vAlign w:val="center"/>
                </w:tcPr>
                <w:p w14:paraId="2E869590">
                  <w:pPr>
                    <w:spacing w:line="240" w:lineRule="exact"/>
                    <w:jc w:val="center"/>
                    <w:rPr>
                      <w:sz w:val="18"/>
                      <w:szCs w:val="18"/>
                    </w:rPr>
                  </w:pPr>
                </w:p>
              </w:tc>
              <w:tc>
                <w:tcPr>
                  <w:tcW w:w="1039" w:type="pct"/>
                  <w:tcMar>
                    <w:top w:w="0" w:type="dxa"/>
                    <w:left w:w="0" w:type="dxa"/>
                    <w:bottom w:w="0" w:type="dxa"/>
                    <w:right w:w="0" w:type="dxa"/>
                  </w:tcMar>
                  <w:vAlign w:val="center"/>
                </w:tcPr>
                <w:p w14:paraId="1FC6CCE1">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sz w:val="18"/>
                      <w:szCs w:val="18"/>
                      <w:vertAlign w:val="baseline"/>
                      <w:lang w:val="en-US" w:eastAsia="zh-CN"/>
                    </w:rPr>
                    <w:t>VOCs</w:t>
                  </w:r>
                </w:p>
              </w:tc>
              <w:tc>
                <w:tcPr>
                  <w:tcW w:w="899" w:type="pct"/>
                  <w:tcMar>
                    <w:top w:w="0" w:type="dxa"/>
                    <w:left w:w="0" w:type="dxa"/>
                    <w:bottom w:w="0" w:type="dxa"/>
                    <w:right w:w="0" w:type="dxa"/>
                  </w:tcMar>
                  <w:vAlign w:val="center"/>
                </w:tcPr>
                <w:p w14:paraId="03C1FF38">
                  <w:pPr>
                    <w:spacing w:line="240" w:lineRule="exact"/>
                    <w:jc w:val="center"/>
                    <w:rPr>
                      <w:sz w:val="18"/>
                      <w:szCs w:val="18"/>
                    </w:rPr>
                  </w:pPr>
                  <w:r>
                    <w:rPr>
                      <w:sz w:val="18"/>
                      <w:szCs w:val="18"/>
                    </w:rPr>
                    <w:t>1次/</w:t>
                  </w:r>
                  <w:r>
                    <w:rPr>
                      <w:rFonts w:hint="eastAsia"/>
                      <w:sz w:val="18"/>
                      <w:szCs w:val="18"/>
                      <w:lang w:val="en-US" w:eastAsia="zh-CN"/>
                    </w:rPr>
                    <w:t>半</w:t>
                  </w:r>
                  <w:r>
                    <w:rPr>
                      <w:sz w:val="18"/>
                      <w:szCs w:val="18"/>
                    </w:rPr>
                    <w:t>年</w:t>
                  </w:r>
                </w:p>
              </w:tc>
              <w:tc>
                <w:tcPr>
                  <w:tcW w:w="1235" w:type="pct"/>
                  <w:gridSpan w:val="2"/>
                  <w:tcMar>
                    <w:top w:w="0" w:type="dxa"/>
                    <w:left w:w="0" w:type="dxa"/>
                    <w:bottom w:w="0" w:type="dxa"/>
                    <w:right w:w="0" w:type="dxa"/>
                  </w:tcMar>
                  <w:vAlign w:val="center"/>
                </w:tcPr>
                <w:p w14:paraId="5FB3BF0D">
                  <w:pPr>
                    <w:spacing w:line="240" w:lineRule="exact"/>
                    <w:jc w:val="center"/>
                    <w:rPr>
                      <w:rFonts w:hint="default" w:eastAsia="宋体"/>
                      <w:sz w:val="18"/>
                      <w:szCs w:val="18"/>
                      <w:vertAlign w:val="baseline"/>
                      <w:lang w:val="en-US" w:eastAsia="zh-CN"/>
                    </w:rPr>
                  </w:pPr>
                  <w:r>
                    <w:rPr>
                      <w:rFonts w:hint="eastAsia"/>
                      <w:sz w:val="18"/>
                      <w:szCs w:val="18"/>
                      <w:lang w:val="en-US" w:eastAsia="zh-CN"/>
                    </w:rPr>
                    <w:t>60</w:t>
                  </w:r>
                  <w:r>
                    <w:rPr>
                      <w:sz w:val="18"/>
                      <w:szCs w:val="18"/>
                    </w:rPr>
                    <w:t>mg/m</w:t>
                  </w:r>
                  <w:r>
                    <w:rPr>
                      <w:sz w:val="18"/>
                      <w:szCs w:val="18"/>
                      <w:vertAlign w:val="superscript"/>
                    </w:rPr>
                    <w:t>3</w:t>
                  </w:r>
                  <w:r>
                    <w:rPr>
                      <w:rFonts w:hint="eastAsia"/>
                      <w:sz w:val="18"/>
                      <w:szCs w:val="18"/>
                      <w:vertAlign w:val="baseline"/>
                      <w:lang w:eastAsia="zh-CN"/>
                    </w:rPr>
                    <w:t>；</w:t>
                  </w:r>
                  <w:r>
                    <w:rPr>
                      <w:rFonts w:hint="eastAsia"/>
                      <w:sz w:val="18"/>
                      <w:szCs w:val="18"/>
                      <w:vertAlign w:val="baseline"/>
                      <w:lang w:val="en-US" w:eastAsia="zh-CN"/>
                    </w:rPr>
                    <w:t>3.0kg/h</w:t>
                  </w:r>
                </w:p>
              </w:tc>
            </w:tr>
            <w:tr w14:paraId="5482E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vMerge w:val="continue"/>
                  <w:tcMar>
                    <w:top w:w="0" w:type="dxa"/>
                    <w:left w:w="0" w:type="dxa"/>
                    <w:bottom w:w="0" w:type="dxa"/>
                    <w:right w:w="0" w:type="dxa"/>
                  </w:tcMar>
                  <w:vAlign w:val="center"/>
                </w:tcPr>
                <w:p w14:paraId="46AC52E6">
                  <w:pPr>
                    <w:spacing w:line="240" w:lineRule="exact"/>
                    <w:jc w:val="center"/>
                    <w:rPr>
                      <w:sz w:val="18"/>
                      <w:szCs w:val="18"/>
                    </w:rPr>
                  </w:pPr>
                </w:p>
              </w:tc>
              <w:tc>
                <w:tcPr>
                  <w:tcW w:w="869" w:type="pct"/>
                  <w:vMerge w:val="continue"/>
                  <w:tcMar>
                    <w:top w:w="0" w:type="dxa"/>
                    <w:left w:w="0" w:type="dxa"/>
                    <w:bottom w:w="0" w:type="dxa"/>
                    <w:right w:w="0" w:type="dxa"/>
                  </w:tcMar>
                  <w:vAlign w:val="center"/>
                </w:tcPr>
                <w:p w14:paraId="25DC6EFB">
                  <w:pPr>
                    <w:spacing w:line="240" w:lineRule="exact"/>
                    <w:jc w:val="center"/>
                    <w:rPr>
                      <w:sz w:val="18"/>
                      <w:szCs w:val="18"/>
                    </w:rPr>
                  </w:pPr>
                </w:p>
              </w:tc>
              <w:tc>
                <w:tcPr>
                  <w:tcW w:w="1039" w:type="pct"/>
                  <w:tcMar>
                    <w:top w:w="0" w:type="dxa"/>
                    <w:left w:w="0" w:type="dxa"/>
                    <w:bottom w:w="0" w:type="dxa"/>
                    <w:right w:w="0" w:type="dxa"/>
                  </w:tcMar>
                  <w:vAlign w:val="center"/>
                </w:tcPr>
                <w:p w14:paraId="384E8200">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18"/>
                      <w:szCs w:val="18"/>
                      <w:vertAlign w:val="baseline"/>
                      <w:lang w:val="en-US" w:eastAsia="zh-CN" w:bidi="ar-SA"/>
                    </w:rPr>
                  </w:pPr>
                  <w:r>
                    <w:rPr>
                      <w:rFonts w:hint="eastAsia" w:cs="Times New Roman"/>
                      <w:bCs/>
                      <w:color w:val="000000"/>
                      <w:sz w:val="18"/>
                      <w:szCs w:val="18"/>
                      <w:vertAlign w:val="baseline"/>
                      <w:lang w:val="en-US" w:eastAsia="zh-CN"/>
                    </w:rPr>
                    <w:t>苯乙烯</w:t>
                  </w:r>
                </w:p>
              </w:tc>
              <w:tc>
                <w:tcPr>
                  <w:tcW w:w="899" w:type="pct"/>
                  <w:tcMar>
                    <w:top w:w="0" w:type="dxa"/>
                    <w:left w:w="0" w:type="dxa"/>
                    <w:bottom w:w="0" w:type="dxa"/>
                    <w:right w:w="0" w:type="dxa"/>
                  </w:tcMar>
                  <w:vAlign w:val="center"/>
                </w:tcPr>
                <w:p w14:paraId="547303F2">
                  <w:pPr>
                    <w:spacing w:line="240" w:lineRule="exact"/>
                    <w:jc w:val="center"/>
                    <w:rPr>
                      <w:sz w:val="18"/>
                      <w:szCs w:val="18"/>
                    </w:rPr>
                  </w:pPr>
                  <w:r>
                    <w:rPr>
                      <w:sz w:val="18"/>
                      <w:szCs w:val="18"/>
                    </w:rPr>
                    <w:t>1次/年</w:t>
                  </w:r>
                </w:p>
              </w:tc>
              <w:tc>
                <w:tcPr>
                  <w:tcW w:w="1235" w:type="pct"/>
                  <w:gridSpan w:val="2"/>
                  <w:tcMar>
                    <w:top w:w="0" w:type="dxa"/>
                    <w:left w:w="0" w:type="dxa"/>
                    <w:bottom w:w="0" w:type="dxa"/>
                    <w:right w:w="0" w:type="dxa"/>
                  </w:tcMar>
                  <w:vAlign w:val="center"/>
                </w:tcPr>
                <w:p w14:paraId="3FB2E347">
                  <w:pPr>
                    <w:spacing w:line="240" w:lineRule="exact"/>
                    <w:jc w:val="center"/>
                    <w:rPr>
                      <w:sz w:val="18"/>
                      <w:szCs w:val="18"/>
                    </w:rPr>
                  </w:pPr>
                  <w:r>
                    <w:rPr>
                      <w:rFonts w:hint="eastAsia"/>
                      <w:sz w:val="18"/>
                      <w:szCs w:val="18"/>
                      <w:lang w:val="en-US" w:eastAsia="zh-CN"/>
                    </w:rPr>
                    <w:t>20</w:t>
                  </w:r>
                  <w:r>
                    <w:rPr>
                      <w:sz w:val="18"/>
                      <w:szCs w:val="18"/>
                    </w:rPr>
                    <w:t>mg/m</w:t>
                  </w:r>
                  <w:r>
                    <w:rPr>
                      <w:sz w:val="18"/>
                      <w:szCs w:val="18"/>
                      <w:vertAlign w:val="superscript"/>
                    </w:rPr>
                    <w:t>3</w:t>
                  </w:r>
                </w:p>
              </w:tc>
            </w:tr>
            <w:tr w14:paraId="191BA3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vMerge w:val="continue"/>
                  <w:tcMar>
                    <w:top w:w="0" w:type="dxa"/>
                    <w:left w:w="0" w:type="dxa"/>
                    <w:bottom w:w="0" w:type="dxa"/>
                    <w:right w:w="0" w:type="dxa"/>
                  </w:tcMar>
                  <w:vAlign w:val="center"/>
                </w:tcPr>
                <w:p w14:paraId="21BC77F2">
                  <w:pPr>
                    <w:spacing w:line="240" w:lineRule="exact"/>
                    <w:jc w:val="center"/>
                    <w:rPr>
                      <w:sz w:val="18"/>
                      <w:szCs w:val="18"/>
                    </w:rPr>
                  </w:pPr>
                </w:p>
              </w:tc>
              <w:tc>
                <w:tcPr>
                  <w:tcW w:w="869" w:type="pct"/>
                  <w:vMerge w:val="continue"/>
                  <w:tcMar>
                    <w:top w:w="0" w:type="dxa"/>
                    <w:left w:w="0" w:type="dxa"/>
                    <w:bottom w:w="0" w:type="dxa"/>
                    <w:right w:w="0" w:type="dxa"/>
                  </w:tcMar>
                  <w:vAlign w:val="center"/>
                </w:tcPr>
                <w:p w14:paraId="62BAAA44">
                  <w:pPr>
                    <w:spacing w:line="240" w:lineRule="exact"/>
                    <w:jc w:val="center"/>
                    <w:rPr>
                      <w:sz w:val="18"/>
                      <w:szCs w:val="18"/>
                    </w:rPr>
                  </w:pPr>
                </w:p>
              </w:tc>
              <w:tc>
                <w:tcPr>
                  <w:tcW w:w="1039" w:type="pct"/>
                  <w:tcMar>
                    <w:top w:w="0" w:type="dxa"/>
                    <w:left w:w="0" w:type="dxa"/>
                    <w:bottom w:w="0" w:type="dxa"/>
                    <w:right w:w="0" w:type="dxa"/>
                  </w:tcMar>
                  <w:vAlign w:val="center"/>
                </w:tcPr>
                <w:p w14:paraId="6DB61806">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bCs/>
                      <w:color w:val="000000"/>
                      <w:sz w:val="18"/>
                      <w:szCs w:val="18"/>
                      <w:vertAlign w:val="baseline"/>
                      <w:lang w:val="en-US" w:eastAsia="zh-CN"/>
                    </w:rPr>
                  </w:pPr>
                  <w:r>
                    <w:rPr>
                      <w:rFonts w:hint="eastAsia" w:cs="Times New Roman"/>
                      <w:bCs/>
                      <w:color w:val="000000"/>
                      <w:sz w:val="18"/>
                      <w:szCs w:val="18"/>
                      <w:vertAlign w:val="baseline"/>
                      <w:lang w:val="en-US" w:eastAsia="zh-CN"/>
                    </w:rPr>
                    <w:t>臭气浓度</w:t>
                  </w:r>
                </w:p>
              </w:tc>
              <w:tc>
                <w:tcPr>
                  <w:tcW w:w="899" w:type="pct"/>
                  <w:tcMar>
                    <w:top w:w="0" w:type="dxa"/>
                    <w:left w:w="0" w:type="dxa"/>
                    <w:bottom w:w="0" w:type="dxa"/>
                    <w:right w:w="0" w:type="dxa"/>
                  </w:tcMar>
                  <w:vAlign w:val="center"/>
                </w:tcPr>
                <w:p w14:paraId="010D4208">
                  <w:pPr>
                    <w:spacing w:line="240" w:lineRule="exact"/>
                    <w:jc w:val="center"/>
                    <w:rPr>
                      <w:sz w:val="18"/>
                      <w:szCs w:val="18"/>
                    </w:rPr>
                  </w:pPr>
                  <w:r>
                    <w:rPr>
                      <w:sz w:val="18"/>
                      <w:szCs w:val="18"/>
                    </w:rPr>
                    <w:t>1次/年</w:t>
                  </w:r>
                </w:p>
              </w:tc>
              <w:tc>
                <w:tcPr>
                  <w:tcW w:w="1235" w:type="pct"/>
                  <w:gridSpan w:val="2"/>
                  <w:tcMar>
                    <w:top w:w="0" w:type="dxa"/>
                    <w:left w:w="0" w:type="dxa"/>
                    <w:bottom w:w="0" w:type="dxa"/>
                    <w:right w:w="0" w:type="dxa"/>
                  </w:tcMar>
                  <w:vAlign w:val="center"/>
                </w:tcPr>
                <w:p w14:paraId="552D8735">
                  <w:pPr>
                    <w:spacing w:line="240" w:lineRule="exact"/>
                    <w:jc w:val="center"/>
                    <w:rPr>
                      <w:rFonts w:hint="default"/>
                      <w:sz w:val="18"/>
                      <w:szCs w:val="18"/>
                      <w:lang w:val="en-US" w:eastAsia="zh-CN"/>
                    </w:rPr>
                  </w:pPr>
                  <w:r>
                    <w:rPr>
                      <w:rFonts w:hint="eastAsia"/>
                      <w:sz w:val="18"/>
                      <w:szCs w:val="18"/>
                      <w:lang w:val="en-US" w:eastAsia="zh-CN"/>
                    </w:rPr>
                    <w:t>2000无量纲</w:t>
                  </w:r>
                </w:p>
              </w:tc>
            </w:tr>
            <w:tr w14:paraId="0139A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57" w:type="pct"/>
                  <w:shd w:val="clear" w:color="auto" w:fill="auto"/>
                  <w:tcMar>
                    <w:top w:w="0" w:type="dxa"/>
                    <w:left w:w="0" w:type="dxa"/>
                    <w:bottom w:w="0" w:type="dxa"/>
                    <w:right w:w="0" w:type="dxa"/>
                  </w:tcMar>
                  <w:vAlign w:val="center"/>
                </w:tcPr>
                <w:p w14:paraId="6210F314">
                  <w:pPr>
                    <w:spacing w:line="240" w:lineRule="exact"/>
                    <w:jc w:val="center"/>
                    <w:rPr>
                      <w:rFonts w:hint="eastAsia" w:ascii="Times New Roman" w:hAnsi="Times New Roman" w:eastAsia="宋体" w:cs="Times New Roman"/>
                      <w:kern w:val="2"/>
                      <w:sz w:val="18"/>
                      <w:szCs w:val="18"/>
                      <w:lang w:val="en-US" w:eastAsia="zh-CN" w:bidi="ar-SA"/>
                    </w:rPr>
                  </w:pPr>
                  <w:r>
                    <w:rPr>
                      <w:sz w:val="18"/>
                      <w:szCs w:val="18"/>
                    </w:rPr>
                    <w:t>DA00</w:t>
                  </w:r>
                  <w:r>
                    <w:rPr>
                      <w:rFonts w:hint="eastAsia"/>
                      <w:sz w:val="18"/>
                      <w:szCs w:val="18"/>
                      <w:lang w:val="en-US" w:eastAsia="zh-CN"/>
                    </w:rPr>
                    <w:t>2</w:t>
                  </w:r>
                </w:p>
              </w:tc>
              <w:tc>
                <w:tcPr>
                  <w:tcW w:w="869" w:type="pct"/>
                  <w:shd w:val="clear" w:color="auto" w:fill="auto"/>
                  <w:tcMar>
                    <w:top w:w="0" w:type="dxa"/>
                    <w:left w:w="0" w:type="dxa"/>
                    <w:bottom w:w="0" w:type="dxa"/>
                    <w:right w:w="0" w:type="dxa"/>
                  </w:tcMar>
                  <w:vAlign w:val="center"/>
                </w:tcPr>
                <w:p w14:paraId="6B4DB3FD">
                  <w:pPr>
                    <w:spacing w:line="240" w:lineRule="exact"/>
                    <w:jc w:val="center"/>
                    <w:rPr>
                      <w:rFonts w:ascii="Times New Roman" w:hAnsi="Times New Roman" w:eastAsia="宋体" w:cs="Times New Roman"/>
                      <w:kern w:val="2"/>
                      <w:sz w:val="18"/>
                      <w:szCs w:val="18"/>
                      <w:lang w:val="en-US" w:eastAsia="zh-CN" w:bidi="ar-SA"/>
                    </w:rPr>
                  </w:pPr>
                  <w:r>
                    <w:rPr>
                      <w:sz w:val="18"/>
                      <w:szCs w:val="18"/>
                    </w:rPr>
                    <w:t>出口</w:t>
                  </w:r>
                </w:p>
              </w:tc>
              <w:tc>
                <w:tcPr>
                  <w:tcW w:w="1039" w:type="pct"/>
                  <w:tcMar>
                    <w:top w:w="0" w:type="dxa"/>
                    <w:left w:w="0" w:type="dxa"/>
                    <w:bottom w:w="0" w:type="dxa"/>
                    <w:right w:w="0" w:type="dxa"/>
                  </w:tcMar>
                  <w:vAlign w:val="center"/>
                </w:tcPr>
                <w:p w14:paraId="0B2012D5">
                  <w:pPr>
                    <w:spacing w:line="240" w:lineRule="exact"/>
                    <w:jc w:val="center"/>
                    <w:rPr>
                      <w:rFonts w:hint="eastAsia" w:cs="Times New Roman"/>
                      <w:bCs/>
                      <w:color w:val="000000"/>
                      <w:sz w:val="18"/>
                      <w:szCs w:val="18"/>
                      <w:vertAlign w:val="baseline"/>
                      <w:lang w:val="en-US" w:eastAsia="zh-CN"/>
                    </w:rPr>
                  </w:pPr>
                  <w:r>
                    <w:rPr>
                      <w:sz w:val="18"/>
                      <w:szCs w:val="18"/>
                    </w:rPr>
                    <w:t>颗粒物</w:t>
                  </w:r>
                </w:p>
              </w:tc>
              <w:tc>
                <w:tcPr>
                  <w:tcW w:w="899" w:type="pct"/>
                  <w:tcMar>
                    <w:top w:w="0" w:type="dxa"/>
                    <w:left w:w="0" w:type="dxa"/>
                    <w:bottom w:w="0" w:type="dxa"/>
                    <w:right w:w="0" w:type="dxa"/>
                  </w:tcMar>
                  <w:vAlign w:val="center"/>
                </w:tcPr>
                <w:p w14:paraId="00EAA38A">
                  <w:pPr>
                    <w:spacing w:line="240" w:lineRule="exact"/>
                    <w:jc w:val="center"/>
                    <w:rPr>
                      <w:sz w:val="18"/>
                      <w:szCs w:val="18"/>
                    </w:rPr>
                  </w:pPr>
                  <w:r>
                    <w:rPr>
                      <w:sz w:val="18"/>
                      <w:szCs w:val="18"/>
                    </w:rPr>
                    <w:t>1次/年</w:t>
                  </w:r>
                </w:p>
              </w:tc>
              <w:tc>
                <w:tcPr>
                  <w:tcW w:w="1235" w:type="pct"/>
                  <w:gridSpan w:val="2"/>
                  <w:tcMar>
                    <w:top w:w="0" w:type="dxa"/>
                    <w:left w:w="0" w:type="dxa"/>
                    <w:bottom w:w="0" w:type="dxa"/>
                    <w:right w:w="0" w:type="dxa"/>
                  </w:tcMar>
                  <w:vAlign w:val="center"/>
                </w:tcPr>
                <w:p w14:paraId="388A26ED">
                  <w:pPr>
                    <w:spacing w:line="240" w:lineRule="exact"/>
                    <w:jc w:val="center"/>
                    <w:rPr>
                      <w:rFonts w:hint="eastAsia"/>
                      <w:sz w:val="18"/>
                      <w:szCs w:val="18"/>
                      <w:lang w:val="en-US" w:eastAsia="zh-CN"/>
                    </w:rPr>
                  </w:pPr>
                  <w:r>
                    <w:rPr>
                      <w:sz w:val="18"/>
                      <w:szCs w:val="18"/>
                    </w:rPr>
                    <w:t>10 mg/m</w:t>
                  </w:r>
                  <w:r>
                    <w:rPr>
                      <w:sz w:val="18"/>
                      <w:szCs w:val="18"/>
                      <w:vertAlign w:val="superscript"/>
                    </w:rPr>
                    <w:t>3</w:t>
                  </w:r>
                </w:p>
              </w:tc>
            </w:tr>
            <w:tr w14:paraId="42FF41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atLeast"/>
                <w:jc w:val="center"/>
              </w:trPr>
              <w:tc>
                <w:tcPr>
                  <w:tcW w:w="957" w:type="pct"/>
                  <w:vMerge w:val="restart"/>
                  <w:tcBorders>
                    <w:left w:val="single" w:color="auto" w:sz="2" w:space="0"/>
                  </w:tcBorders>
                  <w:vAlign w:val="center"/>
                </w:tcPr>
                <w:p w14:paraId="2D523315">
                  <w:pPr>
                    <w:spacing w:line="240" w:lineRule="exact"/>
                    <w:jc w:val="center"/>
                    <w:rPr>
                      <w:sz w:val="18"/>
                      <w:szCs w:val="18"/>
                    </w:rPr>
                  </w:pPr>
                  <w:r>
                    <w:rPr>
                      <w:sz w:val="18"/>
                      <w:szCs w:val="18"/>
                    </w:rPr>
                    <w:t>无组织</w:t>
                  </w:r>
                </w:p>
              </w:tc>
              <w:tc>
                <w:tcPr>
                  <w:tcW w:w="869" w:type="pct"/>
                  <w:vMerge w:val="restart"/>
                  <w:tcMar>
                    <w:top w:w="0" w:type="dxa"/>
                    <w:left w:w="0" w:type="dxa"/>
                    <w:bottom w:w="0" w:type="dxa"/>
                    <w:right w:w="0" w:type="dxa"/>
                  </w:tcMar>
                  <w:vAlign w:val="center"/>
                </w:tcPr>
                <w:p w14:paraId="3DE3E14A">
                  <w:pPr>
                    <w:spacing w:line="240" w:lineRule="exact"/>
                    <w:jc w:val="center"/>
                    <w:rPr>
                      <w:sz w:val="18"/>
                      <w:szCs w:val="18"/>
                    </w:rPr>
                  </w:pPr>
                  <w:r>
                    <w:rPr>
                      <w:sz w:val="18"/>
                      <w:szCs w:val="18"/>
                    </w:rPr>
                    <w:t>厂界外</w:t>
                  </w:r>
                </w:p>
              </w:tc>
              <w:tc>
                <w:tcPr>
                  <w:tcW w:w="1039" w:type="pct"/>
                  <w:tcMar>
                    <w:top w:w="0" w:type="dxa"/>
                    <w:left w:w="0" w:type="dxa"/>
                    <w:bottom w:w="0" w:type="dxa"/>
                    <w:right w:w="0" w:type="dxa"/>
                  </w:tcMar>
                  <w:vAlign w:val="center"/>
                </w:tcPr>
                <w:p w14:paraId="0C91D7DB">
                  <w:pPr>
                    <w:spacing w:line="240" w:lineRule="exact"/>
                    <w:jc w:val="center"/>
                    <w:rPr>
                      <w:rFonts w:hint="default" w:eastAsia="宋体"/>
                      <w:kern w:val="0"/>
                      <w:sz w:val="18"/>
                      <w:szCs w:val="18"/>
                      <w:lang w:val="en-US" w:eastAsia="zh-CN"/>
                    </w:rPr>
                  </w:pPr>
                  <w:r>
                    <w:rPr>
                      <w:sz w:val="18"/>
                      <w:szCs w:val="18"/>
                    </w:rPr>
                    <w:t>颗粒物</w:t>
                  </w:r>
                </w:p>
              </w:tc>
              <w:tc>
                <w:tcPr>
                  <w:tcW w:w="899" w:type="pct"/>
                  <w:tcMar>
                    <w:top w:w="0" w:type="dxa"/>
                    <w:left w:w="0" w:type="dxa"/>
                    <w:bottom w:w="0" w:type="dxa"/>
                    <w:right w:w="0" w:type="dxa"/>
                  </w:tcMar>
                  <w:vAlign w:val="center"/>
                </w:tcPr>
                <w:p w14:paraId="085354BB">
                  <w:pPr>
                    <w:widowControl/>
                    <w:jc w:val="center"/>
                    <w:textAlignment w:val="center"/>
                    <w:rPr>
                      <w:kern w:val="0"/>
                      <w:sz w:val="18"/>
                      <w:szCs w:val="18"/>
                      <w:lang w:bidi="ar"/>
                    </w:rPr>
                  </w:pPr>
                  <w:r>
                    <w:rPr>
                      <w:sz w:val="18"/>
                      <w:szCs w:val="18"/>
                    </w:rPr>
                    <w:t>1次/</w:t>
                  </w:r>
                  <w:r>
                    <w:rPr>
                      <w:rFonts w:hint="eastAsia"/>
                      <w:sz w:val="18"/>
                      <w:szCs w:val="18"/>
                      <w:lang w:eastAsia="zh-CN"/>
                    </w:rPr>
                    <w:t>半</w:t>
                  </w:r>
                  <w:r>
                    <w:rPr>
                      <w:sz w:val="18"/>
                      <w:szCs w:val="18"/>
                    </w:rPr>
                    <w:t>年</w:t>
                  </w:r>
                </w:p>
              </w:tc>
              <w:tc>
                <w:tcPr>
                  <w:tcW w:w="1231" w:type="pct"/>
                  <w:tcMar>
                    <w:top w:w="0" w:type="dxa"/>
                    <w:left w:w="0" w:type="dxa"/>
                    <w:bottom w:w="0" w:type="dxa"/>
                    <w:right w:w="0" w:type="dxa"/>
                  </w:tcMar>
                  <w:vAlign w:val="center"/>
                </w:tcPr>
                <w:p w14:paraId="626B4B99">
                  <w:pPr>
                    <w:jc w:val="center"/>
                    <w:rPr>
                      <w:sz w:val="18"/>
                      <w:szCs w:val="18"/>
                    </w:rPr>
                  </w:pPr>
                  <w:r>
                    <w:rPr>
                      <w:rFonts w:hint="eastAsia"/>
                      <w:sz w:val="18"/>
                      <w:szCs w:val="18"/>
                      <w:lang w:val="en-US" w:eastAsia="zh-CN"/>
                    </w:rPr>
                    <w:t>1.0</w:t>
                  </w:r>
                  <w:r>
                    <w:rPr>
                      <w:sz w:val="18"/>
                      <w:szCs w:val="18"/>
                    </w:rPr>
                    <w:t xml:space="preserve"> mg/m</w:t>
                  </w:r>
                  <w:r>
                    <w:rPr>
                      <w:sz w:val="18"/>
                      <w:szCs w:val="18"/>
                      <w:vertAlign w:val="superscript"/>
                    </w:rPr>
                    <w:t>3</w:t>
                  </w:r>
                </w:p>
              </w:tc>
            </w:tr>
            <w:tr w14:paraId="46BD5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atLeast"/>
                <w:jc w:val="center"/>
              </w:trPr>
              <w:tc>
                <w:tcPr>
                  <w:tcW w:w="957" w:type="pct"/>
                  <w:vMerge w:val="continue"/>
                  <w:tcBorders>
                    <w:left w:val="single" w:color="auto" w:sz="2" w:space="0"/>
                  </w:tcBorders>
                  <w:vAlign w:val="center"/>
                </w:tcPr>
                <w:p w14:paraId="74A6BF31">
                  <w:pPr>
                    <w:spacing w:line="240" w:lineRule="exact"/>
                    <w:jc w:val="center"/>
                    <w:rPr>
                      <w:sz w:val="18"/>
                      <w:szCs w:val="18"/>
                    </w:rPr>
                  </w:pPr>
                </w:p>
              </w:tc>
              <w:tc>
                <w:tcPr>
                  <w:tcW w:w="869" w:type="pct"/>
                  <w:vMerge w:val="continue"/>
                  <w:tcMar>
                    <w:top w:w="0" w:type="dxa"/>
                    <w:left w:w="0" w:type="dxa"/>
                    <w:bottom w:w="0" w:type="dxa"/>
                    <w:right w:w="0" w:type="dxa"/>
                  </w:tcMar>
                  <w:vAlign w:val="center"/>
                </w:tcPr>
                <w:p w14:paraId="10E5AF9C">
                  <w:pPr>
                    <w:spacing w:line="240" w:lineRule="exact"/>
                    <w:jc w:val="center"/>
                    <w:rPr>
                      <w:sz w:val="18"/>
                      <w:szCs w:val="18"/>
                    </w:rPr>
                  </w:pPr>
                </w:p>
              </w:tc>
              <w:tc>
                <w:tcPr>
                  <w:tcW w:w="1039" w:type="pct"/>
                  <w:tcMar>
                    <w:top w:w="0" w:type="dxa"/>
                    <w:left w:w="0" w:type="dxa"/>
                    <w:bottom w:w="0" w:type="dxa"/>
                    <w:right w:w="0" w:type="dxa"/>
                  </w:tcMar>
                  <w:vAlign w:val="center"/>
                </w:tcPr>
                <w:p w14:paraId="05408465">
                  <w:pPr>
                    <w:spacing w:line="240" w:lineRule="exact"/>
                    <w:jc w:val="center"/>
                    <w:rPr>
                      <w:sz w:val="18"/>
                      <w:szCs w:val="18"/>
                    </w:rPr>
                  </w:pPr>
                  <w:r>
                    <w:rPr>
                      <w:rFonts w:hint="eastAsia" w:cs="Times New Roman"/>
                      <w:bCs/>
                      <w:color w:val="000000"/>
                      <w:sz w:val="18"/>
                      <w:szCs w:val="18"/>
                      <w:vertAlign w:val="baseline"/>
                      <w:lang w:val="en-US" w:eastAsia="zh-CN"/>
                    </w:rPr>
                    <w:t>苯乙烯</w:t>
                  </w:r>
                </w:p>
              </w:tc>
              <w:tc>
                <w:tcPr>
                  <w:tcW w:w="899" w:type="pct"/>
                  <w:tcMar>
                    <w:top w:w="0" w:type="dxa"/>
                    <w:left w:w="0" w:type="dxa"/>
                    <w:bottom w:w="0" w:type="dxa"/>
                    <w:right w:w="0" w:type="dxa"/>
                  </w:tcMar>
                  <w:vAlign w:val="center"/>
                </w:tcPr>
                <w:p w14:paraId="75A1AAC8">
                  <w:pPr>
                    <w:widowControl/>
                    <w:jc w:val="center"/>
                    <w:textAlignment w:val="center"/>
                    <w:rPr>
                      <w:sz w:val="18"/>
                      <w:szCs w:val="18"/>
                    </w:rPr>
                  </w:pPr>
                  <w:r>
                    <w:rPr>
                      <w:sz w:val="18"/>
                      <w:szCs w:val="18"/>
                    </w:rPr>
                    <w:t>1次/</w:t>
                  </w:r>
                  <w:r>
                    <w:rPr>
                      <w:rFonts w:hint="eastAsia"/>
                      <w:sz w:val="18"/>
                      <w:szCs w:val="18"/>
                      <w:lang w:eastAsia="zh-CN"/>
                    </w:rPr>
                    <w:t>半</w:t>
                  </w:r>
                  <w:r>
                    <w:rPr>
                      <w:sz w:val="18"/>
                      <w:szCs w:val="18"/>
                    </w:rPr>
                    <w:t>年</w:t>
                  </w:r>
                </w:p>
              </w:tc>
              <w:tc>
                <w:tcPr>
                  <w:tcW w:w="1231" w:type="pct"/>
                  <w:tcMar>
                    <w:top w:w="0" w:type="dxa"/>
                    <w:left w:w="0" w:type="dxa"/>
                    <w:bottom w:w="0" w:type="dxa"/>
                    <w:right w:w="0" w:type="dxa"/>
                  </w:tcMar>
                  <w:vAlign w:val="center"/>
                </w:tcPr>
                <w:p w14:paraId="6AC0114E">
                  <w:pPr>
                    <w:jc w:val="center"/>
                    <w:rPr>
                      <w:rFonts w:hint="default"/>
                      <w:sz w:val="18"/>
                      <w:szCs w:val="18"/>
                      <w:lang w:val="en-US" w:eastAsia="zh-CN"/>
                    </w:rPr>
                  </w:pPr>
                  <w:r>
                    <w:rPr>
                      <w:rFonts w:hint="eastAsia"/>
                      <w:sz w:val="18"/>
                      <w:szCs w:val="18"/>
                      <w:lang w:val="en-US" w:eastAsia="zh-CN"/>
                    </w:rPr>
                    <w:t>5.0</w:t>
                  </w:r>
                  <w:r>
                    <w:rPr>
                      <w:sz w:val="18"/>
                      <w:szCs w:val="18"/>
                    </w:rPr>
                    <w:t>mg/m</w:t>
                  </w:r>
                  <w:r>
                    <w:rPr>
                      <w:sz w:val="18"/>
                      <w:szCs w:val="18"/>
                      <w:vertAlign w:val="superscript"/>
                    </w:rPr>
                    <w:t>3</w:t>
                  </w:r>
                </w:p>
              </w:tc>
            </w:tr>
            <w:tr w14:paraId="79503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atLeast"/>
                <w:jc w:val="center"/>
              </w:trPr>
              <w:tc>
                <w:tcPr>
                  <w:tcW w:w="957" w:type="pct"/>
                  <w:vMerge w:val="continue"/>
                  <w:tcBorders>
                    <w:left w:val="single" w:color="auto" w:sz="2" w:space="0"/>
                  </w:tcBorders>
                  <w:vAlign w:val="center"/>
                </w:tcPr>
                <w:p w14:paraId="397FC4D7">
                  <w:pPr>
                    <w:spacing w:line="240" w:lineRule="exact"/>
                    <w:jc w:val="center"/>
                    <w:rPr>
                      <w:sz w:val="18"/>
                      <w:szCs w:val="18"/>
                    </w:rPr>
                  </w:pPr>
                </w:p>
              </w:tc>
              <w:tc>
                <w:tcPr>
                  <w:tcW w:w="869" w:type="pct"/>
                  <w:vMerge w:val="continue"/>
                  <w:tcMar>
                    <w:top w:w="0" w:type="dxa"/>
                    <w:left w:w="0" w:type="dxa"/>
                    <w:bottom w:w="0" w:type="dxa"/>
                    <w:right w:w="0" w:type="dxa"/>
                  </w:tcMar>
                  <w:vAlign w:val="center"/>
                </w:tcPr>
                <w:p w14:paraId="6793D143">
                  <w:pPr>
                    <w:spacing w:line="240" w:lineRule="exact"/>
                    <w:jc w:val="center"/>
                    <w:rPr>
                      <w:sz w:val="18"/>
                      <w:szCs w:val="18"/>
                    </w:rPr>
                  </w:pPr>
                </w:p>
              </w:tc>
              <w:tc>
                <w:tcPr>
                  <w:tcW w:w="1039" w:type="pct"/>
                  <w:shd w:val="clear" w:color="auto" w:fill="auto"/>
                  <w:tcMar>
                    <w:top w:w="0" w:type="dxa"/>
                    <w:left w:w="0" w:type="dxa"/>
                    <w:bottom w:w="0" w:type="dxa"/>
                    <w:right w:w="0" w:type="dxa"/>
                  </w:tcMar>
                  <w:vAlign w:val="center"/>
                </w:tcPr>
                <w:p w14:paraId="1AC844F8">
                  <w:pPr>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bCs/>
                      <w:color w:val="000000"/>
                      <w:sz w:val="18"/>
                      <w:szCs w:val="18"/>
                      <w:vertAlign w:val="baseline"/>
                      <w:lang w:val="en-US" w:eastAsia="zh-CN"/>
                    </w:rPr>
                    <w:t>VOCs</w:t>
                  </w:r>
                </w:p>
              </w:tc>
              <w:tc>
                <w:tcPr>
                  <w:tcW w:w="899" w:type="pct"/>
                  <w:shd w:val="clear" w:color="auto" w:fill="auto"/>
                  <w:tcMar>
                    <w:top w:w="0" w:type="dxa"/>
                    <w:left w:w="0" w:type="dxa"/>
                    <w:bottom w:w="0" w:type="dxa"/>
                    <w:right w:w="0" w:type="dxa"/>
                  </w:tcMar>
                  <w:vAlign w:val="center"/>
                </w:tcPr>
                <w:p w14:paraId="4B3CF657">
                  <w:pPr>
                    <w:widowControl/>
                    <w:jc w:val="center"/>
                    <w:textAlignment w:val="center"/>
                    <w:rPr>
                      <w:rFonts w:ascii="Times New Roman" w:hAnsi="Times New Roman" w:eastAsia="宋体" w:cs="Times New Roman"/>
                      <w:kern w:val="2"/>
                      <w:sz w:val="18"/>
                      <w:szCs w:val="18"/>
                      <w:lang w:val="en-US" w:eastAsia="zh-CN" w:bidi="ar-SA"/>
                    </w:rPr>
                  </w:pPr>
                  <w:r>
                    <w:rPr>
                      <w:sz w:val="18"/>
                      <w:szCs w:val="18"/>
                    </w:rPr>
                    <w:t>1次/</w:t>
                  </w:r>
                  <w:r>
                    <w:rPr>
                      <w:rFonts w:hint="eastAsia"/>
                      <w:sz w:val="18"/>
                      <w:szCs w:val="18"/>
                      <w:lang w:eastAsia="zh-CN"/>
                    </w:rPr>
                    <w:t>半</w:t>
                  </w:r>
                  <w:r>
                    <w:rPr>
                      <w:sz w:val="18"/>
                      <w:szCs w:val="18"/>
                    </w:rPr>
                    <w:t>年</w:t>
                  </w:r>
                </w:p>
              </w:tc>
              <w:tc>
                <w:tcPr>
                  <w:tcW w:w="1231" w:type="pct"/>
                  <w:shd w:val="clear" w:color="auto" w:fill="auto"/>
                  <w:tcMar>
                    <w:top w:w="0" w:type="dxa"/>
                    <w:left w:w="0" w:type="dxa"/>
                    <w:bottom w:w="0" w:type="dxa"/>
                    <w:right w:w="0" w:type="dxa"/>
                  </w:tcMar>
                  <w:vAlign w:val="center"/>
                </w:tcPr>
                <w:p w14:paraId="240ADF53">
                  <w:pPr>
                    <w:jc w:val="center"/>
                    <w:rPr>
                      <w:rFonts w:hint="eastAsia" w:ascii="Times New Roman" w:hAnsi="Times New Roman" w:eastAsia="宋体" w:cs="Times New Roman"/>
                      <w:kern w:val="2"/>
                      <w:sz w:val="18"/>
                      <w:szCs w:val="18"/>
                      <w:lang w:val="en-US" w:eastAsia="zh-CN" w:bidi="ar-SA"/>
                    </w:rPr>
                  </w:pPr>
                  <w:r>
                    <w:rPr>
                      <w:rFonts w:hint="eastAsia"/>
                      <w:sz w:val="18"/>
                      <w:szCs w:val="18"/>
                      <w:lang w:val="en-US" w:eastAsia="zh-CN"/>
                    </w:rPr>
                    <w:t>2.0</w:t>
                  </w:r>
                  <w:r>
                    <w:rPr>
                      <w:sz w:val="18"/>
                      <w:szCs w:val="18"/>
                    </w:rPr>
                    <w:t xml:space="preserve"> mg/m</w:t>
                  </w:r>
                  <w:r>
                    <w:rPr>
                      <w:sz w:val="18"/>
                      <w:szCs w:val="18"/>
                      <w:vertAlign w:val="superscript"/>
                    </w:rPr>
                    <w:t>3</w:t>
                  </w:r>
                </w:p>
              </w:tc>
            </w:tr>
            <w:tr w14:paraId="335883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 w:type="pct"/>
                <w:trHeight w:val="340" w:hRule="atLeast"/>
                <w:jc w:val="center"/>
              </w:trPr>
              <w:tc>
                <w:tcPr>
                  <w:tcW w:w="957" w:type="pct"/>
                  <w:vMerge w:val="continue"/>
                  <w:tcBorders>
                    <w:left w:val="single" w:color="auto" w:sz="2" w:space="0"/>
                  </w:tcBorders>
                  <w:vAlign w:val="center"/>
                </w:tcPr>
                <w:p w14:paraId="585AC599">
                  <w:pPr>
                    <w:spacing w:line="240" w:lineRule="exact"/>
                    <w:jc w:val="center"/>
                    <w:rPr>
                      <w:sz w:val="18"/>
                      <w:szCs w:val="18"/>
                    </w:rPr>
                  </w:pPr>
                </w:p>
              </w:tc>
              <w:tc>
                <w:tcPr>
                  <w:tcW w:w="869" w:type="pct"/>
                  <w:vMerge w:val="continue"/>
                  <w:tcMar>
                    <w:top w:w="0" w:type="dxa"/>
                    <w:left w:w="0" w:type="dxa"/>
                    <w:bottom w:w="0" w:type="dxa"/>
                    <w:right w:w="0" w:type="dxa"/>
                  </w:tcMar>
                  <w:vAlign w:val="center"/>
                </w:tcPr>
                <w:p w14:paraId="73FAD57E">
                  <w:pPr>
                    <w:spacing w:line="240" w:lineRule="exact"/>
                    <w:jc w:val="center"/>
                    <w:rPr>
                      <w:sz w:val="18"/>
                      <w:szCs w:val="18"/>
                    </w:rPr>
                  </w:pPr>
                </w:p>
              </w:tc>
              <w:tc>
                <w:tcPr>
                  <w:tcW w:w="1039" w:type="pct"/>
                  <w:tcMar>
                    <w:top w:w="0" w:type="dxa"/>
                    <w:left w:w="0" w:type="dxa"/>
                    <w:bottom w:w="0" w:type="dxa"/>
                    <w:right w:w="0" w:type="dxa"/>
                  </w:tcMar>
                  <w:vAlign w:val="center"/>
                </w:tcPr>
                <w:p w14:paraId="2DC598AF">
                  <w:pPr>
                    <w:spacing w:line="240" w:lineRule="exact"/>
                    <w:jc w:val="center"/>
                    <w:rPr>
                      <w:rFonts w:hint="default" w:eastAsia="宋体"/>
                      <w:sz w:val="18"/>
                      <w:szCs w:val="18"/>
                      <w:lang w:val="en-US" w:eastAsia="zh-CN"/>
                    </w:rPr>
                  </w:pPr>
                  <w:r>
                    <w:rPr>
                      <w:rFonts w:hint="eastAsia"/>
                      <w:sz w:val="18"/>
                      <w:szCs w:val="18"/>
                      <w:lang w:val="en-US" w:eastAsia="zh-CN"/>
                    </w:rPr>
                    <w:t>臭气浓度</w:t>
                  </w:r>
                </w:p>
              </w:tc>
              <w:tc>
                <w:tcPr>
                  <w:tcW w:w="1503" w:type="dxa"/>
                  <w:tcMar>
                    <w:top w:w="0" w:type="dxa"/>
                    <w:left w:w="0" w:type="dxa"/>
                    <w:bottom w:w="0" w:type="dxa"/>
                    <w:right w:w="0" w:type="dxa"/>
                  </w:tcMar>
                  <w:vAlign w:val="center"/>
                </w:tcPr>
                <w:p w14:paraId="4B7A76FA">
                  <w:pPr>
                    <w:spacing w:line="240" w:lineRule="exact"/>
                    <w:jc w:val="center"/>
                    <w:rPr>
                      <w:sz w:val="18"/>
                      <w:szCs w:val="18"/>
                    </w:rPr>
                  </w:pPr>
                  <w:r>
                    <w:rPr>
                      <w:sz w:val="18"/>
                      <w:szCs w:val="18"/>
                    </w:rPr>
                    <w:t>1次/</w:t>
                  </w:r>
                  <w:r>
                    <w:rPr>
                      <w:rFonts w:hint="eastAsia"/>
                      <w:sz w:val="18"/>
                      <w:szCs w:val="18"/>
                      <w:lang w:eastAsia="zh-CN"/>
                    </w:rPr>
                    <w:t>半</w:t>
                  </w:r>
                  <w:r>
                    <w:rPr>
                      <w:sz w:val="18"/>
                      <w:szCs w:val="18"/>
                    </w:rPr>
                    <w:t>年</w:t>
                  </w:r>
                </w:p>
              </w:tc>
              <w:tc>
                <w:tcPr>
                  <w:tcW w:w="2058" w:type="dxa"/>
                  <w:tcMar>
                    <w:top w:w="0" w:type="dxa"/>
                    <w:left w:w="0" w:type="dxa"/>
                    <w:bottom w:w="0" w:type="dxa"/>
                    <w:right w:w="0" w:type="dxa"/>
                  </w:tcMar>
                  <w:vAlign w:val="center"/>
                </w:tcPr>
                <w:p w14:paraId="0C648629">
                  <w:pPr>
                    <w:spacing w:line="240" w:lineRule="exact"/>
                    <w:jc w:val="center"/>
                    <w:rPr>
                      <w:rFonts w:hint="default"/>
                      <w:sz w:val="18"/>
                      <w:szCs w:val="18"/>
                      <w:lang w:val="en-US" w:eastAsia="zh-CN"/>
                    </w:rPr>
                  </w:pPr>
                  <w:r>
                    <w:rPr>
                      <w:rFonts w:hint="eastAsia"/>
                      <w:sz w:val="18"/>
                      <w:szCs w:val="18"/>
                      <w:lang w:val="en-US" w:eastAsia="zh-CN"/>
                    </w:rPr>
                    <w:t>20无量纲</w:t>
                  </w:r>
                </w:p>
              </w:tc>
            </w:tr>
          </w:tbl>
          <w:p w14:paraId="6D777327">
            <w:pPr>
              <w:spacing w:line="360" w:lineRule="auto"/>
              <w:ind w:firstLine="422" w:firstLineChars="200"/>
              <w:rPr>
                <w:rFonts w:hint="eastAsia"/>
                <w:b/>
                <w:bCs/>
                <w:color w:val="000000"/>
                <w:sz w:val="21"/>
                <w:szCs w:val="21"/>
                <w:highlight w:val="none"/>
                <w:lang w:val="en-US" w:eastAsia="zh-CN"/>
              </w:rPr>
            </w:pPr>
            <w:r>
              <w:rPr>
                <w:rFonts w:hint="eastAsia"/>
                <w:b/>
                <w:bCs/>
                <w:color w:val="000000"/>
                <w:sz w:val="21"/>
                <w:szCs w:val="21"/>
                <w:highlight w:val="none"/>
                <w:lang w:val="en-US" w:eastAsia="zh-CN"/>
              </w:rPr>
              <w:t>6、结论</w:t>
            </w:r>
          </w:p>
          <w:p w14:paraId="2114A937">
            <w:pPr>
              <w:spacing w:line="360" w:lineRule="auto"/>
              <w:ind w:firstLine="420" w:firstLineChars="200"/>
              <w:rPr>
                <w:rFonts w:hint="eastAsia"/>
                <w:color w:val="000000"/>
                <w:sz w:val="24"/>
                <w:highlight w:val="none"/>
              </w:rPr>
            </w:pPr>
            <w:r>
              <w:rPr>
                <w:rFonts w:hint="eastAsia"/>
                <w:color w:val="000000"/>
                <w:sz w:val="21"/>
                <w:szCs w:val="21"/>
                <w:highlight w:val="none"/>
              </w:rPr>
              <w:t>综上，</w:t>
            </w:r>
            <w:r>
              <w:rPr>
                <w:rFonts w:hint="eastAsia"/>
                <w:color w:val="000000"/>
                <w:sz w:val="21"/>
                <w:szCs w:val="21"/>
                <w:highlight w:val="none"/>
                <w:lang w:eastAsia="zh-CN"/>
              </w:rPr>
              <w:t>本项目</w:t>
            </w:r>
            <w:r>
              <w:rPr>
                <w:rFonts w:hint="eastAsia"/>
                <w:color w:val="000000"/>
                <w:sz w:val="21"/>
                <w:szCs w:val="21"/>
                <w:highlight w:val="none"/>
              </w:rPr>
              <w:t>位于环境空气不达标区，周边500m范围内不存在大气环境敏感目标。污染物治理措施可行，废气排放能够满足当地环保要求；</w:t>
            </w:r>
            <w:r>
              <w:rPr>
                <w:rFonts w:hint="eastAsia"/>
                <w:color w:val="000000"/>
                <w:sz w:val="21"/>
                <w:szCs w:val="21"/>
                <w:highlight w:val="none"/>
                <w:lang w:eastAsia="zh-CN"/>
              </w:rPr>
              <w:t>本项目</w:t>
            </w:r>
            <w:r>
              <w:rPr>
                <w:rFonts w:hint="eastAsia"/>
                <w:color w:val="000000"/>
                <w:sz w:val="21"/>
                <w:szCs w:val="21"/>
                <w:highlight w:val="none"/>
              </w:rPr>
              <w:t>不涉及有毒有害废气排放，污染物排放浓度达标，对周边大气环境敏感目标影响不大。因此，</w:t>
            </w:r>
            <w:r>
              <w:rPr>
                <w:rFonts w:hint="eastAsia"/>
                <w:color w:val="000000"/>
                <w:sz w:val="21"/>
                <w:szCs w:val="21"/>
                <w:highlight w:val="none"/>
                <w:lang w:eastAsia="zh-CN"/>
              </w:rPr>
              <w:t>本项目</w:t>
            </w:r>
            <w:r>
              <w:rPr>
                <w:rFonts w:hint="eastAsia"/>
                <w:color w:val="000000"/>
                <w:sz w:val="21"/>
                <w:szCs w:val="21"/>
                <w:highlight w:val="none"/>
              </w:rPr>
              <w:t>建设后对大气环境影响可以接受。</w:t>
            </w:r>
          </w:p>
          <w:p w14:paraId="4351CB61">
            <w:pPr>
              <w:tabs>
                <w:tab w:val="left" w:pos="1800"/>
              </w:tabs>
              <w:adjustRightInd w:val="0"/>
              <w:snapToGrid w:val="0"/>
              <w:spacing w:line="360" w:lineRule="auto"/>
              <w:ind w:firstLine="422" w:firstLineChars="200"/>
              <w:rPr>
                <w:b/>
                <w:bCs/>
                <w:kern w:val="24"/>
              </w:rPr>
            </w:pPr>
            <w:r>
              <w:rPr>
                <w:b/>
                <w:bCs/>
                <w:kern w:val="24"/>
              </w:rPr>
              <w:t>二、废水</w:t>
            </w:r>
          </w:p>
          <w:p w14:paraId="44057355">
            <w:pPr>
              <w:pStyle w:val="2"/>
              <w:spacing w:after="0" w:line="360" w:lineRule="auto"/>
              <w:ind w:left="0" w:leftChars="0" w:firstLine="31680"/>
              <w:jc w:val="left"/>
              <w:rPr>
                <w:rFonts w:hint="default" w:ascii="Times New Roman" w:hAnsi="Times New Roman" w:eastAsia="黑体" w:cs="Times New Roman"/>
                <w:sz w:val="21"/>
                <w:szCs w:val="21"/>
              </w:rPr>
            </w:pPr>
            <w:r>
              <w:rPr>
                <w:rFonts w:hint="default" w:ascii="Times New Roman" w:hAnsi="Times New Roman" w:eastAsia="黑体" w:cs="Times New Roman"/>
                <w:sz w:val="21"/>
                <w:szCs w:val="21"/>
              </w:rPr>
              <w:t>1、产排污环节、污染物治理设施及废气排放情况汇总</w:t>
            </w:r>
          </w:p>
          <w:p w14:paraId="56C9616B">
            <w:pPr>
              <w:spacing w:line="360" w:lineRule="auto"/>
              <w:ind w:firstLine="422" w:firstLineChars="200"/>
              <w:jc w:val="center"/>
              <w:rPr>
                <w:rFonts w:hint="default" w:ascii="Times New Roman" w:hAnsi="Times New Roman" w:eastAsia="宋体" w:cs="Times New Roman"/>
                <w:b/>
                <w:bCs/>
              </w:rPr>
            </w:pPr>
            <w:r>
              <w:rPr>
                <w:rFonts w:hint="default" w:ascii="Times New Roman" w:hAnsi="Times New Roman" w:eastAsia="宋体" w:cs="Times New Roman"/>
                <w:b/>
                <w:bCs/>
              </w:rPr>
              <w:t>表4-</w:t>
            </w:r>
            <w:r>
              <w:rPr>
                <w:rFonts w:hint="default" w:ascii="Times New Roman" w:hAnsi="Times New Roman" w:eastAsia="宋体" w:cs="Times New Roman"/>
                <w:b/>
                <w:bCs/>
                <w:lang w:val="en-US" w:eastAsia="zh-CN"/>
              </w:rPr>
              <w:t>16</w:t>
            </w:r>
            <w:r>
              <w:rPr>
                <w:rFonts w:hint="default" w:ascii="Times New Roman" w:hAnsi="Times New Roman" w:eastAsia="宋体" w:cs="Times New Roman"/>
                <w:b/>
                <w:bCs/>
              </w:rPr>
              <w:t>废水类别、污染物及污染治理设施信息表</w:t>
            </w:r>
          </w:p>
          <w:tbl>
            <w:tblPr>
              <w:tblStyle w:val="81"/>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71"/>
              <w:gridCol w:w="900"/>
              <w:gridCol w:w="474"/>
              <w:gridCol w:w="536"/>
              <w:gridCol w:w="509"/>
              <w:gridCol w:w="618"/>
              <w:gridCol w:w="692"/>
              <w:gridCol w:w="489"/>
              <w:gridCol w:w="604"/>
              <w:gridCol w:w="596"/>
              <w:gridCol w:w="589"/>
              <w:gridCol w:w="613"/>
              <w:gridCol w:w="658"/>
              <w:gridCol w:w="613"/>
            </w:tblGrid>
            <w:tr w14:paraId="3DBB4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81" w:type="pct"/>
                  <w:vMerge w:val="restart"/>
                  <w:tcBorders>
                    <w:top w:val="single" w:color="auto" w:sz="4" w:space="0"/>
                    <w:left w:val="single" w:color="auto" w:sz="4" w:space="0"/>
                    <w:bottom w:val="single" w:color="auto" w:sz="4" w:space="0"/>
                    <w:right w:val="single" w:color="auto" w:sz="4" w:space="0"/>
                  </w:tcBorders>
                  <w:vAlign w:val="center"/>
                </w:tcPr>
                <w:p w14:paraId="7FD887DC">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产污环节</w:t>
                  </w:r>
                </w:p>
              </w:tc>
              <w:tc>
                <w:tcPr>
                  <w:tcW w:w="538" w:type="pct"/>
                  <w:vMerge w:val="restart"/>
                  <w:tcBorders>
                    <w:top w:val="single" w:color="auto" w:sz="4" w:space="0"/>
                    <w:left w:val="single" w:color="auto" w:sz="4" w:space="0"/>
                    <w:bottom w:val="single" w:color="auto" w:sz="4" w:space="0"/>
                    <w:right w:val="single" w:color="auto" w:sz="4" w:space="0"/>
                  </w:tcBorders>
                  <w:vAlign w:val="center"/>
                </w:tcPr>
                <w:p w14:paraId="292ABE20">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污染物</w:t>
                  </w:r>
                </w:p>
                <w:p w14:paraId="0B6E85B0">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种类</w:t>
                  </w:r>
                </w:p>
              </w:tc>
              <w:tc>
                <w:tcPr>
                  <w:tcW w:w="283" w:type="pct"/>
                  <w:vMerge w:val="restart"/>
                  <w:tcBorders>
                    <w:top w:val="single" w:color="auto" w:sz="4" w:space="0"/>
                    <w:left w:val="single" w:color="auto" w:sz="4" w:space="0"/>
                    <w:bottom w:val="single" w:color="auto" w:sz="4" w:space="0"/>
                    <w:right w:val="single" w:color="auto" w:sz="4" w:space="0"/>
                  </w:tcBorders>
                  <w:vAlign w:val="center"/>
                </w:tcPr>
                <w:p w14:paraId="3B54F76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废水类别</w:t>
                  </w:r>
                </w:p>
              </w:tc>
              <w:tc>
                <w:tcPr>
                  <w:tcW w:w="1700" w:type="pct"/>
                  <w:gridSpan w:val="5"/>
                  <w:tcBorders>
                    <w:top w:val="single" w:color="auto" w:sz="4" w:space="0"/>
                    <w:left w:val="single" w:color="auto" w:sz="4" w:space="0"/>
                    <w:bottom w:val="single" w:color="auto" w:sz="4" w:space="0"/>
                    <w:right w:val="single" w:color="auto" w:sz="4" w:space="0"/>
                  </w:tcBorders>
                  <w:vAlign w:val="center"/>
                </w:tcPr>
                <w:p w14:paraId="5FD1D2E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污染治理设施</w:t>
                  </w:r>
                </w:p>
              </w:tc>
              <w:tc>
                <w:tcPr>
                  <w:tcW w:w="361" w:type="pct"/>
                  <w:vMerge w:val="restart"/>
                  <w:tcBorders>
                    <w:top w:val="single" w:color="auto" w:sz="4" w:space="0"/>
                    <w:left w:val="single" w:color="auto" w:sz="4" w:space="0"/>
                    <w:bottom w:val="single" w:color="auto" w:sz="4" w:space="0"/>
                    <w:right w:val="single" w:color="auto" w:sz="4" w:space="0"/>
                  </w:tcBorders>
                  <w:vAlign w:val="center"/>
                </w:tcPr>
                <w:p w14:paraId="4B2577DA">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784D706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去向</w:t>
                  </w:r>
                </w:p>
              </w:tc>
              <w:tc>
                <w:tcPr>
                  <w:tcW w:w="356" w:type="pct"/>
                  <w:vMerge w:val="restart"/>
                  <w:tcBorders>
                    <w:top w:val="single" w:color="auto" w:sz="4" w:space="0"/>
                    <w:left w:val="single" w:color="auto" w:sz="4" w:space="0"/>
                    <w:bottom w:val="single" w:color="auto" w:sz="4" w:space="0"/>
                    <w:right w:val="single" w:color="auto" w:sz="4" w:space="0"/>
                  </w:tcBorders>
                  <w:vAlign w:val="center"/>
                </w:tcPr>
                <w:p w14:paraId="127A848F">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1E63371E">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方式</w:t>
                  </w:r>
                </w:p>
              </w:tc>
              <w:tc>
                <w:tcPr>
                  <w:tcW w:w="352" w:type="pct"/>
                  <w:vMerge w:val="restart"/>
                  <w:tcBorders>
                    <w:top w:val="single" w:color="auto" w:sz="4" w:space="0"/>
                    <w:left w:val="single" w:color="auto" w:sz="4" w:space="0"/>
                    <w:bottom w:val="single" w:color="auto" w:sz="4" w:space="0"/>
                    <w:right w:val="single" w:color="auto" w:sz="4" w:space="0"/>
                  </w:tcBorders>
                  <w:vAlign w:val="center"/>
                </w:tcPr>
                <w:p w14:paraId="72F75FFD">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w:t>
                  </w:r>
                </w:p>
                <w:p w14:paraId="01DF959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规律</w:t>
                  </w:r>
                </w:p>
              </w:tc>
              <w:tc>
                <w:tcPr>
                  <w:tcW w:w="366" w:type="pct"/>
                  <w:vMerge w:val="restart"/>
                  <w:tcBorders>
                    <w:top w:val="single" w:color="auto" w:sz="4" w:space="0"/>
                    <w:left w:val="single" w:color="auto" w:sz="4" w:space="0"/>
                    <w:bottom w:val="single" w:color="auto" w:sz="4" w:space="0"/>
                    <w:right w:val="single" w:color="auto" w:sz="4" w:space="0"/>
                  </w:tcBorders>
                  <w:vAlign w:val="center"/>
                </w:tcPr>
                <w:p w14:paraId="7F6B86F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排放口编号</w:t>
                  </w:r>
                </w:p>
              </w:tc>
              <w:tc>
                <w:tcPr>
                  <w:tcW w:w="393" w:type="pct"/>
                  <w:vMerge w:val="restart"/>
                  <w:tcBorders>
                    <w:top w:val="single" w:color="auto" w:sz="4" w:space="0"/>
                    <w:left w:val="single" w:color="auto" w:sz="4" w:space="0"/>
                    <w:bottom w:val="single" w:color="auto" w:sz="4" w:space="0"/>
                    <w:right w:val="single" w:color="auto" w:sz="4" w:space="0"/>
                  </w:tcBorders>
                  <w:vAlign w:val="center"/>
                </w:tcPr>
                <w:p w14:paraId="4330E199">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排放口名称</w:t>
                  </w:r>
                </w:p>
              </w:tc>
              <w:tc>
                <w:tcPr>
                  <w:tcW w:w="366" w:type="pct"/>
                  <w:vMerge w:val="restart"/>
                  <w:tcBorders>
                    <w:top w:val="single" w:color="auto" w:sz="4" w:space="0"/>
                    <w:left w:val="single" w:color="auto" w:sz="4" w:space="0"/>
                    <w:bottom w:val="single" w:color="auto" w:sz="4" w:space="0"/>
                    <w:right w:val="single" w:color="auto" w:sz="4" w:space="0"/>
                  </w:tcBorders>
                  <w:vAlign w:val="center"/>
                </w:tcPr>
                <w:p w14:paraId="2F844D7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排放口类型</w:t>
                  </w:r>
                </w:p>
              </w:tc>
            </w:tr>
            <w:tr w14:paraId="13E731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vMerge w:val="continue"/>
                  <w:tcBorders>
                    <w:top w:val="single" w:color="auto" w:sz="4" w:space="0"/>
                    <w:left w:val="single" w:color="auto" w:sz="4" w:space="0"/>
                    <w:bottom w:val="single" w:color="auto" w:sz="4" w:space="0"/>
                    <w:right w:val="single" w:color="auto" w:sz="4" w:space="0"/>
                  </w:tcBorders>
                  <w:vAlign w:val="center"/>
                </w:tcPr>
                <w:p w14:paraId="5B97A5E4">
                  <w:pPr>
                    <w:jc w:val="center"/>
                    <w:rPr>
                      <w:rFonts w:hint="default" w:ascii="Times New Roman" w:hAnsi="Times New Roman" w:cs="Times New Roman"/>
                      <w:sz w:val="18"/>
                      <w:szCs w:val="18"/>
                    </w:rPr>
                  </w:pPr>
                </w:p>
              </w:tc>
              <w:tc>
                <w:tcPr>
                  <w:tcW w:w="538" w:type="pct"/>
                  <w:vMerge w:val="continue"/>
                  <w:tcBorders>
                    <w:top w:val="single" w:color="auto" w:sz="4" w:space="0"/>
                    <w:left w:val="single" w:color="auto" w:sz="4" w:space="0"/>
                    <w:bottom w:val="single" w:color="auto" w:sz="4" w:space="0"/>
                    <w:right w:val="single" w:color="auto" w:sz="4" w:space="0"/>
                  </w:tcBorders>
                  <w:vAlign w:val="center"/>
                </w:tcPr>
                <w:p w14:paraId="08BB9D23">
                  <w:pPr>
                    <w:jc w:val="center"/>
                    <w:rPr>
                      <w:rFonts w:hint="default" w:ascii="Times New Roman" w:hAnsi="Times New Roman" w:cs="Times New Roman"/>
                      <w:sz w:val="18"/>
                      <w:szCs w:val="18"/>
                    </w:rPr>
                  </w:pPr>
                </w:p>
              </w:tc>
              <w:tc>
                <w:tcPr>
                  <w:tcW w:w="283" w:type="pct"/>
                  <w:vMerge w:val="continue"/>
                  <w:tcBorders>
                    <w:top w:val="single" w:color="auto" w:sz="4" w:space="0"/>
                    <w:left w:val="single" w:color="auto" w:sz="4" w:space="0"/>
                    <w:bottom w:val="single" w:color="auto" w:sz="4" w:space="0"/>
                    <w:right w:val="single" w:color="auto" w:sz="4" w:space="0"/>
                  </w:tcBorders>
                  <w:vAlign w:val="center"/>
                </w:tcPr>
                <w:p w14:paraId="41054BD7">
                  <w:pPr>
                    <w:jc w:val="center"/>
                    <w:rPr>
                      <w:rFonts w:hint="default" w:ascii="Times New Roman" w:hAnsi="Times New Roman" w:cs="Times New Roman"/>
                      <w:sz w:val="18"/>
                      <w:szCs w:val="18"/>
                    </w:rPr>
                  </w:pPr>
                </w:p>
              </w:tc>
              <w:tc>
                <w:tcPr>
                  <w:tcW w:w="320" w:type="pct"/>
                  <w:tcBorders>
                    <w:top w:val="single" w:color="auto" w:sz="4" w:space="0"/>
                    <w:left w:val="single" w:color="auto" w:sz="4" w:space="0"/>
                    <w:bottom w:val="single" w:color="auto" w:sz="4" w:space="0"/>
                    <w:right w:val="single" w:color="auto" w:sz="4" w:space="0"/>
                  </w:tcBorders>
                  <w:vAlign w:val="center"/>
                </w:tcPr>
                <w:p w14:paraId="15D3C4B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设施类型</w:t>
                  </w:r>
                </w:p>
              </w:tc>
              <w:tc>
                <w:tcPr>
                  <w:tcW w:w="304" w:type="pct"/>
                  <w:tcBorders>
                    <w:top w:val="single" w:color="auto" w:sz="4" w:space="0"/>
                    <w:left w:val="single" w:color="auto" w:sz="4" w:space="0"/>
                    <w:bottom w:val="single" w:color="auto" w:sz="4" w:space="0"/>
                    <w:right w:val="single" w:color="auto" w:sz="4" w:space="0"/>
                  </w:tcBorders>
                  <w:vAlign w:val="center"/>
                </w:tcPr>
                <w:p w14:paraId="6D974B08">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处理</w:t>
                  </w:r>
                </w:p>
                <w:p w14:paraId="1831DEE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工艺</w:t>
                  </w:r>
                </w:p>
              </w:tc>
              <w:tc>
                <w:tcPr>
                  <w:tcW w:w="369" w:type="pct"/>
                  <w:tcBorders>
                    <w:top w:val="single" w:color="auto" w:sz="4" w:space="0"/>
                    <w:left w:val="single" w:color="auto" w:sz="4" w:space="0"/>
                    <w:bottom w:val="single" w:color="auto" w:sz="4" w:space="0"/>
                    <w:right w:val="single" w:color="auto" w:sz="4" w:space="0"/>
                  </w:tcBorders>
                  <w:vAlign w:val="center"/>
                </w:tcPr>
                <w:p w14:paraId="03A2EEC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处理</w:t>
                  </w:r>
                </w:p>
                <w:p w14:paraId="5EE481B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能力（t/h）</w:t>
                  </w:r>
                </w:p>
              </w:tc>
              <w:tc>
                <w:tcPr>
                  <w:tcW w:w="413" w:type="pct"/>
                  <w:tcBorders>
                    <w:top w:val="single" w:color="auto" w:sz="4" w:space="0"/>
                    <w:left w:val="single" w:color="auto" w:sz="4" w:space="0"/>
                    <w:bottom w:val="single" w:color="auto" w:sz="4" w:space="0"/>
                    <w:right w:val="single" w:color="auto" w:sz="4" w:space="0"/>
                  </w:tcBorders>
                  <w:vAlign w:val="center"/>
                </w:tcPr>
                <w:p w14:paraId="5D44F307">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是否为可行技术</w:t>
                  </w:r>
                </w:p>
              </w:tc>
              <w:tc>
                <w:tcPr>
                  <w:tcW w:w="292" w:type="pct"/>
                  <w:tcBorders>
                    <w:top w:val="single" w:color="auto" w:sz="4" w:space="0"/>
                    <w:left w:val="single" w:color="auto" w:sz="4" w:space="0"/>
                    <w:bottom w:val="single" w:color="auto" w:sz="4" w:space="0"/>
                    <w:right w:val="single" w:color="auto" w:sz="4" w:space="0"/>
                  </w:tcBorders>
                  <w:vAlign w:val="center"/>
                </w:tcPr>
                <w:p w14:paraId="1023D6F0">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设施名称</w:t>
                  </w:r>
                </w:p>
              </w:tc>
              <w:tc>
                <w:tcPr>
                  <w:tcW w:w="361" w:type="pct"/>
                  <w:vMerge w:val="continue"/>
                  <w:tcBorders>
                    <w:top w:val="single" w:color="auto" w:sz="4" w:space="0"/>
                    <w:left w:val="single" w:color="auto" w:sz="4" w:space="0"/>
                    <w:bottom w:val="single" w:color="auto" w:sz="4" w:space="0"/>
                    <w:right w:val="single" w:color="auto" w:sz="4" w:space="0"/>
                  </w:tcBorders>
                  <w:vAlign w:val="center"/>
                </w:tcPr>
                <w:p w14:paraId="2FEBA98F">
                  <w:pPr>
                    <w:jc w:val="center"/>
                    <w:rPr>
                      <w:rFonts w:hint="default" w:ascii="Times New Roman" w:hAnsi="Times New Roman" w:cs="Times New Roman"/>
                      <w:sz w:val="18"/>
                      <w:szCs w:val="18"/>
                    </w:rPr>
                  </w:pPr>
                </w:p>
              </w:tc>
              <w:tc>
                <w:tcPr>
                  <w:tcW w:w="356" w:type="pct"/>
                  <w:vMerge w:val="continue"/>
                  <w:tcBorders>
                    <w:top w:val="single" w:color="auto" w:sz="4" w:space="0"/>
                    <w:left w:val="single" w:color="auto" w:sz="4" w:space="0"/>
                    <w:bottom w:val="single" w:color="auto" w:sz="4" w:space="0"/>
                    <w:right w:val="single" w:color="auto" w:sz="4" w:space="0"/>
                  </w:tcBorders>
                  <w:vAlign w:val="center"/>
                </w:tcPr>
                <w:p w14:paraId="053B5E9C">
                  <w:pPr>
                    <w:jc w:val="center"/>
                    <w:rPr>
                      <w:rFonts w:hint="default" w:ascii="Times New Roman" w:hAnsi="Times New Roman" w:cs="Times New Roman"/>
                      <w:sz w:val="18"/>
                      <w:szCs w:val="18"/>
                    </w:rPr>
                  </w:pPr>
                </w:p>
              </w:tc>
              <w:tc>
                <w:tcPr>
                  <w:tcW w:w="352" w:type="pct"/>
                  <w:vMerge w:val="continue"/>
                  <w:tcBorders>
                    <w:top w:val="single" w:color="auto" w:sz="4" w:space="0"/>
                    <w:left w:val="single" w:color="auto" w:sz="4" w:space="0"/>
                    <w:bottom w:val="single" w:color="auto" w:sz="4" w:space="0"/>
                    <w:right w:val="single" w:color="auto" w:sz="4" w:space="0"/>
                  </w:tcBorders>
                  <w:vAlign w:val="center"/>
                </w:tcPr>
                <w:p w14:paraId="0F41AB38">
                  <w:pPr>
                    <w:jc w:val="center"/>
                    <w:rPr>
                      <w:rFonts w:hint="default" w:ascii="Times New Roman" w:hAnsi="Times New Roman" w:cs="Times New Roman"/>
                      <w:sz w:val="18"/>
                      <w:szCs w:val="18"/>
                    </w:rPr>
                  </w:pPr>
                </w:p>
              </w:tc>
              <w:tc>
                <w:tcPr>
                  <w:tcW w:w="366" w:type="pct"/>
                  <w:vMerge w:val="continue"/>
                  <w:tcBorders>
                    <w:top w:val="single" w:color="auto" w:sz="4" w:space="0"/>
                    <w:left w:val="single" w:color="auto" w:sz="4" w:space="0"/>
                    <w:bottom w:val="single" w:color="auto" w:sz="4" w:space="0"/>
                    <w:right w:val="single" w:color="auto" w:sz="4" w:space="0"/>
                  </w:tcBorders>
                  <w:vAlign w:val="center"/>
                </w:tcPr>
                <w:p w14:paraId="1A8CF369">
                  <w:pPr>
                    <w:jc w:val="center"/>
                    <w:rPr>
                      <w:rFonts w:hint="default" w:ascii="Times New Roman" w:hAnsi="Times New Roman" w:cs="Times New Roman"/>
                      <w:sz w:val="18"/>
                      <w:szCs w:val="18"/>
                    </w:rPr>
                  </w:pPr>
                </w:p>
              </w:tc>
              <w:tc>
                <w:tcPr>
                  <w:tcW w:w="393" w:type="pct"/>
                  <w:vMerge w:val="continue"/>
                  <w:tcBorders>
                    <w:top w:val="single" w:color="auto" w:sz="4" w:space="0"/>
                    <w:left w:val="single" w:color="auto" w:sz="4" w:space="0"/>
                    <w:bottom w:val="single" w:color="auto" w:sz="4" w:space="0"/>
                    <w:right w:val="single" w:color="auto" w:sz="4" w:space="0"/>
                  </w:tcBorders>
                  <w:vAlign w:val="center"/>
                </w:tcPr>
                <w:p w14:paraId="56EB6EB1">
                  <w:pPr>
                    <w:jc w:val="center"/>
                    <w:rPr>
                      <w:rFonts w:hint="default" w:ascii="Times New Roman" w:hAnsi="Times New Roman" w:cs="Times New Roman"/>
                      <w:sz w:val="18"/>
                      <w:szCs w:val="18"/>
                    </w:rPr>
                  </w:pPr>
                </w:p>
              </w:tc>
              <w:tc>
                <w:tcPr>
                  <w:tcW w:w="366" w:type="pct"/>
                  <w:vMerge w:val="continue"/>
                  <w:tcBorders>
                    <w:top w:val="single" w:color="auto" w:sz="4" w:space="0"/>
                    <w:left w:val="single" w:color="auto" w:sz="4" w:space="0"/>
                    <w:bottom w:val="single" w:color="auto" w:sz="4" w:space="0"/>
                    <w:right w:val="single" w:color="auto" w:sz="4" w:space="0"/>
                  </w:tcBorders>
                  <w:vAlign w:val="center"/>
                </w:tcPr>
                <w:p w14:paraId="49A87C6E">
                  <w:pPr>
                    <w:jc w:val="center"/>
                    <w:rPr>
                      <w:rFonts w:hint="default" w:ascii="Times New Roman" w:hAnsi="Times New Roman" w:cs="Times New Roman"/>
                      <w:sz w:val="18"/>
                      <w:szCs w:val="18"/>
                    </w:rPr>
                  </w:pPr>
                </w:p>
              </w:tc>
            </w:tr>
            <w:tr w14:paraId="179BE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81" w:type="pct"/>
                  <w:tcBorders>
                    <w:top w:val="single" w:color="auto" w:sz="4" w:space="0"/>
                    <w:left w:val="single" w:color="auto" w:sz="4" w:space="0"/>
                    <w:bottom w:val="single" w:color="auto" w:sz="4" w:space="0"/>
                    <w:right w:val="single" w:color="auto" w:sz="4" w:space="0"/>
                  </w:tcBorders>
                  <w:vAlign w:val="center"/>
                </w:tcPr>
                <w:p w14:paraId="3950EFE6">
                  <w:pPr>
                    <w:jc w:val="center"/>
                    <w:rPr>
                      <w:rFonts w:hint="default" w:ascii="Times New Roman" w:hAnsi="Times New Roman" w:cs="Times New Roman"/>
                      <w:sz w:val="18"/>
                      <w:szCs w:val="18"/>
                    </w:rPr>
                  </w:pPr>
                  <w:r>
                    <w:rPr>
                      <w:rFonts w:hint="default" w:ascii="Times New Roman" w:hAnsi="Times New Roman" w:cs="Times New Roman"/>
                      <w:sz w:val="18"/>
                      <w:szCs w:val="18"/>
                    </w:rPr>
                    <w:t>职工生活</w:t>
                  </w:r>
                </w:p>
              </w:tc>
              <w:tc>
                <w:tcPr>
                  <w:tcW w:w="538" w:type="pct"/>
                  <w:tcBorders>
                    <w:top w:val="single" w:color="auto" w:sz="4" w:space="0"/>
                    <w:left w:val="single" w:color="auto" w:sz="4" w:space="0"/>
                    <w:bottom w:val="single" w:color="auto" w:sz="4" w:space="0"/>
                    <w:right w:val="single" w:color="auto" w:sz="4" w:space="0"/>
                  </w:tcBorders>
                  <w:vAlign w:val="center"/>
                </w:tcPr>
                <w:p w14:paraId="3CA938FE">
                  <w:pPr>
                    <w:jc w:val="center"/>
                    <w:rPr>
                      <w:rFonts w:hint="eastAsia" w:ascii="Times New Roman" w:hAnsi="Times New Roman" w:eastAsia="宋体" w:cs="Times New Roman"/>
                      <w:sz w:val="18"/>
                      <w:szCs w:val="18"/>
                      <w:lang w:eastAsia="zh-CN"/>
                    </w:rPr>
                  </w:pPr>
                  <w:r>
                    <w:rPr>
                      <w:rFonts w:hint="eastAsia" w:cs="Times New Roman"/>
                      <w:sz w:val="18"/>
                      <w:szCs w:val="18"/>
                      <w:lang w:val="en-US" w:eastAsia="zh-CN"/>
                    </w:rPr>
                    <w:t>pH、</w:t>
                  </w:r>
                  <w:r>
                    <w:rPr>
                      <w:rFonts w:hint="default" w:ascii="Times New Roman" w:hAnsi="Times New Roman" w:cs="Times New Roman"/>
                      <w:sz w:val="18"/>
                      <w:szCs w:val="18"/>
                    </w:rPr>
                    <w:t>COD、氨氮、BOD</w:t>
                  </w:r>
                  <w:r>
                    <w:rPr>
                      <w:rFonts w:hint="default" w:ascii="Times New Roman" w:hAnsi="Times New Roman" w:cs="Times New Roman"/>
                      <w:sz w:val="18"/>
                      <w:szCs w:val="18"/>
                      <w:vertAlign w:val="subscript"/>
                    </w:rPr>
                    <w:t>5</w:t>
                  </w:r>
                  <w:r>
                    <w:rPr>
                      <w:rFonts w:hint="default" w:ascii="Times New Roman" w:hAnsi="Times New Roman" w:cs="Times New Roman"/>
                      <w:sz w:val="18"/>
                      <w:szCs w:val="18"/>
                    </w:rPr>
                    <w:t>、悬浮物</w:t>
                  </w:r>
                </w:p>
              </w:tc>
              <w:tc>
                <w:tcPr>
                  <w:tcW w:w="283" w:type="pct"/>
                  <w:tcBorders>
                    <w:top w:val="single" w:color="auto" w:sz="4" w:space="0"/>
                    <w:left w:val="single" w:color="auto" w:sz="4" w:space="0"/>
                    <w:bottom w:val="single" w:color="auto" w:sz="4" w:space="0"/>
                    <w:right w:val="single" w:color="auto" w:sz="4" w:space="0"/>
                  </w:tcBorders>
                  <w:vAlign w:val="center"/>
                </w:tcPr>
                <w:p w14:paraId="718C6B2D">
                  <w:pPr>
                    <w:jc w:val="center"/>
                    <w:rPr>
                      <w:rFonts w:hint="default" w:ascii="Times New Roman" w:hAnsi="Times New Roman" w:cs="Times New Roman"/>
                      <w:sz w:val="18"/>
                      <w:szCs w:val="18"/>
                    </w:rPr>
                  </w:pPr>
                  <w:r>
                    <w:rPr>
                      <w:rFonts w:hint="default" w:ascii="Times New Roman" w:hAnsi="Times New Roman" w:cs="Times New Roman"/>
                      <w:sz w:val="18"/>
                      <w:szCs w:val="18"/>
                    </w:rPr>
                    <w:t>生活废水</w:t>
                  </w:r>
                </w:p>
              </w:tc>
              <w:tc>
                <w:tcPr>
                  <w:tcW w:w="320" w:type="pct"/>
                  <w:tcBorders>
                    <w:top w:val="single" w:color="auto" w:sz="4" w:space="0"/>
                    <w:left w:val="single" w:color="auto" w:sz="4" w:space="0"/>
                    <w:bottom w:val="single" w:color="auto" w:sz="4" w:space="0"/>
                    <w:right w:val="single" w:color="auto" w:sz="4" w:space="0"/>
                  </w:tcBorders>
                  <w:vAlign w:val="center"/>
                </w:tcPr>
                <w:p w14:paraId="2160F3EE">
                  <w:pPr>
                    <w:jc w:val="center"/>
                    <w:rPr>
                      <w:rFonts w:hint="default" w:ascii="Times New Roman" w:hAnsi="Times New Roman" w:cs="Times New Roman"/>
                      <w:sz w:val="18"/>
                      <w:szCs w:val="18"/>
                    </w:rPr>
                  </w:pPr>
                  <w:r>
                    <w:rPr>
                      <w:rFonts w:hint="default" w:ascii="Times New Roman" w:hAnsi="Times New Roman" w:cs="Times New Roman"/>
                      <w:sz w:val="18"/>
                      <w:szCs w:val="18"/>
                    </w:rPr>
                    <w:t>预处理设施</w:t>
                  </w:r>
                </w:p>
              </w:tc>
              <w:tc>
                <w:tcPr>
                  <w:tcW w:w="304" w:type="pct"/>
                  <w:tcBorders>
                    <w:top w:val="single" w:color="auto" w:sz="4" w:space="0"/>
                    <w:left w:val="single" w:color="auto" w:sz="4" w:space="0"/>
                    <w:bottom w:val="single" w:color="auto" w:sz="4" w:space="0"/>
                    <w:right w:val="single" w:color="auto" w:sz="4" w:space="0"/>
                  </w:tcBorders>
                  <w:vAlign w:val="center"/>
                </w:tcPr>
                <w:p w14:paraId="657EAB6C">
                  <w:pPr>
                    <w:jc w:val="center"/>
                    <w:rPr>
                      <w:rFonts w:hint="default" w:ascii="Times New Roman" w:hAnsi="Times New Roman" w:cs="Times New Roman"/>
                      <w:sz w:val="18"/>
                      <w:szCs w:val="18"/>
                    </w:rPr>
                  </w:pPr>
                  <w:r>
                    <w:rPr>
                      <w:rFonts w:hint="default" w:ascii="Times New Roman" w:hAnsi="Times New Roman" w:cs="Times New Roman"/>
                      <w:sz w:val="18"/>
                      <w:szCs w:val="18"/>
                    </w:rPr>
                    <w:t>沉淀</w:t>
                  </w:r>
                </w:p>
              </w:tc>
              <w:tc>
                <w:tcPr>
                  <w:tcW w:w="369" w:type="pct"/>
                  <w:tcBorders>
                    <w:top w:val="single" w:color="auto" w:sz="4" w:space="0"/>
                    <w:left w:val="single" w:color="auto" w:sz="4" w:space="0"/>
                    <w:bottom w:val="single" w:color="auto" w:sz="4" w:space="0"/>
                    <w:right w:val="single" w:color="auto" w:sz="4" w:space="0"/>
                  </w:tcBorders>
                  <w:vAlign w:val="center"/>
                </w:tcPr>
                <w:p w14:paraId="7956DF9C">
                  <w:pPr>
                    <w:jc w:val="center"/>
                    <w:rPr>
                      <w:rFonts w:hint="default" w:ascii="Times New Roman" w:hAnsi="Times New Roman" w:cs="Times New Roman"/>
                      <w:sz w:val="18"/>
                      <w:szCs w:val="18"/>
                    </w:rPr>
                  </w:pPr>
                  <w:r>
                    <w:rPr>
                      <w:rFonts w:hint="default" w:ascii="Times New Roman" w:hAnsi="Times New Roman" w:cs="Times New Roman"/>
                      <w:sz w:val="18"/>
                      <w:szCs w:val="18"/>
                    </w:rPr>
                    <w:t>2</w:t>
                  </w:r>
                </w:p>
              </w:tc>
              <w:tc>
                <w:tcPr>
                  <w:tcW w:w="413" w:type="pct"/>
                  <w:tcBorders>
                    <w:top w:val="single" w:color="auto" w:sz="4" w:space="0"/>
                    <w:left w:val="single" w:color="auto" w:sz="4" w:space="0"/>
                    <w:bottom w:val="single" w:color="auto" w:sz="4" w:space="0"/>
                    <w:right w:val="single" w:color="auto" w:sz="4" w:space="0"/>
                  </w:tcBorders>
                  <w:vAlign w:val="center"/>
                </w:tcPr>
                <w:p w14:paraId="3E925D78">
                  <w:pPr>
                    <w:jc w:val="center"/>
                    <w:rPr>
                      <w:rFonts w:hint="default" w:ascii="Times New Roman" w:hAnsi="Times New Roman" w:cs="Times New Roman"/>
                      <w:sz w:val="18"/>
                      <w:szCs w:val="18"/>
                    </w:rPr>
                  </w:pPr>
                  <w:r>
                    <w:rPr>
                      <w:rFonts w:hint="default" w:ascii="Times New Roman" w:hAnsi="Times New Roman" w:cs="Times New Roman"/>
                      <w:sz w:val="18"/>
                      <w:szCs w:val="18"/>
                    </w:rPr>
                    <w:t>是</w:t>
                  </w:r>
                </w:p>
              </w:tc>
              <w:tc>
                <w:tcPr>
                  <w:tcW w:w="292" w:type="pct"/>
                  <w:tcBorders>
                    <w:top w:val="single" w:color="auto" w:sz="4" w:space="0"/>
                    <w:left w:val="single" w:color="auto" w:sz="4" w:space="0"/>
                    <w:bottom w:val="single" w:color="auto" w:sz="4" w:space="0"/>
                    <w:right w:val="single" w:color="auto" w:sz="4" w:space="0"/>
                  </w:tcBorders>
                  <w:vAlign w:val="center"/>
                </w:tcPr>
                <w:p w14:paraId="46590366">
                  <w:pPr>
                    <w:jc w:val="center"/>
                    <w:rPr>
                      <w:rFonts w:hint="default" w:ascii="Times New Roman" w:hAnsi="Times New Roman" w:cs="Times New Roman"/>
                      <w:sz w:val="18"/>
                      <w:szCs w:val="18"/>
                    </w:rPr>
                  </w:pPr>
                  <w:r>
                    <w:rPr>
                      <w:rFonts w:hint="default" w:ascii="Times New Roman" w:hAnsi="Times New Roman" w:cs="Times New Roman"/>
                      <w:sz w:val="18"/>
                      <w:szCs w:val="18"/>
                    </w:rPr>
                    <w:t>化粪池</w:t>
                  </w:r>
                </w:p>
              </w:tc>
              <w:tc>
                <w:tcPr>
                  <w:tcW w:w="361" w:type="pct"/>
                  <w:tcBorders>
                    <w:top w:val="single" w:color="auto" w:sz="4" w:space="0"/>
                    <w:left w:val="single" w:color="auto" w:sz="4" w:space="0"/>
                    <w:bottom w:val="single" w:color="auto" w:sz="4" w:space="0"/>
                    <w:right w:val="single" w:color="auto" w:sz="4" w:space="0"/>
                  </w:tcBorders>
                  <w:vAlign w:val="center"/>
                </w:tcPr>
                <w:p w14:paraId="533FB8CF">
                  <w:pPr>
                    <w:jc w:val="center"/>
                    <w:rPr>
                      <w:rFonts w:hint="default" w:ascii="Times New Roman" w:hAnsi="Times New Roman" w:cs="Times New Roman"/>
                      <w:sz w:val="18"/>
                      <w:szCs w:val="18"/>
                    </w:rPr>
                  </w:pPr>
                  <w:r>
                    <w:rPr>
                      <w:rFonts w:hint="default" w:ascii="Times New Roman" w:hAnsi="Times New Roman" w:cs="Times New Roman"/>
                      <w:sz w:val="18"/>
                      <w:szCs w:val="18"/>
                    </w:rPr>
                    <w:t>进入城市污水处理厂</w:t>
                  </w:r>
                </w:p>
              </w:tc>
              <w:tc>
                <w:tcPr>
                  <w:tcW w:w="356" w:type="pct"/>
                  <w:tcBorders>
                    <w:top w:val="single" w:color="auto" w:sz="4" w:space="0"/>
                    <w:left w:val="single" w:color="auto" w:sz="4" w:space="0"/>
                    <w:bottom w:val="single" w:color="auto" w:sz="4" w:space="0"/>
                    <w:right w:val="single" w:color="auto" w:sz="4" w:space="0"/>
                  </w:tcBorders>
                  <w:vAlign w:val="center"/>
                </w:tcPr>
                <w:p w14:paraId="55E9A8DC">
                  <w:pPr>
                    <w:jc w:val="center"/>
                    <w:rPr>
                      <w:rFonts w:hint="default" w:ascii="Times New Roman" w:hAnsi="Times New Roman" w:cs="Times New Roman"/>
                      <w:sz w:val="18"/>
                      <w:szCs w:val="18"/>
                    </w:rPr>
                  </w:pPr>
                  <w:r>
                    <w:rPr>
                      <w:rFonts w:hint="default" w:ascii="Times New Roman" w:hAnsi="Times New Roman" w:cs="Times New Roman"/>
                      <w:sz w:val="18"/>
                      <w:szCs w:val="18"/>
                    </w:rPr>
                    <w:t>间接排放</w:t>
                  </w:r>
                </w:p>
              </w:tc>
              <w:tc>
                <w:tcPr>
                  <w:tcW w:w="352" w:type="pct"/>
                  <w:tcBorders>
                    <w:top w:val="single" w:color="auto" w:sz="4" w:space="0"/>
                    <w:left w:val="single" w:color="auto" w:sz="4" w:space="0"/>
                    <w:bottom w:val="single" w:color="auto" w:sz="4" w:space="0"/>
                    <w:right w:val="single" w:color="auto" w:sz="4" w:space="0"/>
                  </w:tcBorders>
                  <w:vAlign w:val="center"/>
                </w:tcPr>
                <w:p w14:paraId="121A9733">
                  <w:pPr>
                    <w:jc w:val="center"/>
                    <w:rPr>
                      <w:rFonts w:hint="default" w:ascii="Times New Roman" w:hAnsi="Times New Roman" w:cs="Times New Roman"/>
                      <w:sz w:val="18"/>
                      <w:szCs w:val="18"/>
                    </w:rPr>
                  </w:pPr>
                  <w:r>
                    <w:rPr>
                      <w:rFonts w:hint="default" w:ascii="Times New Roman" w:hAnsi="Times New Roman" w:cs="Times New Roman"/>
                      <w:sz w:val="18"/>
                      <w:szCs w:val="18"/>
                    </w:rPr>
                    <w:t>间断排放</w:t>
                  </w:r>
                </w:p>
              </w:tc>
              <w:tc>
                <w:tcPr>
                  <w:tcW w:w="366" w:type="pct"/>
                  <w:tcBorders>
                    <w:top w:val="single" w:color="auto" w:sz="4" w:space="0"/>
                    <w:left w:val="single" w:color="auto" w:sz="4" w:space="0"/>
                    <w:bottom w:val="single" w:color="auto" w:sz="4" w:space="0"/>
                    <w:right w:val="single" w:color="auto" w:sz="4" w:space="0"/>
                  </w:tcBorders>
                  <w:vAlign w:val="center"/>
                </w:tcPr>
                <w:p w14:paraId="0D35FBDA">
                  <w:pPr>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DW00</w:t>
                  </w:r>
                  <w:r>
                    <w:rPr>
                      <w:rFonts w:hint="eastAsia" w:cs="Times New Roman"/>
                      <w:sz w:val="18"/>
                      <w:szCs w:val="18"/>
                      <w:lang w:val="en-US" w:eastAsia="zh-CN"/>
                    </w:rPr>
                    <w:t>1</w:t>
                  </w:r>
                </w:p>
              </w:tc>
              <w:tc>
                <w:tcPr>
                  <w:tcW w:w="393" w:type="pct"/>
                  <w:tcBorders>
                    <w:top w:val="single" w:color="auto" w:sz="4" w:space="0"/>
                    <w:left w:val="single" w:color="auto" w:sz="4" w:space="0"/>
                    <w:bottom w:val="single" w:color="auto" w:sz="4" w:space="0"/>
                    <w:right w:val="single" w:color="auto" w:sz="4" w:space="0"/>
                  </w:tcBorders>
                  <w:vAlign w:val="center"/>
                </w:tcPr>
                <w:p w14:paraId="40CCDA2D">
                  <w:pPr>
                    <w:jc w:val="center"/>
                    <w:rPr>
                      <w:rFonts w:hint="default" w:ascii="Times New Roman" w:hAnsi="Times New Roman" w:cs="Times New Roman"/>
                      <w:sz w:val="18"/>
                      <w:szCs w:val="18"/>
                    </w:rPr>
                  </w:pPr>
                  <w:r>
                    <w:rPr>
                      <w:rFonts w:hint="default" w:ascii="Times New Roman" w:hAnsi="Times New Roman" w:cs="Times New Roman"/>
                      <w:sz w:val="18"/>
                      <w:szCs w:val="18"/>
                      <w:lang w:eastAsia="zh-CN"/>
                    </w:rPr>
                    <w:t>生活</w:t>
                  </w:r>
                  <w:r>
                    <w:rPr>
                      <w:rFonts w:hint="default" w:ascii="Times New Roman" w:hAnsi="Times New Roman" w:cs="Times New Roman"/>
                      <w:sz w:val="18"/>
                      <w:szCs w:val="18"/>
                    </w:rPr>
                    <w:t>污水排放口</w:t>
                  </w:r>
                </w:p>
              </w:tc>
              <w:tc>
                <w:tcPr>
                  <w:tcW w:w="366" w:type="pct"/>
                  <w:tcBorders>
                    <w:top w:val="single" w:color="auto" w:sz="4" w:space="0"/>
                    <w:left w:val="single" w:color="auto" w:sz="4" w:space="0"/>
                    <w:bottom w:val="single" w:color="auto" w:sz="4" w:space="0"/>
                    <w:right w:val="single" w:color="auto" w:sz="4" w:space="0"/>
                  </w:tcBorders>
                  <w:vAlign w:val="center"/>
                </w:tcPr>
                <w:p w14:paraId="42709212">
                  <w:pPr>
                    <w:jc w:val="center"/>
                    <w:rPr>
                      <w:rFonts w:hint="default" w:ascii="Times New Roman" w:hAnsi="Times New Roman" w:cs="Times New Roman"/>
                      <w:sz w:val="18"/>
                      <w:szCs w:val="18"/>
                    </w:rPr>
                  </w:pPr>
                  <w:r>
                    <w:rPr>
                      <w:rFonts w:hint="default" w:ascii="Times New Roman" w:hAnsi="Times New Roman" w:cs="Times New Roman"/>
                      <w:sz w:val="18"/>
                      <w:szCs w:val="18"/>
                    </w:rPr>
                    <w:t>一般排放口</w:t>
                  </w:r>
                </w:p>
              </w:tc>
            </w:tr>
          </w:tbl>
          <w:p w14:paraId="551236C6">
            <w:pPr>
              <w:spacing w:line="360" w:lineRule="auto"/>
              <w:ind w:firstLine="422" w:firstLineChars="200"/>
              <w:jc w:val="center"/>
              <w:rPr>
                <w:rFonts w:hint="default" w:ascii="Times New Roman" w:hAnsi="Times New Roman" w:eastAsia="黑体" w:cs="Times New Roman"/>
              </w:rPr>
            </w:pPr>
            <w:r>
              <w:rPr>
                <w:rFonts w:hint="default" w:ascii="Times New Roman" w:hAnsi="Times New Roman" w:eastAsia="宋体" w:cs="Times New Roman"/>
                <w:b/>
                <w:bCs/>
              </w:rPr>
              <w:t>表4-</w:t>
            </w:r>
            <w:r>
              <w:rPr>
                <w:rFonts w:hint="default" w:ascii="Times New Roman" w:hAnsi="Times New Roman" w:eastAsia="宋体" w:cs="Times New Roman"/>
                <w:b/>
                <w:bCs/>
                <w:lang w:val="en-US" w:eastAsia="zh-CN"/>
              </w:rPr>
              <w:t>17</w:t>
            </w:r>
            <w:r>
              <w:rPr>
                <w:rFonts w:hint="default" w:ascii="Times New Roman" w:hAnsi="Times New Roman" w:eastAsia="宋体" w:cs="Times New Roman"/>
                <w:b/>
                <w:bCs/>
              </w:rPr>
              <w:t>废水间接排放口基本信息情况表</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
              <w:gridCol w:w="782"/>
              <w:gridCol w:w="657"/>
              <w:gridCol w:w="1257"/>
              <w:gridCol w:w="773"/>
              <w:gridCol w:w="769"/>
              <w:gridCol w:w="622"/>
              <w:gridCol w:w="682"/>
              <w:gridCol w:w="763"/>
              <w:gridCol w:w="876"/>
              <w:gridCol w:w="646"/>
            </w:tblGrid>
            <w:tr w14:paraId="1C7743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2" w:type="dxa"/>
                  <w:vMerge w:val="restart"/>
                  <w:tcBorders>
                    <w:top w:val="single" w:color="auto" w:sz="4" w:space="0"/>
                    <w:left w:val="single" w:color="auto" w:sz="4" w:space="0"/>
                    <w:bottom w:val="single" w:color="auto" w:sz="4" w:space="0"/>
                    <w:right w:val="single" w:color="auto" w:sz="4" w:space="0"/>
                  </w:tcBorders>
                  <w:vAlign w:val="center"/>
                </w:tcPr>
                <w:p w14:paraId="067A5A1E">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序号</w:t>
                  </w:r>
                </w:p>
              </w:tc>
              <w:tc>
                <w:tcPr>
                  <w:tcW w:w="788" w:type="dxa"/>
                  <w:vMerge w:val="restart"/>
                  <w:tcBorders>
                    <w:top w:val="single" w:color="auto" w:sz="4" w:space="0"/>
                    <w:left w:val="single" w:color="auto" w:sz="4" w:space="0"/>
                    <w:bottom w:val="single" w:color="auto" w:sz="4" w:space="0"/>
                    <w:right w:val="single" w:color="auto" w:sz="4" w:space="0"/>
                  </w:tcBorders>
                  <w:vAlign w:val="center"/>
                </w:tcPr>
                <w:p w14:paraId="41D7347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排放口编号</w:t>
                  </w:r>
                </w:p>
              </w:tc>
              <w:tc>
                <w:tcPr>
                  <w:tcW w:w="662" w:type="dxa"/>
                  <w:vMerge w:val="restart"/>
                  <w:tcBorders>
                    <w:top w:val="single" w:color="auto" w:sz="4" w:space="0"/>
                    <w:left w:val="single" w:color="auto" w:sz="4" w:space="0"/>
                    <w:bottom w:val="single" w:color="auto" w:sz="4" w:space="0"/>
                    <w:right w:val="single" w:color="auto" w:sz="4" w:space="0"/>
                  </w:tcBorders>
                  <w:vAlign w:val="center"/>
                </w:tcPr>
                <w:p w14:paraId="43C4C2F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排放口名称</w:t>
                  </w:r>
                </w:p>
              </w:tc>
              <w:tc>
                <w:tcPr>
                  <w:tcW w:w="1267" w:type="dxa"/>
                  <w:vMerge w:val="restart"/>
                  <w:tcBorders>
                    <w:top w:val="single" w:color="auto" w:sz="4" w:space="0"/>
                    <w:left w:val="single" w:color="auto" w:sz="4" w:space="0"/>
                    <w:bottom w:val="single" w:color="auto" w:sz="4" w:space="0"/>
                    <w:right w:val="single" w:color="auto" w:sz="4" w:space="0"/>
                  </w:tcBorders>
                  <w:vAlign w:val="center"/>
                </w:tcPr>
                <w:p w14:paraId="704B8F01">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排放口地理坐标</w:t>
                  </w:r>
                </w:p>
              </w:tc>
              <w:tc>
                <w:tcPr>
                  <w:tcW w:w="779" w:type="dxa"/>
                  <w:vMerge w:val="restart"/>
                  <w:tcBorders>
                    <w:top w:val="single" w:color="auto" w:sz="4" w:space="0"/>
                    <w:left w:val="single" w:color="auto" w:sz="4" w:space="0"/>
                    <w:bottom w:val="single" w:color="auto" w:sz="4" w:space="0"/>
                    <w:right w:val="single" w:color="auto" w:sz="4" w:space="0"/>
                  </w:tcBorders>
                  <w:vAlign w:val="center"/>
                </w:tcPr>
                <w:p w14:paraId="057F7428">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排放去向</w:t>
                  </w:r>
                </w:p>
              </w:tc>
              <w:tc>
                <w:tcPr>
                  <w:tcW w:w="775" w:type="dxa"/>
                  <w:vMerge w:val="restart"/>
                  <w:tcBorders>
                    <w:top w:val="single" w:color="auto" w:sz="4" w:space="0"/>
                    <w:left w:val="single" w:color="auto" w:sz="4" w:space="0"/>
                    <w:bottom w:val="single" w:color="auto" w:sz="4" w:space="0"/>
                    <w:right w:val="single" w:color="auto" w:sz="4" w:space="0"/>
                  </w:tcBorders>
                  <w:vAlign w:val="center"/>
                </w:tcPr>
                <w:p w14:paraId="2CBBC1B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排放规律</w:t>
                  </w:r>
                </w:p>
              </w:tc>
              <w:tc>
                <w:tcPr>
                  <w:tcW w:w="627" w:type="dxa"/>
                  <w:vMerge w:val="restart"/>
                  <w:tcBorders>
                    <w:top w:val="single" w:color="auto" w:sz="4" w:space="0"/>
                    <w:left w:val="single" w:color="auto" w:sz="4" w:space="0"/>
                    <w:bottom w:val="single" w:color="auto" w:sz="4" w:space="0"/>
                    <w:right w:val="single" w:color="auto" w:sz="4" w:space="0"/>
                  </w:tcBorders>
                  <w:vAlign w:val="center"/>
                </w:tcPr>
                <w:p w14:paraId="34B9FA5C">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间歇排放时段</w:t>
                  </w:r>
                </w:p>
              </w:tc>
              <w:tc>
                <w:tcPr>
                  <w:tcW w:w="2990" w:type="dxa"/>
                  <w:gridSpan w:val="4"/>
                  <w:tcBorders>
                    <w:top w:val="single" w:color="auto" w:sz="4" w:space="0"/>
                    <w:left w:val="single" w:color="auto" w:sz="4" w:space="0"/>
                    <w:bottom w:val="single" w:color="auto" w:sz="4" w:space="0"/>
                    <w:right w:val="single" w:color="auto" w:sz="4" w:space="0"/>
                  </w:tcBorders>
                  <w:vAlign w:val="center"/>
                </w:tcPr>
                <w:p w14:paraId="44B1043D">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受纳污水处理厂信息</w:t>
                  </w:r>
                </w:p>
              </w:tc>
            </w:tr>
            <w:tr w14:paraId="18FD68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62" w:type="dxa"/>
                  <w:vMerge w:val="continue"/>
                  <w:tcBorders>
                    <w:top w:val="single" w:color="auto" w:sz="4" w:space="0"/>
                    <w:left w:val="single" w:color="auto" w:sz="4" w:space="0"/>
                    <w:bottom w:val="single" w:color="auto" w:sz="4" w:space="0"/>
                    <w:right w:val="single" w:color="auto" w:sz="4" w:space="0"/>
                  </w:tcBorders>
                  <w:vAlign w:val="center"/>
                </w:tcPr>
                <w:p w14:paraId="6DA456E2">
                  <w:pPr>
                    <w:jc w:val="center"/>
                    <w:rPr>
                      <w:rFonts w:hint="default" w:ascii="Times New Roman" w:hAnsi="Times New Roman" w:cs="Times New Roman"/>
                      <w:b/>
                      <w:bCs/>
                      <w:sz w:val="18"/>
                      <w:szCs w:val="18"/>
                    </w:rPr>
                  </w:pP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6638A707">
                  <w:pPr>
                    <w:jc w:val="center"/>
                    <w:rPr>
                      <w:rFonts w:hint="default" w:ascii="Times New Roman" w:hAnsi="Times New Roman" w:cs="Times New Roman"/>
                      <w:b/>
                      <w:bCs/>
                      <w:sz w:val="18"/>
                      <w:szCs w:val="18"/>
                    </w:rPr>
                  </w:pPr>
                </w:p>
              </w:tc>
              <w:tc>
                <w:tcPr>
                  <w:tcW w:w="662" w:type="dxa"/>
                  <w:vMerge w:val="continue"/>
                  <w:tcBorders>
                    <w:top w:val="single" w:color="auto" w:sz="4" w:space="0"/>
                    <w:left w:val="single" w:color="auto" w:sz="4" w:space="0"/>
                    <w:bottom w:val="single" w:color="auto" w:sz="4" w:space="0"/>
                    <w:right w:val="single" w:color="auto" w:sz="4" w:space="0"/>
                  </w:tcBorders>
                  <w:vAlign w:val="center"/>
                </w:tcPr>
                <w:p w14:paraId="341C045E">
                  <w:pPr>
                    <w:jc w:val="center"/>
                    <w:rPr>
                      <w:rFonts w:hint="default" w:ascii="Times New Roman" w:hAnsi="Times New Roman" w:cs="Times New Roman"/>
                      <w:b/>
                      <w:bCs/>
                      <w:sz w:val="18"/>
                      <w:szCs w:val="18"/>
                    </w:rPr>
                  </w:pPr>
                </w:p>
              </w:tc>
              <w:tc>
                <w:tcPr>
                  <w:tcW w:w="1267" w:type="dxa"/>
                  <w:vMerge w:val="continue"/>
                  <w:tcBorders>
                    <w:top w:val="single" w:color="auto" w:sz="4" w:space="0"/>
                    <w:left w:val="single" w:color="auto" w:sz="4" w:space="0"/>
                    <w:bottom w:val="single" w:color="auto" w:sz="4" w:space="0"/>
                    <w:right w:val="single" w:color="auto" w:sz="4" w:space="0"/>
                  </w:tcBorders>
                  <w:vAlign w:val="center"/>
                </w:tcPr>
                <w:p w14:paraId="783D8EA4">
                  <w:pPr>
                    <w:jc w:val="center"/>
                    <w:rPr>
                      <w:rFonts w:hint="default" w:ascii="Times New Roman" w:hAnsi="Times New Roman" w:cs="Times New Roman"/>
                      <w:b/>
                      <w:bCs/>
                      <w:sz w:val="18"/>
                      <w:szCs w:val="18"/>
                    </w:rPr>
                  </w:pPr>
                </w:p>
              </w:tc>
              <w:tc>
                <w:tcPr>
                  <w:tcW w:w="779" w:type="dxa"/>
                  <w:vMerge w:val="continue"/>
                  <w:tcBorders>
                    <w:top w:val="single" w:color="auto" w:sz="4" w:space="0"/>
                    <w:left w:val="single" w:color="auto" w:sz="4" w:space="0"/>
                    <w:bottom w:val="single" w:color="auto" w:sz="4" w:space="0"/>
                    <w:right w:val="single" w:color="auto" w:sz="4" w:space="0"/>
                  </w:tcBorders>
                  <w:vAlign w:val="center"/>
                </w:tcPr>
                <w:p w14:paraId="67FBAEBA">
                  <w:pPr>
                    <w:jc w:val="center"/>
                    <w:rPr>
                      <w:rFonts w:hint="default" w:ascii="Times New Roman" w:hAnsi="Times New Roman" w:cs="Times New Roman"/>
                      <w:b/>
                      <w:bCs/>
                      <w:sz w:val="18"/>
                      <w:szCs w:val="18"/>
                    </w:rPr>
                  </w:pPr>
                </w:p>
              </w:tc>
              <w:tc>
                <w:tcPr>
                  <w:tcW w:w="775" w:type="dxa"/>
                  <w:vMerge w:val="continue"/>
                  <w:tcBorders>
                    <w:top w:val="single" w:color="auto" w:sz="4" w:space="0"/>
                    <w:left w:val="single" w:color="auto" w:sz="4" w:space="0"/>
                    <w:bottom w:val="single" w:color="auto" w:sz="4" w:space="0"/>
                    <w:right w:val="single" w:color="auto" w:sz="4" w:space="0"/>
                  </w:tcBorders>
                  <w:vAlign w:val="center"/>
                </w:tcPr>
                <w:p w14:paraId="08601184">
                  <w:pPr>
                    <w:jc w:val="center"/>
                    <w:rPr>
                      <w:rFonts w:hint="default" w:ascii="Times New Roman" w:hAnsi="Times New Roman" w:cs="Times New Roman"/>
                      <w:b/>
                      <w:bCs/>
                      <w:sz w:val="18"/>
                      <w:szCs w:val="18"/>
                    </w:rPr>
                  </w:pPr>
                </w:p>
              </w:tc>
              <w:tc>
                <w:tcPr>
                  <w:tcW w:w="627" w:type="dxa"/>
                  <w:vMerge w:val="continue"/>
                  <w:tcBorders>
                    <w:top w:val="single" w:color="auto" w:sz="4" w:space="0"/>
                    <w:left w:val="single" w:color="auto" w:sz="4" w:space="0"/>
                    <w:bottom w:val="single" w:color="auto" w:sz="4" w:space="0"/>
                    <w:right w:val="single" w:color="auto" w:sz="4" w:space="0"/>
                  </w:tcBorders>
                  <w:vAlign w:val="center"/>
                </w:tcPr>
                <w:p w14:paraId="5297BA43">
                  <w:pPr>
                    <w:jc w:val="center"/>
                    <w:rPr>
                      <w:rFonts w:hint="default" w:ascii="Times New Roman" w:hAnsi="Times New Roman" w:cs="Times New Roman"/>
                      <w:b/>
                      <w:bCs/>
                      <w:sz w:val="18"/>
                      <w:szCs w:val="18"/>
                    </w:rPr>
                  </w:pPr>
                </w:p>
              </w:tc>
              <w:tc>
                <w:tcPr>
                  <w:tcW w:w="687" w:type="dxa"/>
                  <w:tcBorders>
                    <w:top w:val="single" w:color="auto" w:sz="4" w:space="0"/>
                    <w:left w:val="single" w:color="auto" w:sz="4" w:space="0"/>
                    <w:bottom w:val="single" w:color="auto" w:sz="4" w:space="0"/>
                    <w:right w:val="single" w:color="auto" w:sz="4" w:space="0"/>
                  </w:tcBorders>
                  <w:vAlign w:val="center"/>
                </w:tcPr>
                <w:p w14:paraId="523ED0D8">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769" w:type="dxa"/>
                  <w:tcBorders>
                    <w:top w:val="single" w:color="auto" w:sz="4" w:space="0"/>
                    <w:left w:val="single" w:color="auto" w:sz="4" w:space="0"/>
                    <w:bottom w:val="single" w:color="auto" w:sz="4" w:space="0"/>
                    <w:right w:val="single" w:color="auto" w:sz="4" w:space="0"/>
                  </w:tcBorders>
                  <w:vAlign w:val="center"/>
                </w:tcPr>
                <w:p w14:paraId="70725FCB">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污染物种类</w:t>
                  </w:r>
                </w:p>
              </w:tc>
              <w:tc>
                <w:tcPr>
                  <w:tcW w:w="883" w:type="dxa"/>
                  <w:tcBorders>
                    <w:top w:val="single" w:color="auto" w:sz="4" w:space="0"/>
                    <w:left w:val="single" w:color="auto" w:sz="4" w:space="0"/>
                    <w:bottom w:val="single" w:color="auto" w:sz="4" w:space="0"/>
                    <w:right w:val="single" w:color="auto" w:sz="4" w:space="0"/>
                  </w:tcBorders>
                  <w:vAlign w:val="center"/>
                </w:tcPr>
                <w:p w14:paraId="137380F9">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排水协议规定的浓度限值(mg/L)</w:t>
                  </w:r>
                </w:p>
              </w:tc>
              <w:tc>
                <w:tcPr>
                  <w:tcW w:w="651" w:type="dxa"/>
                  <w:tcBorders>
                    <w:top w:val="single" w:color="auto" w:sz="4" w:space="0"/>
                    <w:left w:val="single" w:color="auto" w:sz="4" w:space="0"/>
                    <w:bottom w:val="single" w:color="auto" w:sz="4" w:space="0"/>
                    <w:right w:val="single" w:color="auto" w:sz="4" w:space="0"/>
                  </w:tcBorders>
                  <w:vAlign w:val="center"/>
                </w:tcPr>
                <w:p w14:paraId="1DAC8AB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国家或地方污染物排放标准浓度限值</w:t>
                  </w:r>
                </w:p>
              </w:tc>
            </w:tr>
            <w:tr w14:paraId="2D198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62" w:type="dxa"/>
                  <w:vMerge w:val="restart"/>
                  <w:tcBorders>
                    <w:top w:val="single" w:color="auto" w:sz="4" w:space="0"/>
                    <w:left w:val="single" w:color="auto" w:sz="4" w:space="0"/>
                    <w:bottom w:val="single" w:color="auto" w:sz="4" w:space="0"/>
                    <w:right w:val="single" w:color="auto" w:sz="4" w:space="0"/>
                  </w:tcBorders>
                  <w:vAlign w:val="center"/>
                </w:tcPr>
                <w:p w14:paraId="6D65A89D">
                  <w:pPr>
                    <w:jc w:val="center"/>
                    <w:rPr>
                      <w:rFonts w:hint="default" w:ascii="Times New Roman" w:hAnsi="Times New Roman" w:cs="Times New Roman"/>
                      <w:sz w:val="18"/>
                      <w:szCs w:val="18"/>
                    </w:rPr>
                  </w:pPr>
                  <w:r>
                    <w:rPr>
                      <w:rFonts w:hint="default" w:ascii="Times New Roman" w:hAnsi="Times New Roman" w:cs="Times New Roman"/>
                      <w:sz w:val="18"/>
                      <w:szCs w:val="18"/>
                    </w:rPr>
                    <w:t>1</w:t>
                  </w:r>
                </w:p>
              </w:tc>
              <w:tc>
                <w:tcPr>
                  <w:tcW w:w="788" w:type="dxa"/>
                  <w:vMerge w:val="restart"/>
                  <w:tcBorders>
                    <w:top w:val="single" w:color="auto" w:sz="4" w:space="0"/>
                    <w:left w:val="single" w:color="auto" w:sz="4" w:space="0"/>
                    <w:bottom w:val="single" w:color="auto" w:sz="4" w:space="0"/>
                    <w:right w:val="single" w:color="auto" w:sz="4" w:space="0"/>
                  </w:tcBorders>
                  <w:vAlign w:val="center"/>
                </w:tcPr>
                <w:p w14:paraId="48F6B0A8">
                  <w:pPr>
                    <w:jc w:val="center"/>
                    <w:rPr>
                      <w:rFonts w:hint="default" w:ascii="Times New Roman" w:hAnsi="Times New Roman" w:cs="Times New Roman"/>
                      <w:sz w:val="18"/>
                      <w:szCs w:val="18"/>
                    </w:rPr>
                  </w:pPr>
                  <w:r>
                    <w:rPr>
                      <w:rFonts w:hint="default" w:ascii="Times New Roman" w:hAnsi="Times New Roman" w:cs="Times New Roman"/>
                      <w:sz w:val="18"/>
                      <w:szCs w:val="18"/>
                    </w:rPr>
                    <w:t>DW001</w:t>
                  </w:r>
                </w:p>
              </w:tc>
              <w:tc>
                <w:tcPr>
                  <w:tcW w:w="662" w:type="dxa"/>
                  <w:vMerge w:val="restart"/>
                  <w:tcBorders>
                    <w:top w:val="single" w:color="auto" w:sz="4" w:space="0"/>
                    <w:left w:val="single" w:color="auto" w:sz="4" w:space="0"/>
                    <w:bottom w:val="single" w:color="auto" w:sz="4" w:space="0"/>
                    <w:right w:val="single" w:color="auto" w:sz="4" w:space="0"/>
                  </w:tcBorders>
                  <w:vAlign w:val="center"/>
                </w:tcPr>
                <w:p w14:paraId="7895AAE5">
                  <w:pPr>
                    <w:jc w:val="center"/>
                    <w:rPr>
                      <w:rFonts w:hint="default" w:ascii="Times New Roman" w:hAnsi="Times New Roman" w:cs="Times New Roman"/>
                      <w:sz w:val="18"/>
                      <w:szCs w:val="18"/>
                    </w:rPr>
                  </w:pPr>
                  <w:r>
                    <w:rPr>
                      <w:rFonts w:hint="default" w:ascii="Times New Roman" w:hAnsi="Times New Roman" w:cs="Times New Roman"/>
                      <w:sz w:val="18"/>
                      <w:szCs w:val="18"/>
                      <w:lang w:eastAsia="zh-CN"/>
                    </w:rPr>
                    <w:t>生</w:t>
                  </w:r>
                  <w:r>
                    <w:rPr>
                      <w:rFonts w:hint="eastAsia" w:cs="Times New Roman"/>
                      <w:sz w:val="18"/>
                      <w:szCs w:val="18"/>
                      <w:lang w:eastAsia="zh-CN"/>
                    </w:rPr>
                    <w:t>活</w:t>
                  </w:r>
                  <w:r>
                    <w:rPr>
                      <w:rFonts w:hint="default" w:ascii="Times New Roman" w:hAnsi="Times New Roman" w:cs="Times New Roman"/>
                      <w:sz w:val="18"/>
                      <w:szCs w:val="18"/>
                    </w:rPr>
                    <w:t>废水排放口</w:t>
                  </w:r>
                </w:p>
              </w:tc>
              <w:tc>
                <w:tcPr>
                  <w:tcW w:w="1267" w:type="dxa"/>
                  <w:vMerge w:val="restart"/>
                  <w:tcBorders>
                    <w:top w:val="single" w:color="auto" w:sz="4" w:space="0"/>
                    <w:left w:val="single" w:color="auto" w:sz="4" w:space="0"/>
                    <w:bottom w:val="single" w:color="auto" w:sz="4" w:space="0"/>
                    <w:right w:val="single" w:color="auto" w:sz="4" w:space="0"/>
                  </w:tcBorders>
                  <w:vAlign w:val="center"/>
                </w:tcPr>
                <w:p w14:paraId="131A2AF8">
                  <w:pPr>
                    <w:jc w:val="center"/>
                    <w:rPr>
                      <w:rFonts w:hint="eastAsia" w:ascii="Times New Roman" w:hAnsi="Times New Roman" w:eastAsia="宋体" w:cs="Times New Roman"/>
                      <w:sz w:val="18"/>
                      <w:szCs w:val="18"/>
                      <w:highlight w:val="none"/>
                      <w:lang w:eastAsia="zh-CN"/>
                    </w:rPr>
                  </w:pPr>
                  <w:r>
                    <w:rPr>
                      <w:rFonts w:hint="default" w:ascii="Times New Roman" w:hAnsi="Times New Roman" w:cs="Times New Roman"/>
                      <w:sz w:val="18"/>
                      <w:szCs w:val="18"/>
                      <w:highlight w:val="none"/>
                    </w:rPr>
                    <w:t>36.</w:t>
                  </w:r>
                  <w:r>
                    <w:rPr>
                      <w:rFonts w:hint="eastAsia" w:cs="Times New Roman"/>
                      <w:sz w:val="18"/>
                      <w:szCs w:val="18"/>
                      <w:highlight w:val="none"/>
                      <w:lang w:val="en-US" w:eastAsia="zh-CN"/>
                    </w:rPr>
                    <w:t>73709</w:t>
                  </w:r>
                  <w:r>
                    <w:rPr>
                      <w:rFonts w:hint="default" w:ascii="Times New Roman" w:hAnsi="Times New Roman" w:cs="Times New Roman"/>
                      <w:sz w:val="18"/>
                      <w:szCs w:val="18"/>
                      <w:highlight w:val="none"/>
                    </w:rPr>
                    <w:t>°</w:t>
                  </w:r>
                  <w:r>
                    <w:rPr>
                      <w:rFonts w:hint="eastAsia" w:cs="Times New Roman"/>
                      <w:sz w:val="18"/>
                      <w:szCs w:val="18"/>
                      <w:highlight w:val="none"/>
                      <w:lang w:val="en-US" w:eastAsia="zh-CN"/>
                    </w:rPr>
                    <w:t>N</w:t>
                  </w:r>
                </w:p>
                <w:p w14:paraId="5DA1E79C">
                  <w:pPr>
                    <w:jc w:val="center"/>
                    <w:rPr>
                      <w:rFonts w:hint="eastAsia" w:ascii="Times New Roman" w:hAnsi="Times New Roman" w:eastAsia="宋体" w:cs="Times New Roman"/>
                      <w:highlight w:val="yellow"/>
                      <w:lang w:eastAsia="zh-CN"/>
                    </w:rPr>
                  </w:pPr>
                  <w:r>
                    <w:rPr>
                      <w:rFonts w:hint="default" w:ascii="Times New Roman" w:hAnsi="Times New Roman" w:cs="Times New Roman"/>
                      <w:sz w:val="18"/>
                      <w:szCs w:val="18"/>
                      <w:highlight w:val="none"/>
                    </w:rPr>
                    <w:t>117.</w:t>
                  </w:r>
                  <w:r>
                    <w:rPr>
                      <w:rFonts w:hint="default" w:ascii="Times New Roman" w:hAnsi="Times New Roman" w:cs="Times New Roman"/>
                      <w:sz w:val="18"/>
                      <w:szCs w:val="18"/>
                      <w:highlight w:val="none"/>
                      <w:lang w:val="en-US" w:eastAsia="zh-CN"/>
                    </w:rPr>
                    <w:t>9</w:t>
                  </w:r>
                  <w:r>
                    <w:rPr>
                      <w:rFonts w:hint="eastAsia" w:cs="Times New Roman"/>
                      <w:sz w:val="18"/>
                      <w:szCs w:val="18"/>
                      <w:highlight w:val="none"/>
                      <w:lang w:val="en-US" w:eastAsia="zh-CN"/>
                    </w:rPr>
                    <w:t>43873</w:t>
                  </w:r>
                  <w:r>
                    <w:rPr>
                      <w:rFonts w:hint="default" w:ascii="Times New Roman" w:hAnsi="Times New Roman" w:cs="Times New Roman"/>
                      <w:sz w:val="18"/>
                      <w:szCs w:val="18"/>
                      <w:highlight w:val="none"/>
                    </w:rPr>
                    <w:t>°</w:t>
                  </w:r>
                  <w:r>
                    <w:rPr>
                      <w:rFonts w:hint="eastAsia" w:cs="Times New Roman"/>
                      <w:sz w:val="18"/>
                      <w:szCs w:val="18"/>
                      <w:highlight w:val="none"/>
                      <w:lang w:val="en-US" w:eastAsia="zh-CN"/>
                    </w:rPr>
                    <w:t>E</w:t>
                  </w:r>
                </w:p>
              </w:tc>
              <w:tc>
                <w:tcPr>
                  <w:tcW w:w="779" w:type="dxa"/>
                  <w:vMerge w:val="restart"/>
                  <w:tcBorders>
                    <w:top w:val="single" w:color="auto" w:sz="4" w:space="0"/>
                    <w:left w:val="single" w:color="auto" w:sz="4" w:space="0"/>
                    <w:right w:val="single" w:color="auto" w:sz="4" w:space="0"/>
                  </w:tcBorders>
                  <w:vAlign w:val="center"/>
                </w:tcPr>
                <w:p w14:paraId="607174C6">
                  <w:pPr>
                    <w:jc w:val="center"/>
                    <w:rPr>
                      <w:rFonts w:hint="default" w:ascii="Times New Roman" w:hAnsi="Times New Roman" w:cs="Times New Roman"/>
                      <w:sz w:val="18"/>
                      <w:szCs w:val="18"/>
                    </w:rPr>
                  </w:pPr>
                  <w:r>
                    <w:rPr>
                      <w:rFonts w:hint="default" w:ascii="Times New Roman" w:hAnsi="Times New Roman" w:cs="Times New Roman"/>
                      <w:sz w:val="18"/>
                      <w:szCs w:val="18"/>
                    </w:rPr>
                    <w:t>进入城市污水处理厂</w:t>
                  </w:r>
                </w:p>
              </w:tc>
              <w:tc>
                <w:tcPr>
                  <w:tcW w:w="775" w:type="dxa"/>
                  <w:vMerge w:val="restart"/>
                  <w:tcBorders>
                    <w:top w:val="single" w:color="auto" w:sz="4" w:space="0"/>
                    <w:left w:val="single" w:color="auto" w:sz="4" w:space="0"/>
                    <w:right w:val="single" w:color="auto" w:sz="4" w:space="0"/>
                  </w:tcBorders>
                  <w:vAlign w:val="center"/>
                </w:tcPr>
                <w:p w14:paraId="44843044">
                  <w:pPr>
                    <w:jc w:val="center"/>
                    <w:rPr>
                      <w:rFonts w:hint="default" w:ascii="Times New Roman" w:hAnsi="Times New Roman" w:cs="Times New Roman"/>
                      <w:sz w:val="18"/>
                      <w:szCs w:val="18"/>
                    </w:rPr>
                  </w:pPr>
                  <w:r>
                    <w:rPr>
                      <w:rFonts w:hint="default" w:ascii="Times New Roman" w:hAnsi="Times New Roman" w:cs="Times New Roman"/>
                      <w:sz w:val="18"/>
                      <w:szCs w:val="18"/>
                    </w:rPr>
                    <w:t>间歇排放，排放期间流量稳定</w:t>
                  </w:r>
                </w:p>
              </w:tc>
              <w:tc>
                <w:tcPr>
                  <w:tcW w:w="627" w:type="dxa"/>
                  <w:vMerge w:val="restart"/>
                  <w:tcBorders>
                    <w:top w:val="single" w:color="auto" w:sz="4" w:space="0"/>
                    <w:left w:val="single" w:color="auto" w:sz="4" w:space="0"/>
                    <w:right w:val="single" w:color="auto" w:sz="4" w:space="0"/>
                  </w:tcBorders>
                  <w:vAlign w:val="center"/>
                </w:tcPr>
                <w:p w14:paraId="4A2D2E7D">
                  <w:pPr>
                    <w:jc w:val="center"/>
                    <w:rPr>
                      <w:rFonts w:hint="default" w:ascii="Times New Roman" w:hAnsi="Times New Roman" w:cs="Times New Roman"/>
                      <w:sz w:val="18"/>
                      <w:szCs w:val="18"/>
                    </w:rPr>
                  </w:pPr>
                  <w:r>
                    <w:rPr>
                      <w:rFonts w:hint="default" w:ascii="Times New Roman" w:hAnsi="Times New Roman" w:cs="Times New Roman"/>
                      <w:sz w:val="18"/>
                      <w:szCs w:val="18"/>
                      <w:lang w:val="en-US" w:eastAsia="zh-CN"/>
                    </w:rPr>
                    <w:t>8</w:t>
                  </w:r>
                  <w:r>
                    <w:rPr>
                      <w:rFonts w:hint="default" w:ascii="Times New Roman" w:hAnsi="Times New Roman" w:cs="Times New Roman"/>
                      <w:sz w:val="18"/>
                      <w:szCs w:val="18"/>
                    </w:rPr>
                    <w:t>:00-</w:t>
                  </w:r>
                  <w:r>
                    <w:rPr>
                      <w:rFonts w:hint="eastAsia" w:cs="Times New Roman"/>
                      <w:sz w:val="18"/>
                      <w:szCs w:val="18"/>
                      <w:lang w:val="en-US" w:eastAsia="zh-CN"/>
                    </w:rPr>
                    <w:t>18</w:t>
                  </w:r>
                  <w:r>
                    <w:rPr>
                      <w:rFonts w:hint="default" w:ascii="Times New Roman" w:hAnsi="Times New Roman" w:cs="Times New Roman"/>
                      <w:sz w:val="18"/>
                      <w:szCs w:val="18"/>
                    </w:rPr>
                    <w:t>:00</w:t>
                  </w:r>
                </w:p>
              </w:tc>
              <w:tc>
                <w:tcPr>
                  <w:tcW w:w="687" w:type="dxa"/>
                  <w:vMerge w:val="restart"/>
                  <w:tcBorders>
                    <w:top w:val="single" w:color="auto" w:sz="4" w:space="0"/>
                    <w:left w:val="single" w:color="auto" w:sz="4" w:space="0"/>
                    <w:right w:val="single" w:color="auto" w:sz="4" w:space="0"/>
                  </w:tcBorders>
                  <w:vAlign w:val="center"/>
                </w:tcPr>
                <w:p w14:paraId="5C0E63AA">
                  <w:pPr>
                    <w:jc w:val="center"/>
                    <w:rPr>
                      <w:rFonts w:hint="default" w:ascii="Times New Roman" w:hAnsi="Times New Roman" w:cs="Times New Roman"/>
                      <w:sz w:val="18"/>
                      <w:szCs w:val="18"/>
                    </w:rPr>
                  </w:pPr>
                  <w:r>
                    <w:rPr>
                      <w:rFonts w:hint="default" w:ascii="Times New Roman" w:hAnsi="Times New Roman" w:cs="Times New Roman"/>
                      <w:sz w:val="18"/>
                      <w:szCs w:val="18"/>
                    </w:rPr>
                    <w:t>淄博市利民净化水有限公司</w:t>
                  </w:r>
                </w:p>
              </w:tc>
              <w:tc>
                <w:tcPr>
                  <w:tcW w:w="769" w:type="dxa"/>
                  <w:tcBorders>
                    <w:top w:val="single" w:color="auto" w:sz="4" w:space="0"/>
                    <w:left w:val="single" w:color="auto" w:sz="4" w:space="0"/>
                    <w:bottom w:val="single" w:color="auto" w:sz="4" w:space="0"/>
                    <w:right w:val="single" w:color="auto" w:sz="4" w:space="0"/>
                  </w:tcBorders>
                  <w:vAlign w:val="center"/>
                </w:tcPr>
                <w:p w14:paraId="304B761B">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COD</w:t>
                  </w:r>
                </w:p>
              </w:tc>
              <w:tc>
                <w:tcPr>
                  <w:tcW w:w="883" w:type="dxa"/>
                  <w:tcBorders>
                    <w:top w:val="single" w:color="auto" w:sz="4" w:space="0"/>
                    <w:left w:val="single" w:color="auto" w:sz="4" w:space="0"/>
                    <w:bottom w:val="single" w:color="auto" w:sz="4" w:space="0"/>
                    <w:right w:val="single" w:color="auto" w:sz="4" w:space="0"/>
                  </w:tcBorders>
                  <w:vAlign w:val="center"/>
                </w:tcPr>
                <w:p w14:paraId="33C82895">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500</w:t>
                  </w:r>
                </w:p>
              </w:tc>
              <w:tc>
                <w:tcPr>
                  <w:tcW w:w="651" w:type="dxa"/>
                  <w:tcBorders>
                    <w:top w:val="single" w:color="auto" w:sz="4" w:space="0"/>
                    <w:left w:val="single" w:color="auto" w:sz="4" w:space="0"/>
                    <w:bottom w:val="single" w:color="auto" w:sz="4" w:space="0"/>
                    <w:right w:val="single" w:color="auto" w:sz="4" w:space="0"/>
                  </w:tcBorders>
                  <w:vAlign w:val="center"/>
                </w:tcPr>
                <w:p w14:paraId="7E1B7023">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40</w:t>
                  </w:r>
                </w:p>
              </w:tc>
            </w:tr>
            <w:tr w14:paraId="4F67EC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1" w:hRule="atLeast"/>
                <w:jc w:val="center"/>
              </w:trPr>
              <w:tc>
                <w:tcPr>
                  <w:tcW w:w="462" w:type="dxa"/>
                  <w:vMerge w:val="continue"/>
                  <w:tcBorders>
                    <w:top w:val="single" w:color="auto" w:sz="4" w:space="0"/>
                    <w:left w:val="single" w:color="auto" w:sz="4" w:space="0"/>
                    <w:bottom w:val="single" w:color="auto" w:sz="4" w:space="0"/>
                    <w:right w:val="single" w:color="auto" w:sz="4" w:space="0"/>
                  </w:tcBorders>
                  <w:vAlign w:val="center"/>
                </w:tcPr>
                <w:p w14:paraId="49CBEE2D">
                  <w:pPr>
                    <w:jc w:val="center"/>
                    <w:rPr>
                      <w:rFonts w:hint="default" w:ascii="Times New Roman" w:hAnsi="Times New Roman" w:cs="Times New Roman"/>
                      <w:sz w:val="18"/>
                      <w:szCs w:val="18"/>
                    </w:rPr>
                  </w:pP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46F08DF8">
                  <w:pPr>
                    <w:jc w:val="center"/>
                    <w:rPr>
                      <w:rFonts w:hint="default" w:ascii="Times New Roman" w:hAnsi="Times New Roman" w:cs="Times New Roman"/>
                      <w:sz w:val="18"/>
                      <w:szCs w:val="18"/>
                    </w:rPr>
                  </w:pPr>
                </w:p>
              </w:tc>
              <w:tc>
                <w:tcPr>
                  <w:tcW w:w="662" w:type="dxa"/>
                  <w:vMerge w:val="continue"/>
                  <w:tcBorders>
                    <w:top w:val="single" w:color="auto" w:sz="4" w:space="0"/>
                    <w:left w:val="single" w:color="auto" w:sz="4" w:space="0"/>
                    <w:bottom w:val="single" w:color="auto" w:sz="4" w:space="0"/>
                    <w:right w:val="single" w:color="auto" w:sz="4" w:space="0"/>
                  </w:tcBorders>
                  <w:vAlign w:val="center"/>
                </w:tcPr>
                <w:p w14:paraId="3985FD6D">
                  <w:pPr>
                    <w:jc w:val="center"/>
                    <w:rPr>
                      <w:rFonts w:hint="default" w:ascii="Times New Roman" w:hAnsi="Times New Roman" w:cs="Times New Roman"/>
                      <w:sz w:val="18"/>
                      <w:szCs w:val="18"/>
                    </w:rPr>
                  </w:pPr>
                </w:p>
              </w:tc>
              <w:tc>
                <w:tcPr>
                  <w:tcW w:w="1267" w:type="dxa"/>
                  <w:vMerge w:val="continue"/>
                  <w:tcBorders>
                    <w:top w:val="single" w:color="auto" w:sz="4" w:space="0"/>
                    <w:left w:val="single" w:color="auto" w:sz="4" w:space="0"/>
                    <w:bottom w:val="single" w:color="auto" w:sz="4" w:space="0"/>
                    <w:right w:val="single" w:color="auto" w:sz="4" w:space="0"/>
                  </w:tcBorders>
                  <w:vAlign w:val="center"/>
                </w:tcPr>
                <w:p w14:paraId="6F885FBC">
                  <w:pPr>
                    <w:jc w:val="center"/>
                    <w:rPr>
                      <w:rFonts w:hint="default" w:ascii="Times New Roman" w:hAnsi="Times New Roman" w:cs="Times New Roman"/>
                      <w:sz w:val="18"/>
                      <w:szCs w:val="18"/>
                      <w:highlight w:val="yellow"/>
                    </w:rPr>
                  </w:pPr>
                </w:p>
              </w:tc>
              <w:tc>
                <w:tcPr>
                  <w:tcW w:w="779" w:type="dxa"/>
                  <w:vMerge w:val="continue"/>
                  <w:tcBorders>
                    <w:left w:val="single" w:color="auto" w:sz="4" w:space="0"/>
                    <w:right w:val="single" w:color="auto" w:sz="4" w:space="0"/>
                  </w:tcBorders>
                  <w:vAlign w:val="center"/>
                </w:tcPr>
                <w:p w14:paraId="35C2B06B">
                  <w:pPr>
                    <w:jc w:val="center"/>
                    <w:rPr>
                      <w:rFonts w:hint="default" w:ascii="Times New Roman" w:hAnsi="Times New Roman" w:cs="Times New Roman"/>
                      <w:sz w:val="18"/>
                      <w:szCs w:val="18"/>
                    </w:rPr>
                  </w:pPr>
                </w:p>
              </w:tc>
              <w:tc>
                <w:tcPr>
                  <w:tcW w:w="775" w:type="dxa"/>
                  <w:vMerge w:val="continue"/>
                  <w:tcBorders>
                    <w:left w:val="single" w:color="auto" w:sz="4" w:space="0"/>
                    <w:right w:val="single" w:color="auto" w:sz="4" w:space="0"/>
                  </w:tcBorders>
                  <w:vAlign w:val="center"/>
                </w:tcPr>
                <w:p w14:paraId="4836ACAE">
                  <w:pPr>
                    <w:jc w:val="center"/>
                    <w:rPr>
                      <w:rFonts w:hint="default" w:ascii="Times New Roman" w:hAnsi="Times New Roman" w:cs="Times New Roman"/>
                      <w:sz w:val="18"/>
                      <w:szCs w:val="18"/>
                    </w:rPr>
                  </w:pPr>
                </w:p>
              </w:tc>
              <w:tc>
                <w:tcPr>
                  <w:tcW w:w="627" w:type="dxa"/>
                  <w:vMerge w:val="continue"/>
                  <w:tcBorders>
                    <w:left w:val="single" w:color="auto" w:sz="4" w:space="0"/>
                    <w:right w:val="single" w:color="auto" w:sz="4" w:space="0"/>
                  </w:tcBorders>
                  <w:vAlign w:val="center"/>
                </w:tcPr>
                <w:p w14:paraId="0D79A4E3">
                  <w:pPr>
                    <w:jc w:val="center"/>
                    <w:rPr>
                      <w:rFonts w:hint="default" w:ascii="Times New Roman" w:hAnsi="Times New Roman" w:cs="Times New Roman"/>
                      <w:sz w:val="18"/>
                      <w:szCs w:val="18"/>
                    </w:rPr>
                  </w:pPr>
                </w:p>
              </w:tc>
              <w:tc>
                <w:tcPr>
                  <w:tcW w:w="687" w:type="dxa"/>
                  <w:vMerge w:val="continue"/>
                  <w:tcBorders>
                    <w:left w:val="single" w:color="auto" w:sz="4" w:space="0"/>
                    <w:right w:val="single" w:color="auto" w:sz="4" w:space="0"/>
                  </w:tcBorders>
                  <w:vAlign w:val="center"/>
                </w:tcPr>
                <w:p w14:paraId="12740AC3">
                  <w:pPr>
                    <w:jc w:val="center"/>
                    <w:rPr>
                      <w:rFonts w:hint="default" w:ascii="Times New Roman" w:hAnsi="Times New Roman" w:cs="Times New Roman"/>
                      <w:sz w:val="18"/>
                      <w:szCs w:val="18"/>
                    </w:rPr>
                  </w:pPr>
                </w:p>
              </w:tc>
              <w:tc>
                <w:tcPr>
                  <w:tcW w:w="769" w:type="dxa"/>
                  <w:tcBorders>
                    <w:top w:val="single" w:color="auto" w:sz="4" w:space="0"/>
                    <w:left w:val="single" w:color="auto" w:sz="4" w:space="0"/>
                    <w:bottom w:val="single" w:color="auto" w:sz="4" w:space="0"/>
                    <w:right w:val="single" w:color="auto" w:sz="4" w:space="0"/>
                  </w:tcBorders>
                  <w:vAlign w:val="center"/>
                </w:tcPr>
                <w:p w14:paraId="3110BA77">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氨氮</w:t>
                  </w:r>
                </w:p>
              </w:tc>
              <w:tc>
                <w:tcPr>
                  <w:tcW w:w="883" w:type="dxa"/>
                  <w:tcBorders>
                    <w:top w:val="single" w:color="auto" w:sz="4" w:space="0"/>
                    <w:left w:val="single" w:color="auto" w:sz="4" w:space="0"/>
                    <w:bottom w:val="single" w:color="auto" w:sz="4" w:space="0"/>
                    <w:right w:val="single" w:color="auto" w:sz="4" w:space="0"/>
                  </w:tcBorders>
                  <w:vAlign w:val="center"/>
                </w:tcPr>
                <w:p w14:paraId="7A2CD98C">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45</w:t>
                  </w:r>
                </w:p>
              </w:tc>
              <w:tc>
                <w:tcPr>
                  <w:tcW w:w="651" w:type="dxa"/>
                  <w:tcBorders>
                    <w:top w:val="single" w:color="auto" w:sz="4" w:space="0"/>
                    <w:left w:val="single" w:color="auto" w:sz="4" w:space="0"/>
                    <w:bottom w:val="single" w:color="auto" w:sz="4" w:space="0"/>
                    <w:right w:val="single" w:color="auto" w:sz="4" w:space="0"/>
                  </w:tcBorders>
                  <w:vAlign w:val="center"/>
                </w:tcPr>
                <w:p w14:paraId="75D82C1A">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2</w:t>
                  </w:r>
                </w:p>
              </w:tc>
            </w:tr>
            <w:tr w14:paraId="74D69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62" w:type="dxa"/>
                  <w:vMerge w:val="continue"/>
                  <w:tcBorders>
                    <w:top w:val="single" w:color="auto" w:sz="4" w:space="0"/>
                    <w:left w:val="single" w:color="auto" w:sz="4" w:space="0"/>
                    <w:bottom w:val="single" w:color="auto" w:sz="4" w:space="0"/>
                    <w:right w:val="single" w:color="auto" w:sz="4" w:space="0"/>
                  </w:tcBorders>
                  <w:vAlign w:val="center"/>
                </w:tcPr>
                <w:p w14:paraId="0B1D7709">
                  <w:pPr>
                    <w:jc w:val="center"/>
                    <w:rPr>
                      <w:rFonts w:hint="default" w:ascii="Times New Roman" w:hAnsi="Times New Roman" w:cs="Times New Roman"/>
                      <w:sz w:val="18"/>
                      <w:szCs w:val="18"/>
                    </w:rPr>
                  </w:pP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49C28C57">
                  <w:pPr>
                    <w:jc w:val="center"/>
                    <w:rPr>
                      <w:rFonts w:hint="default" w:ascii="Times New Roman" w:hAnsi="Times New Roman" w:cs="Times New Roman"/>
                      <w:sz w:val="18"/>
                      <w:szCs w:val="18"/>
                    </w:rPr>
                  </w:pPr>
                </w:p>
              </w:tc>
              <w:tc>
                <w:tcPr>
                  <w:tcW w:w="662" w:type="dxa"/>
                  <w:vMerge w:val="continue"/>
                  <w:tcBorders>
                    <w:top w:val="single" w:color="auto" w:sz="4" w:space="0"/>
                    <w:left w:val="single" w:color="auto" w:sz="4" w:space="0"/>
                    <w:bottom w:val="single" w:color="auto" w:sz="4" w:space="0"/>
                    <w:right w:val="single" w:color="auto" w:sz="4" w:space="0"/>
                  </w:tcBorders>
                  <w:vAlign w:val="center"/>
                </w:tcPr>
                <w:p w14:paraId="485FE1CD">
                  <w:pPr>
                    <w:jc w:val="center"/>
                    <w:rPr>
                      <w:rFonts w:hint="default" w:ascii="Times New Roman" w:hAnsi="Times New Roman" w:cs="Times New Roman"/>
                      <w:sz w:val="18"/>
                      <w:szCs w:val="18"/>
                    </w:rPr>
                  </w:pPr>
                </w:p>
              </w:tc>
              <w:tc>
                <w:tcPr>
                  <w:tcW w:w="1267" w:type="dxa"/>
                  <w:vMerge w:val="continue"/>
                  <w:tcBorders>
                    <w:top w:val="single" w:color="auto" w:sz="4" w:space="0"/>
                    <w:left w:val="single" w:color="auto" w:sz="4" w:space="0"/>
                    <w:bottom w:val="single" w:color="auto" w:sz="4" w:space="0"/>
                    <w:right w:val="single" w:color="auto" w:sz="4" w:space="0"/>
                  </w:tcBorders>
                  <w:vAlign w:val="center"/>
                </w:tcPr>
                <w:p w14:paraId="41208F45">
                  <w:pPr>
                    <w:jc w:val="center"/>
                    <w:rPr>
                      <w:rFonts w:hint="default" w:ascii="Times New Roman" w:hAnsi="Times New Roman" w:cs="Times New Roman"/>
                      <w:sz w:val="18"/>
                      <w:szCs w:val="18"/>
                      <w:highlight w:val="yellow"/>
                    </w:rPr>
                  </w:pPr>
                </w:p>
              </w:tc>
              <w:tc>
                <w:tcPr>
                  <w:tcW w:w="779" w:type="dxa"/>
                  <w:vMerge w:val="continue"/>
                  <w:tcBorders>
                    <w:left w:val="single" w:color="auto" w:sz="4" w:space="0"/>
                    <w:right w:val="single" w:color="auto" w:sz="4" w:space="0"/>
                  </w:tcBorders>
                  <w:vAlign w:val="center"/>
                </w:tcPr>
                <w:p w14:paraId="69AD86C6">
                  <w:pPr>
                    <w:jc w:val="center"/>
                    <w:rPr>
                      <w:rFonts w:hint="default" w:ascii="Times New Roman" w:hAnsi="Times New Roman" w:cs="Times New Roman"/>
                      <w:sz w:val="18"/>
                      <w:szCs w:val="18"/>
                    </w:rPr>
                  </w:pPr>
                </w:p>
              </w:tc>
              <w:tc>
                <w:tcPr>
                  <w:tcW w:w="775" w:type="dxa"/>
                  <w:vMerge w:val="continue"/>
                  <w:tcBorders>
                    <w:left w:val="single" w:color="auto" w:sz="4" w:space="0"/>
                    <w:right w:val="single" w:color="auto" w:sz="4" w:space="0"/>
                  </w:tcBorders>
                  <w:vAlign w:val="center"/>
                </w:tcPr>
                <w:p w14:paraId="4E5B52AB">
                  <w:pPr>
                    <w:jc w:val="center"/>
                    <w:rPr>
                      <w:rFonts w:hint="default" w:ascii="Times New Roman" w:hAnsi="Times New Roman" w:cs="Times New Roman"/>
                      <w:sz w:val="18"/>
                      <w:szCs w:val="18"/>
                    </w:rPr>
                  </w:pPr>
                </w:p>
              </w:tc>
              <w:tc>
                <w:tcPr>
                  <w:tcW w:w="627" w:type="dxa"/>
                  <w:vMerge w:val="continue"/>
                  <w:tcBorders>
                    <w:left w:val="single" w:color="auto" w:sz="4" w:space="0"/>
                    <w:right w:val="single" w:color="auto" w:sz="4" w:space="0"/>
                  </w:tcBorders>
                  <w:vAlign w:val="center"/>
                </w:tcPr>
                <w:p w14:paraId="25BD5F9E">
                  <w:pPr>
                    <w:jc w:val="center"/>
                    <w:rPr>
                      <w:rFonts w:hint="default" w:ascii="Times New Roman" w:hAnsi="Times New Roman" w:cs="Times New Roman"/>
                      <w:sz w:val="18"/>
                      <w:szCs w:val="18"/>
                    </w:rPr>
                  </w:pPr>
                </w:p>
              </w:tc>
              <w:tc>
                <w:tcPr>
                  <w:tcW w:w="687" w:type="dxa"/>
                  <w:vMerge w:val="continue"/>
                  <w:tcBorders>
                    <w:left w:val="single" w:color="auto" w:sz="4" w:space="0"/>
                    <w:right w:val="single" w:color="auto" w:sz="4" w:space="0"/>
                  </w:tcBorders>
                  <w:vAlign w:val="center"/>
                </w:tcPr>
                <w:p w14:paraId="31AD1961">
                  <w:pPr>
                    <w:jc w:val="center"/>
                    <w:rPr>
                      <w:rFonts w:hint="default" w:ascii="Times New Roman" w:hAnsi="Times New Roman" w:cs="Times New Roman"/>
                      <w:sz w:val="18"/>
                      <w:szCs w:val="18"/>
                    </w:rPr>
                  </w:pPr>
                </w:p>
              </w:tc>
              <w:tc>
                <w:tcPr>
                  <w:tcW w:w="769" w:type="dxa"/>
                  <w:tcBorders>
                    <w:top w:val="single" w:color="auto" w:sz="4" w:space="0"/>
                    <w:left w:val="single" w:color="auto" w:sz="4" w:space="0"/>
                    <w:bottom w:val="single" w:color="auto" w:sz="4" w:space="0"/>
                    <w:right w:val="single" w:color="auto" w:sz="4" w:space="0"/>
                  </w:tcBorders>
                  <w:vAlign w:val="center"/>
                </w:tcPr>
                <w:p w14:paraId="789C1371">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BOD</w:t>
                  </w:r>
                  <w:r>
                    <w:rPr>
                      <w:rFonts w:hint="default" w:ascii="Times New Roman" w:hAnsi="Times New Roman" w:cs="Times New Roman"/>
                      <w:sz w:val="18"/>
                      <w:szCs w:val="18"/>
                      <w:vertAlign w:val="subscript"/>
                    </w:rPr>
                    <w:t>5</w:t>
                  </w:r>
                </w:p>
              </w:tc>
              <w:tc>
                <w:tcPr>
                  <w:tcW w:w="883" w:type="dxa"/>
                  <w:tcBorders>
                    <w:top w:val="single" w:color="auto" w:sz="4" w:space="0"/>
                    <w:left w:val="single" w:color="auto" w:sz="4" w:space="0"/>
                    <w:bottom w:val="single" w:color="auto" w:sz="4" w:space="0"/>
                    <w:right w:val="single" w:color="auto" w:sz="4" w:space="0"/>
                  </w:tcBorders>
                  <w:vAlign w:val="center"/>
                </w:tcPr>
                <w:p w14:paraId="06D53A0F">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3</w:t>
                  </w:r>
                  <w:r>
                    <w:rPr>
                      <w:rFonts w:hint="eastAsia" w:cs="Times New Roman"/>
                      <w:sz w:val="18"/>
                      <w:szCs w:val="18"/>
                      <w:lang w:val="en-US" w:eastAsia="zh-CN"/>
                    </w:rPr>
                    <w:t>5</w:t>
                  </w:r>
                  <w:r>
                    <w:rPr>
                      <w:rFonts w:hint="default" w:ascii="Times New Roman" w:hAnsi="Times New Roman" w:cs="Times New Roman"/>
                      <w:sz w:val="18"/>
                      <w:szCs w:val="18"/>
                    </w:rPr>
                    <w:t>0</w:t>
                  </w:r>
                </w:p>
              </w:tc>
              <w:tc>
                <w:tcPr>
                  <w:tcW w:w="651" w:type="dxa"/>
                  <w:tcBorders>
                    <w:top w:val="single" w:color="auto" w:sz="4" w:space="0"/>
                    <w:left w:val="single" w:color="auto" w:sz="4" w:space="0"/>
                    <w:bottom w:val="single" w:color="auto" w:sz="4" w:space="0"/>
                    <w:right w:val="single" w:color="auto" w:sz="4" w:space="0"/>
                  </w:tcBorders>
                  <w:vAlign w:val="center"/>
                </w:tcPr>
                <w:p w14:paraId="078EB359">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10</w:t>
                  </w:r>
                </w:p>
              </w:tc>
            </w:tr>
            <w:tr w14:paraId="3FBC9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62" w:type="dxa"/>
                  <w:vMerge w:val="continue"/>
                  <w:tcBorders>
                    <w:top w:val="single" w:color="auto" w:sz="4" w:space="0"/>
                    <w:left w:val="single" w:color="auto" w:sz="4" w:space="0"/>
                    <w:bottom w:val="single" w:color="auto" w:sz="4" w:space="0"/>
                    <w:right w:val="single" w:color="auto" w:sz="4" w:space="0"/>
                  </w:tcBorders>
                  <w:vAlign w:val="center"/>
                </w:tcPr>
                <w:p w14:paraId="04FABD1F">
                  <w:pPr>
                    <w:jc w:val="center"/>
                    <w:rPr>
                      <w:rFonts w:hint="default" w:ascii="Times New Roman" w:hAnsi="Times New Roman" w:cs="Times New Roman"/>
                      <w:sz w:val="18"/>
                      <w:szCs w:val="18"/>
                    </w:rPr>
                  </w:pP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00A4D27B">
                  <w:pPr>
                    <w:jc w:val="center"/>
                    <w:rPr>
                      <w:rFonts w:hint="default" w:ascii="Times New Roman" w:hAnsi="Times New Roman" w:cs="Times New Roman"/>
                      <w:sz w:val="18"/>
                      <w:szCs w:val="18"/>
                    </w:rPr>
                  </w:pPr>
                </w:p>
              </w:tc>
              <w:tc>
                <w:tcPr>
                  <w:tcW w:w="662" w:type="dxa"/>
                  <w:vMerge w:val="continue"/>
                  <w:tcBorders>
                    <w:top w:val="single" w:color="auto" w:sz="4" w:space="0"/>
                    <w:left w:val="single" w:color="auto" w:sz="4" w:space="0"/>
                    <w:bottom w:val="single" w:color="auto" w:sz="4" w:space="0"/>
                    <w:right w:val="single" w:color="auto" w:sz="4" w:space="0"/>
                  </w:tcBorders>
                  <w:vAlign w:val="center"/>
                </w:tcPr>
                <w:p w14:paraId="6CD1DF3D">
                  <w:pPr>
                    <w:jc w:val="center"/>
                    <w:rPr>
                      <w:rFonts w:hint="default" w:ascii="Times New Roman" w:hAnsi="Times New Roman" w:cs="Times New Roman"/>
                      <w:sz w:val="18"/>
                      <w:szCs w:val="18"/>
                    </w:rPr>
                  </w:pPr>
                </w:p>
              </w:tc>
              <w:tc>
                <w:tcPr>
                  <w:tcW w:w="1267" w:type="dxa"/>
                  <w:vMerge w:val="continue"/>
                  <w:tcBorders>
                    <w:top w:val="single" w:color="auto" w:sz="4" w:space="0"/>
                    <w:left w:val="single" w:color="auto" w:sz="4" w:space="0"/>
                    <w:bottom w:val="single" w:color="auto" w:sz="4" w:space="0"/>
                    <w:right w:val="single" w:color="auto" w:sz="4" w:space="0"/>
                  </w:tcBorders>
                  <w:vAlign w:val="center"/>
                </w:tcPr>
                <w:p w14:paraId="71E37AA4">
                  <w:pPr>
                    <w:jc w:val="center"/>
                    <w:rPr>
                      <w:rFonts w:hint="default" w:ascii="Times New Roman" w:hAnsi="Times New Roman" w:cs="Times New Roman"/>
                      <w:sz w:val="18"/>
                      <w:szCs w:val="18"/>
                      <w:highlight w:val="yellow"/>
                    </w:rPr>
                  </w:pPr>
                </w:p>
              </w:tc>
              <w:tc>
                <w:tcPr>
                  <w:tcW w:w="779" w:type="dxa"/>
                  <w:vMerge w:val="continue"/>
                  <w:tcBorders>
                    <w:left w:val="single" w:color="auto" w:sz="4" w:space="0"/>
                    <w:right w:val="single" w:color="auto" w:sz="4" w:space="0"/>
                  </w:tcBorders>
                  <w:vAlign w:val="center"/>
                </w:tcPr>
                <w:p w14:paraId="2B4E8AE7">
                  <w:pPr>
                    <w:jc w:val="center"/>
                    <w:rPr>
                      <w:rFonts w:hint="default" w:ascii="Times New Roman" w:hAnsi="Times New Roman" w:cs="Times New Roman"/>
                      <w:sz w:val="18"/>
                      <w:szCs w:val="18"/>
                    </w:rPr>
                  </w:pPr>
                </w:p>
              </w:tc>
              <w:tc>
                <w:tcPr>
                  <w:tcW w:w="775" w:type="dxa"/>
                  <w:vMerge w:val="continue"/>
                  <w:tcBorders>
                    <w:left w:val="single" w:color="auto" w:sz="4" w:space="0"/>
                    <w:right w:val="single" w:color="auto" w:sz="4" w:space="0"/>
                  </w:tcBorders>
                  <w:vAlign w:val="center"/>
                </w:tcPr>
                <w:p w14:paraId="6A15D2C0">
                  <w:pPr>
                    <w:jc w:val="center"/>
                    <w:rPr>
                      <w:rFonts w:hint="default" w:ascii="Times New Roman" w:hAnsi="Times New Roman" w:cs="Times New Roman"/>
                      <w:sz w:val="18"/>
                      <w:szCs w:val="18"/>
                    </w:rPr>
                  </w:pPr>
                </w:p>
              </w:tc>
              <w:tc>
                <w:tcPr>
                  <w:tcW w:w="627" w:type="dxa"/>
                  <w:vMerge w:val="continue"/>
                  <w:tcBorders>
                    <w:left w:val="single" w:color="auto" w:sz="4" w:space="0"/>
                    <w:right w:val="single" w:color="auto" w:sz="4" w:space="0"/>
                  </w:tcBorders>
                  <w:vAlign w:val="center"/>
                </w:tcPr>
                <w:p w14:paraId="7131FC29">
                  <w:pPr>
                    <w:jc w:val="center"/>
                    <w:rPr>
                      <w:rFonts w:hint="default" w:ascii="Times New Roman" w:hAnsi="Times New Roman" w:cs="Times New Roman"/>
                      <w:sz w:val="18"/>
                      <w:szCs w:val="18"/>
                    </w:rPr>
                  </w:pPr>
                </w:p>
              </w:tc>
              <w:tc>
                <w:tcPr>
                  <w:tcW w:w="687" w:type="dxa"/>
                  <w:vMerge w:val="continue"/>
                  <w:tcBorders>
                    <w:left w:val="single" w:color="auto" w:sz="4" w:space="0"/>
                    <w:right w:val="single" w:color="auto" w:sz="4" w:space="0"/>
                  </w:tcBorders>
                  <w:vAlign w:val="center"/>
                </w:tcPr>
                <w:p w14:paraId="6FA18604">
                  <w:pPr>
                    <w:jc w:val="center"/>
                    <w:rPr>
                      <w:rFonts w:hint="default" w:ascii="Times New Roman" w:hAnsi="Times New Roman" w:cs="Times New Roman"/>
                      <w:sz w:val="18"/>
                      <w:szCs w:val="18"/>
                    </w:rPr>
                  </w:pPr>
                </w:p>
              </w:tc>
              <w:tc>
                <w:tcPr>
                  <w:tcW w:w="769" w:type="dxa"/>
                  <w:tcBorders>
                    <w:top w:val="single" w:color="auto" w:sz="4" w:space="0"/>
                    <w:left w:val="single" w:color="auto" w:sz="4" w:space="0"/>
                    <w:bottom w:val="single" w:color="auto" w:sz="4" w:space="0"/>
                    <w:right w:val="single" w:color="auto" w:sz="4" w:space="0"/>
                  </w:tcBorders>
                  <w:vAlign w:val="center"/>
                </w:tcPr>
                <w:p w14:paraId="228CCD01">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悬浮物</w:t>
                  </w:r>
                </w:p>
              </w:tc>
              <w:tc>
                <w:tcPr>
                  <w:tcW w:w="883" w:type="dxa"/>
                  <w:tcBorders>
                    <w:top w:val="single" w:color="auto" w:sz="4" w:space="0"/>
                    <w:left w:val="single" w:color="auto" w:sz="4" w:space="0"/>
                    <w:bottom w:val="single" w:color="auto" w:sz="4" w:space="0"/>
                    <w:right w:val="single" w:color="auto" w:sz="4" w:space="0"/>
                  </w:tcBorders>
                  <w:vAlign w:val="center"/>
                </w:tcPr>
                <w:p w14:paraId="1F775C61">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400</w:t>
                  </w:r>
                </w:p>
              </w:tc>
              <w:tc>
                <w:tcPr>
                  <w:tcW w:w="651" w:type="dxa"/>
                  <w:tcBorders>
                    <w:top w:val="single" w:color="auto" w:sz="4" w:space="0"/>
                    <w:left w:val="single" w:color="auto" w:sz="4" w:space="0"/>
                    <w:bottom w:val="single" w:color="auto" w:sz="4" w:space="0"/>
                    <w:right w:val="single" w:color="auto" w:sz="4" w:space="0"/>
                  </w:tcBorders>
                  <w:vAlign w:val="center"/>
                </w:tcPr>
                <w:p w14:paraId="213031E2">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10</w:t>
                  </w:r>
                </w:p>
              </w:tc>
            </w:tr>
            <w:tr w14:paraId="7A941D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2" w:hRule="atLeast"/>
                <w:jc w:val="center"/>
              </w:trPr>
              <w:tc>
                <w:tcPr>
                  <w:tcW w:w="462" w:type="dxa"/>
                  <w:vMerge w:val="continue"/>
                  <w:tcBorders>
                    <w:top w:val="single" w:color="auto" w:sz="4" w:space="0"/>
                    <w:left w:val="single" w:color="auto" w:sz="4" w:space="0"/>
                    <w:bottom w:val="single" w:color="auto" w:sz="4" w:space="0"/>
                    <w:right w:val="single" w:color="auto" w:sz="4" w:space="0"/>
                  </w:tcBorders>
                  <w:vAlign w:val="center"/>
                </w:tcPr>
                <w:p w14:paraId="2E90C890">
                  <w:pPr>
                    <w:jc w:val="center"/>
                    <w:rPr>
                      <w:rFonts w:hint="default" w:ascii="Times New Roman" w:hAnsi="Times New Roman" w:cs="Times New Roman"/>
                      <w:sz w:val="18"/>
                      <w:szCs w:val="18"/>
                    </w:rPr>
                  </w:pPr>
                </w:p>
              </w:tc>
              <w:tc>
                <w:tcPr>
                  <w:tcW w:w="788" w:type="dxa"/>
                  <w:vMerge w:val="continue"/>
                  <w:tcBorders>
                    <w:top w:val="single" w:color="auto" w:sz="4" w:space="0"/>
                    <w:left w:val="single" w:color="auto" w:sz="4" w:space="0"/>
                    <w:bottom w:val="single" w:color="auto" w:sz="4" w:space="0"/>
                    <w:right w:val="single" w:color="auto" w:sz="4" w:space="0"/>
                  </w:tcBorders>
                  <w:vAlign w:val="center"/>
                </w:tcPr>
                <w:p w14:paraId="76026914">
                  <w:pPr>
                    <w:jc w:val="center"/>
                    <w:rPr>
                      <w:rFonts w:hint="default" w:ascii="Times New Roman" w:hAnsi="Times New Roman" w:cs="Times New Roman"/>
                      <w:sz w:val="18"/>
                      <w:szCs w:val="18"/>
                    </w:rPr>
                  </w:pPr>
                </w:p>
              </w:tc>
              <w:tc>
                <w:tcPr>
                  <w:tcW w:w="662" w:type="dxa"/>
                  <w:vMerge w:val="continue"/>
                  <w:tcBorders>
                    <w:top w:val="single" w:color="auto" w:sz="4" w:space="0"/>
                    <w:left w:val="single" w:color="auto" w:sz="4" w:space="0"/>
                    <w:bottom w:val="single" w:color="auto" w:sz="4" w:space="0"/>
                    <w:right w:val="single" w:color="auto" w:sz="4" w:space="0"/>
                  </w:tcBorders>
                  <w:vAlign w:val="center"/>
                </w:tcPr>
                <w:p w14:paraId="6A0F6B21">
                  <w:pPr>
                    <w:jc w:val="center"/>
                    <w:rPr>
                      <w:rFonts w:hint="default" w:ascii="Times New Roman" w:hAnsi="Times New Roman" w:cs="Times New Roman"/>
                      <w:sz w:val="18"/>
                      <w:szCs w:val="18"/>
                    </w:rPr>
                  </w:pPr>
                </w:p>
              </w:tc>
              <w:tc>
                <w:tcPr>
                  <w:tcW w:w="1267" w:type="dxa"/>
                  <w:vMerge w:val="continue"/>
                  <w:tcBorders>
                    <w:top w:val="single" w:color="auto" w:sz="4" w:space="0"/>
                    <w:left w:val="single" w:color="auto" w:sz="4" w:space="0"/>
                    <w:bottom w:val="single" w:color="auto" w:sz="4" w:space="0"/>
                    <w:right w:val="single" w:color="auto" w:sz="4" w:space="0"/>
                  </w:tcBorders>
                  <w:vAlign w:val="center"/>
                </w:tcPr>
                <w:p w14:paraId="1CD2850E">
                  <w:pPr>
                    <w:jc w:val="center"/>
                    <w:rPr>
                      <w:rFonts w:hint="default" w:ascii="Times New Roman" w:hAnsi="Times New Roman" w:cs="Times New Roman"/>
                      <w:sz w:val="18"/>
                      <w:szCs w:val="18"/>
                      <w:highlight w:val="yellow"/>
                    </w:rPr>
                  </w:pPr>
                </w:p>
              </w:tc>
              <w:tc>
                <w:tcPr>
                  <w:tcW w:w="779" w:type="dxa"/>
                  <w:vMerge w:val="continue"/>
                  <w:tcBorders>
                    <w:left w:val="single" w:color="auto" w:sz="4" w:space="0"/>
                    <w:right w:val="single" w:color="auto" w:sz="4" w:space="0"/>
                  </w:tcBorders>
                  <w:vAlign w:val="center"/>
                </w:tcPr>
                <w:p w14:paraId="66572B51">
                  <w:pPr>
                    <w:jc w:val="center"/>
                    <w:rPr>
                      <w:rFonts w:hint="default" w:ascii="Times New Roman" w:hAnsi="Times New Roman" w:cs="Times New Roman"/>
                      <w:sz w:val="18"/>
                      <w:szCs w:val="18"/>
                    </w:rPr>
                  </w:pPr>
                </w:p>
              </w:tc>
              <w:tc>
                <w:tcPr>
                  <w:tcW w:w="775" w:type="dxa"/>
                  <w:vMerge w:val="continue"/>
                  <w:tcBorders>
                    <w:left w:val="single" w:color="auto" w:sz="4" w:space="0"/>
                    <w:right w:val="single" w:color="auto" w:sz="4" w:space="0"/>
                  </w:tcBorders>
                  <w:vAlign w:val="center"/>
                </w:tcPr>
                <w:p w14:paraId="4F4ABA84">
                  <w:pPr>
                    <w:jc w:val="center"/>
                    <w:rPr>
                      <w:rFonts w:hint="default" w:ascii="Times New Roman" w:hAnsi="Times New Roman" w:cs="Times New Roman"/>
                      <w:sz w:val="18"/>
                      <w:szCs w:val="18"/>
                    </w:rPr>
                  </w:pPr>
                </w:p>
              </w:tc>
              <w:tc>
                <w:tcPr>
                  <w:tcW w:w="627" w:type="dxa"/>
                  <w:vMerge w:val="continue"/>
                  <w:tcBorders>
                    <w:left w:val="single" w:color="auto" w:sz="4" w:space="0"/>
                    <w:right w:val="single" w:color="auto" w:sz="4" w:space="0"/>
                  </w:tcBorders>
                  <w:vAlign w:val="center"/>
                </w:tcPr>
                <w:p w14:paraId="2AB0E95B">
                  <w:pPr>
                    <w:jc w:val="center"/>
                    <w:rPr>
                      <w:rFonts w:hint="default" w:ascii="Times New Roman" w:hAnsi="Times New Roman" w:cs="Times New Roman"/>
                      <w:sz w:val="18"/>
                      <w:szCs w:val="18"/>
                    </w:rPr>
                  </w:pPr>
                </w:p>
              </w:tc>
              <w:tc>
                <w:tcPr>
                  <w:tcW w:w="687" w:type="dxa"/>
                  <w:vMerge w:val="continue"/>
                  <w:tcBorders>
                    <w:left w:val="single" w:color="auto" w:sz="4" w:space="0"/>
                    <w:right w:val="single" w:color="auto" w:sz="4" w:space="0"/>
                  </w:tcBorders>
                  <w:vAlign w:val="center"/>
                </w:tcPr>
                <w:p w14:paraId="663ECFCA">
                  <w:pPr>
                    <w:jc w:val="center"/>
                    <w:rPr>
                      <w:rFonts w:hint="default" w:ascii="Times New Roman" w:hAnsi="Times New Roman" w:cs="Times New Roman"/>
                      <w:sz w:val="18"/>
                      <w:szCs w:val="18"/>
                    </w:rPr>
                  </w:pPr>
                </w:p>
              </w:tc>
              <w:tc>
                <w:tcPr>
                  <w:tcW w:w="769" w:type="dxa"/>
                  <w:tcBorders>
                    <w:top w:val="single" w:color="auto" w:sz="4" w:space="0"/>
                    <w:left w:val="single" w:color="auto" w:sz="4" w:space="0"/>
                    <w:bottom w:val="single" w:color="auto" w:sz="4" w:space="0"/>
                    <w:right w:val="single" w:color="auto" w:sz="4" w:space="0"/>
                  </w:tcBorders>
                  <w:vAlign w:val="center"/>
                </w:tcPr>
                <w:p w14:paraId="492E8AEF">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pH</w:t>
                  </w:r>
                </w:p>
              </w:tc>
              <w:tc>
                <w:tcPr>
                  <w:tcW w:w="883" w:type="dxa"/>
                  <w:tcBorders>
                    <w:top w:val="single" w:color="auto" w:sz="4" w:space="0"/>
                    <w:left w:val="single" w:color="auto" w:sz="4" w:space="0"/>
                    <w:bottom w:val="single" w:color="auto" w:sz="4" w:space="0"/>
                    <w:right w:val="single" w:color="auto" w:sz="4" w:space="0"/>
                  </w:tcBorders>
                  <w:vAlign w:val="center"/>
                </w:tcPr>
                <w:p w14:paraId="5D22F5E2">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6.5-9.5</w:t>
                  </w:r>
                </w:p>
              </w:tc>
              <w:tc>
                <w:tcPr>
                  <w:tcW w:w="651" w:type="dxa"/>
                  <w:tcBorders>
                    <w:top w:val="single" w:color="auto" w:sz="4" w:space="0"/>
                    <w:left w:val="single" w:color="auto" w:sz="4" w:space="0"/>
                    <w:bottom w:val="single" w:color="auto" w:sz="4" w:space="0"/>
                    <w:right w:val="single" w:color="auto" w:sz="4" w:space="0"/>
                  </w:tcBorders>
                  <w:vAlign w:val="center"/>
                </w:tcPr>
                <w:p w14:paraId="11061628">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6-9</w:t>
                  </w:r>
                </w:p>
              </w:tc>
            </w:tr>
          </w:tbl>
          <w:p w14:paraId="0977323B">
            <w:pPr>
              <w:spacing w:line="360" w:lineRule="auto"/>
              <w:ind w:firstLine="422" w:firstLineChars="200"/>
              <w:jc w:val="center"/>
              <w:rPr>
                <w:rFonts w:hint="default" w:ascii="Times New Roman" w:hAnsi="Times New Roman" w:eastAsia="宋体" w:cs="Times New Roman"/>
                <w:b/>
                <w:bCs/>
              </w:rPr>
            </w:pPr>
            <w:r>
              <w:rPr>
                <w:rFonts w:hint="default" w:ascii="Times New Roman" w:hAnsi="Times New Roman" w:eastAsia="宋体" w:cs="Times New Roman"/>
                <w:b/>
                <w:bCs/>
              </w:rPr>
              <w:t>表4-</w:t>
            </w:r>
            <w:r>
              <w:rPr>
                <w:rFonts w:hint="default" w:ascii="Times New Roman" w:hAnsi="Times New Roman" w:eastAsia="宋体" w:cs="Times New Roman"/>
                <w:b/>
                <w:bCs/>
                <w:lang w:val="en-US" w:eastAsia="zh-CN"/>
              </w:rPr>
              <w:t>18</w:t>
            </w:r>
            <w:r>
              <w:rPr>
                <w:rFonts w:hint="default" w:ascii="Times New Roman" w:hAnsi="Times New Roman" w:eastAsia="宋体" w:cs="Times New Roman"/>
                <w:b/>
                <w:bCs/>
              </w:rPr>
              <w:t>本项目外排废水水质情况一览表</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6"/>
              <w:gridCol w:w="1026"/>
              <w:gridCol w:w="910"/>
              <w:gridCol w:w="1012"/>
              <w:gridCol w:w="849"/>
              <w:gridCol w:w="1043"/>
              <w:gridCol w:w="880"/>
              <w:gridCol w:w="1012"/>
              <w:gridCol w:w="856"/>
            </w:tblGrid>
            <w:tr w14:paraId="784B6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restart"/>
                  <w:tcBorders>
                    <w:top w:val="single" w:color="auto" w:sz="4" w:space="0"/>
                    <w:left w:val="single" w:color="auto" w:sz="4" w:space="0"/>
                    <w:bottom w:val="single" w:color="auto" w:sz="4" w:space="0"/>
                    <w:right w:val="single" w:color="auto" w:sz="4" w:space="0"/>
                  </w:tcBorders>
                  <w:vAlign w:val="center"/>
                </w:tcPr>
                <w:p w14:paraId="29E549FC">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废水来源</w:t>
                  </w:r>
                </w:p>
              </w:tc>
              <w:tc>
                <w:tcPr>
                  <w:tcW w:w="1034" w:type="dxa"/>
                  <w:vMerge w:val="restart"/>
                  <w:tcBorders>
                    <w:top w:val="single" w:color="auto" w:sz="4" w:space="0"/>
                    <w:left w:val="single" w:color="auto" w:sz="4" w:space="0"/>
                    <w:bottom w:val="single" w:color="auto" w:sz="4" w:space="0"/>
                    <w:right w:val="single" w:color="auto" w:sz="4" w:space="0"/>
                  </w:tcBorders>
                  <w:vAlign w:val="center"/>
                </w:tcPr>
                <w:p w14:paraId="537890CF">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废水排放量m</w:t>
                  </w:r>
                  <w:r>
                    <w:rPr>
                      <w:rFonts w:hint="default" w:ascii="Times New Roman" w:hAnsi="Times New Roman" w:cs="Times New Roman"/>
                      <w:b/>
                      <w:bCs/>
                      <w:sz w:val="18"/>
                      <w:szCs w:val="18"/>
                      <w:vertAlign w:val="superscript"/>
                    </w:rPr>
                    <w:t>3</w:t>
                  </w:r>
                  <w:r>
                    <w:rPr>
                      <w:rFonts w:hint="default" w:ascii="Times New Roman" w:hAnsi="Times New Roman" w:cs="Times New Roman"/>
                      <w:b/>
                      <w:bCs/>
                      <w:sz w:val="18"/>
                      <w:szCs w:val="18"/>
                    </w:rPr>
                    <w:t>/a</w:t>
                  </w:r>
                </w:p>
              </w:tc>
              <w:tc>
                <w:tcPr>
                  <w:tcW w:w="917" w:type="dxa"/>
                  <w:vMerge w:val="restart"/>
                  <w:tcBorders>
                    <w:top w:val="single" w:color="auto" w:sz="4" w:space="0"/>
                    <w:left w:val="single" w:color="auto" w:sz="4" w:space="0"/>
                    <w:bottom w:val="single" w:color="auto" w:sz="4" w:space="0"/>
                    <w:right w:val="single" w:color="auto" w:sz="4" w:space="0"/>
                  </w:tcBorders>
                  <w:vAlign w:val="center"/>
                </w:tcPr>
                <w:p w14:paraId="23C260B6">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污染因子</w:t>
                  </w:r>
                </w:p>
              </w:tc>
              <w:tc>
                <w:tcPr>
                  <w:tcW w:w="5697" w:type="dxa"/>
                  <w:gridSpan w:val="6"/>
                  <w:tcBorders>
                    <w:top w:val="single" w:color="auto" w:sz="4" w:space="0"/>
                    <w:left w:val="single" w:color="auto" w:sz="4" w:space="0"/>
                    <w:bottom w:val="single" w:color="auto" w:sz="4" w:space="0"/>
                    <w:right w:val="single" w:color="auto" w:sz="4" w:space="0"/>
                  </w:tcBorders>
                  <w:vAlign w:val="center"/>
                </w:tcPr>
                <w:p w14:paraId="53326AA0">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污染物排放</w:t>
                  </w:r>
                </w:p>
              </w:tc>
            </w:tr>
            <w:tr w14:paraId="710563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top w:val="single" w:color="auto" w:sz="4" w:space="0"/>
                    <w:left w:val="single" w:color="auto" w:sz="4" w:space="0"/>
                    <w:bottom w:val="single" w:color="auto" w:sz="4" w:space="0"/>
                    <w:right w:val="single" w:color="auto" w:sz="4" w:space="0"/>
                  </w:tcBorders>
                  <w:vAlign w:val="center"/>
                </w:tcPr>
                <w:p w14:paraId="22EA8A99">
                  <w:pPr>
                    <w:jc w:val="center"/>
                    <w:rPr>
                      <w:rFonts w:hint="default" w:ascii="Times New Roman" w:hAnsi="Times New Roman" w:cs="Times New Roman"/>
                      <w:b/>
                      <w:bCs/>
                      <w:sz w:val="18"/>
                      <w:szCs w:val="18"/>
                    </w:rPr>
                  </w:pPr>
                </w:p>
              </w:tc>
              <w:tc>
                <w:tcPr>
                  <w:tcW w:w="1034" w:type="dxa"/>
                  <w:vMerge w:val="continue"/>
                  <w:tcBorders>
                    <w:top w:val="single" w:color="auto" w:sz="4" w:space="0"/>
                    <w:left w:val="single" w:color="auto" w:sz="4" w:space="0"/>
                    <w:bottom w:val="single" w:color="auto" w:sz="4" w:space="0"/>
                    <w:right w:val="single" w:color="auto" w:sz="4" w:space="0"/>
                  </w:tcBorders>
                  <w:vAlign w:val="center"/>
                </w:tcPr>
                <w:p w14:paraId="65FF512E">
                  <w:pPr>
                    <w:jc w:val="center"/>
                    <w:rPr>
                      <w:rFonts w:hint="default" w:ascii="Times New Roman" w:hAnsi="Times New Roman" w:cs="Times New Roman"/>
                      <w:b/>
                      <w:bCs/>
                      <w:sz w:val="18"/>
                      <w:szCs w:val="18"/>
                    </w:rPr>
                  </w:pPr>
                </w:p>
              </w:tc>
              <w:tc>
                <w:tcPr>
                  <w:tcW w:w="917" w:type="dxa"/>
                  <w:vMerge w:val="continue"/>
                  <w:tcBorders>
                    <w:top w:val="single" w:color="auto" w:sz="4" w:space="0"/>
                    <w:left w:val="single" w:color="auto" w:sz="4" w:space="0"/>
                    <w:bottom w:val="single" w:color="auto" w:sz="4" w:space="0"/>
                    <w:right w:val="single" w:color="auto" w:sz="4" w:space="0"/>
                  </w:tcBorders>
                  <w:vAlign w:val="center"/>
                </w:tcPr>
                <w:p w14:paraId="27DADC4A">
                  <w:pPr>
                    <w:jc w:val="center"/>
                    <w:rPr>
                      <w:rFonts w:hint="default" w:ascii="Times New Roman" w:hAnsi="Times New Roman" w:cs="Times New Roman"/>
                      <w:b/>
                      <w:bCs/>
                      <w:sz w:val="18"/>
                      <w:szCs w:val="18"/>
                    </w:rPr>
                  </w:pPr>
                </w:p>
              </w:tc>
              <w:tc>
                <w:tcPr>
                  <w:tcW w:w="1020" w:type="dxa"/>
                  <w:tcBorders>
                    <w:top w:val="single" w:color="auto" w:sz="4" w:space="0"/>
                    <w:left w:val="single" w:color="auto" w:sz="4" w:space="0"/>
                    <w:bottom w:val="single" w:color="auto" w:sz="4" w:space="0"/>
                    <w:right w:val="single" w:color="auto" w:sz="4" w:space="0"/>
                  </w:tcBorders>
                  <w:vAlign w:val="center"/>
                </w:tcPr>
                <w:p w14:paraId="42DC04D5">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预估浓度</w:t>
                  </w:r>
                </w:p>
                <w:p w14:paraId="46367B69">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（mg/L）</w:t>
                  </w:r>
                </w:p>
              </w:tc>
              <w:tc>
                <w:tcPr>
                  <w:tcW w:w="856" w:type="dxa"/>
                  <w:tcBorders>
                    <w:top w:val="single" w:color="auto" w:sz="4" w:space="0"/>
                    <w:left w:val="single" w:color="auto" w:sz="4" w:space="0"/>
                    <w:bottom w:val="single" w:color="auto" w:sz="4" w:space="0"/>
                    <w:right w:val="single" w:color="auto" w:sz="4" w:space="0"/>
                  </w:tcBorders>
                  <w:vAlign w:val="center"/>
                </w:tcPr>
                <w:p w14:paraId="42E2710D">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排放量</w:t>
                  </w:r>
                </w:p>
                <w:p w14:paraId="10267519">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（t/a）</w:t>
                  </w:r>
                </w:p>
              </w:tc>
              <w:tc>
                <w:tcPr>
                  <w:tcW w:w="1051" w:type="dxa"/>
                  <w:tcBorders>
                    <w:top w:val="single" w:color="auto" w:sz="4" w:space="0"/>
                    <w:left w:val="single" w:color="auto" w:sz="4" w:space="0"/>
                    <w:bottom w:val="single" w:color="auto" w:sz="4" w:space="0"/>
                    <w:right w:val="single" w:color="auto" w:sz="4" w:space="0"/>
                  </w:tcBorders>
                  <w:vAlign w:val="center"/>
                </w:tcPr>
                <w:p w14:paraId="5D2AC1D1">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接管标准浓度（mg/L）</w:t>
                  </w:r>
                </w:p>
              </w:tc>
              <w:tc>
                <w:tcPr>
                  <w:tcW w:w="887" w:type="dxa"/>
                  <w:tcBorders>
                    <w:top w:val="single" w:color="auto" w:sz="4" w:space="0"/>
                    <w:left w:val="single" w:color="auto" w:sz="4" w:space="0"/>
                    <w:bottom w:val="single" w:color="auto" w:sz="4" w:space="0"/>
                    <w:right w:val="single" w:color="auto" w:sz="4" w:space="0"/>
                  </w:tcBorders>
                  <w:vAlign w:val="center"/>
                </w:tcPr>
                <w:p w14:paraId="17766EA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接管标准排放量（t/a）</w:t>
                  </w:r>
                </w:p>
              </w:tc>
              <w:tc>
                <w:tcPr>
                  <w:tcW w:w="1020" w:type="dxa"/>
                  <w:tcBorders>
                    <w:top w:val="single" w:color="auto" w:sz="4" w:space="0"/>
                    <w:left w:val="single" w:color="auto" w:sz="4" w:space="0"/>
                    <w:bottom w:val="single" w:color="auto" w:sz="4" w:space="0"/>
                    <w:right w:val="single" w:color="auto" w:sz="4" w:space="0"/>
                  </w:tcBorders>
                  <w:vAlign w:val="center"/>
                </w:tcPr>
                <w:p w14:paraId="6D16FE3A">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排河标准（mg/L）</w:t>
                  </w:r>
                </w:p>
              </w:tc>
              <w:tc>
                <w:tcPr>
                  <w:tcW w:w="863" w:type="dxa"/>
                  <w:tcBorders>
                    <w:top w:val="single" w:color="auto" w:sz="4" w:space="0"/>
                    <w:left w:val="single" w:color="auto" w:sz="4" w:space="0"/>
                    <w:bottom w:val="single" w:color="auto" w:sz="4" w:space="0"/>
                    <w:right w:val="single" w:color="auto" w:sz="4" w:space="0"/>
                  </w:tcBorders>
                  <w:vAlign w:val="center"/>
                </w:tcPr>
                <w:p w14:paraId="79EB8D03">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排放量（t/a）</w:t>
                  </w:r>
                </w:p>
              </w:tc>
            </w:tr>
            <w:tr w14:paraId="34666A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2" w:hRule="atLeast"/>
                <w:jc w:val="center"/>
              </w:trPr>
              <w:tc>
                <w:tcPr>
                  <w:tcW w:w="702" w:type="dxa"/>
                  <w:vMerge w:val="restart"/>
                  <w:tcBorders>
                    <w:top w:val="single" w:color="auto" w:sz="4" w:space="0"/>
                    <w:left w:val="single" w:color="auto" w:sz="4" w:space="0"/>
                    <w:right w:val="single" w:color="auto" w:sz="4" w:space="0"/>
                  </w:tcBorders>
                  <w:vAlign w:val="center"/>
                </w:tcPr>
                <w:p w14:paraId="24565544">
                  <w:pPr>
                    <w:jc w:val="center"/>
                    <w:rPr>
                      <w:rFonts w:hint="default" w:ascii="Times New Roman" w:hAnsi="Times New Roman" w:cs="Times New Roman"/>
                      <w:sz w:val="18"/>
                      <w:szCs w:val="18"/>
                    </w:rPr>
                  </w:pPr>
                  <w:r>
                    <w:rPr>
                      <w:rFonts w:hint="default" w:ascii="Times New Roman" w:hAnsi="Times New Roman" w:cs="Times New Roman"/>
                      <w:sz w:val="18"/>
                      <w:szCs w:val="18"/>
                    </w:rPr>
                    <w:t>生活污水</w:t>
                  </w:r>
                </w:p>
              </w:tc>
              <w:tc>
                <w:tcPr>
                  <w:tcW w:w="1034" w:type="dxa"/>
                  <w:vMerge w:val="restart"/>
                  <w:tcBorders>
                    <w:top w:val="single" w:color="auto" w:sz="4" w:space="0"/>
                    <w:left w:val="single" w:color="auto" w:sz="4" w:space="0"/>
                    <w:right w:val="single" w:color="auto" w:sz="4" w:space="0"/>
                  </w:tcBorders>
                  <w:vAlign w:val="center"/>
                </w:tcPr>
                <w:p w14:paraId="5AD67B01">
                  <w:pPr>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360</w:t>
                  </w:r>
                </w:p>
              </w:tc>
              <w:tc>
                <w:tcPr>
                  <w:tcW w:w="917" w:type="dxa"/>
                  <w:tcBorders>
                    <w:top w:val="single" w:color="auto" w:sz="4" w:space="0"/>
                    <w:left w:val="single" w:color="auto" w:sz="4" w:space="0"/>
                    <w:bottom w:val="single" w:color="auto" w:sz="4" w:space="0"/>
                    <w:right w:val="single" w:color="auto" w:sz="4" w:space="0"/>
                  </w:tcBorders>
                  <w:vAlign w:val="center"/>
                </w:tcPr>
                <w:p w14:paraId="6C0C1D1C">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COD</w:t>
                  </w:r>
                </w:p>
              </w:tc>
              <w:tc>
                <w:tcPr>
                  <w:tcW w:w="1020" w:type="dxa"/>
                  <w:tcBorders>
                    <w:top w:val="single" w:color="auto" w:sz="4" w:space="0"/>
                    <w:left w:val="single" w:color="auto" w:sz="4" w:space="0"/>
                    <w:bottom w:val="single" w:color="auto" w:sz="4" w:space="0"/>
                    <w:right w:val="single" w:color="auto" w:sz="4" w:space="0"/>
                  </w:tcBorders>
                  <w:vAlign w:val="center"/>
                </w:tcPr>
                <w:p w14:paraId="0B427AE8">
                  <w:pPr>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350</w:t>
                  </w:r>
                </w:p>
              </w:tc>
              <w:tc>
                <w:tcPr>
                  <w:tcW w:w="856" w:type="dxa"/>
                  <w:tcBorders>
                    <w:top w:val="single" w:color="auto" w:sz="4" w:space="0"/>
                    <w:left w:val="single" w:color="auto" w:sz="4" w:space="0"/>
                    <w:bottom w:val="single" w:color="auto" w:sz="4" w:space="0"/>
                    <w:right w:val="single" w:color="auto" w:sz="4" w:space="0"/>
                  </w:tcBorders>
                  <w:vAlign w:val="center"/>
                </w:tcPr>
                <w:p w14:paraId="030AC784">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0.126</w:t>
                  </w:r>
                </w:p>
              </w:tc>
              <w:tc>
                <w:tcPr>
                  <w:tcW w:w="1051" w:type="dxa"/>
                  <w:tcBorders>
                    <w:top w:val="single" w:color="auto" w:sz="4" w:space="0"/>
                    <w:left w:val="single" w:color="auto" w:sz="4" w:space="0"/>
                    <w:bottom w:val="single" w:color="auto" w:sz="4" w:space="0"/>
                    <w:right w:val="single" w:color="auto" w:sz="4" w:space="0"/>
                  </w:tcBorders>
                  <w:vAlign w:val="center"/>
                </w:tcPr>
                <w:p w14:paraId="36738631">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500</w:t>
                  </w:r>
                </w:p>
              </w:tc>
              <w:tc>
                <w:tcPr>
                  <w:tcW w:w="887" w:type="dxa"/>
                  <w:tcBorders>
                    <w:top w:val="single" w:color="auto" w:sz="4" w:space="0"/>
                    <w:left w:val="single" w:color="auto" w:sz="4" w:space="0"/>
                    <w:bottom w:val="single" w:color="auto" w:sz="4" w:space="0"/>
                    <w:right w:val="single" w:color="auto" w:sz="4" w:space="0"/>
                  </w:tcBorders>
                  <w:vAlign w:val="bottom"/>
                </w:tcPr>
                <w:p w14:paraId="60280969">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0.18</w:t>
                  </w:r>
                </w:p>
              </w:tc>
              <w:tc>
                <w:tcPr>
                  <w:tcW w:w="1020" w:type="dxa"/>
                  <w:tcBorders>
                    <w:top w:val="single" w:color="auto" w:sz="4" w:space="0"/>
                    <w:left w:val="single" w:color="auto" w:sz="4" w:space="0"/>
                    <w:bottom w:val="single" w:color="auto" w:sz="4" w:space="0"/>
                    <w:right w:val="single" w:color="auto" w:sz="4" w:space="0"/>
                  </w:tcBorders>
                  <w:vAlign w:val="center"/>
                </w:tcPr>
                <w:p w14:paraId="25EF9E2F">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40</w:t>
                  </w:r>
                </w:p>
              </w:tc>
              <w:tc>
                <w:tcPr>
                  <w:tcW w:w="863" w:type="dxa"/>
                  <w:tcBorders>
                    <w:top w:val="single" w:color="auto" w:sz="4" w:space="0"/>
                    <w:left w:val="single" w:color="auto" w:sz="4" w:space="0"/>
                    <w:bottom w:val="single" w:color="auto" w:sz="4" w:space="0"/>
                    <w:right w:val="single" w:color="auto" w:sz="4" w:space="0"/>
                  </w:tcBorders>
                  <w:vAlign w:val="bottom"/>
                </w:tcPr>
                <w:p w14:paraId="243F413D">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w:t>
                  </w:r>
                  <w:r>
                    <w:rPr>
                      <w:rFonts w:hint="eastAsia" w:ascii="Times New Roman" w:hAnsi="Times New Roman" w:cs="Times New Roman"/>
                      <w:i w:val="0"/>
                      <w:iCs w:val="0"/>
                      <w:color w:val="000000"/>
                      <w:kern w:val="0"/>
                      <w:sz w:val="18"/>
                      <w:szCs w:val="18"/>
                      <w:u w:val="none"/>
                      <w:lang w:val="en-US" w:eastAsia="zh-CN" w:bidi="ar"/>
                    </w:rPr>
                    <w:t>2</w:t>
                  </w:r>
                </w:p>
              </w:tc>
            </w:tr>
            <w:tr w14:paraId="58EBB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79DE78B1">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3E79188D">
                  <w:pPr>
                    <w:jc w:val="center"/>
                    <w:rPr>
                      <w:rFonts w:hint="default" w:ascii="Times New Roman" w:hAnsi="Times New Roman" w:eastAsia="宋体" w:cs="Times New Roman"/>
                      <w:sz w:val="18"/>
                      <w:szCs w:val="18"/>
                      <w:lang w:val="en-US" w:eastAsia="zh-CN"/>
                    </w:rPr>
                  </w:pPr>
                </w:p>
              </w:tc>
              <w:tc>
                <w:tcPr>
                  <w:tcW w:w="917" w:type="dxa"/>
                  <w:tcBorders>
                    <w:top w:val="single" w:color="auto" w:sz="4" w:space="0"/>
                    <w:left w:val="single" w:color="auto" w:sz="4" w:space="0"/>
                    <w:bottom w:val="single" w:color="auto" w:sz="4" w:space="0"/>
                    <w:right w:val="single" w:color="auto" w:sz="4" w:space="0"/>
                  </w:tcBorders>
                  <w:vAlign w:val="center"/>
                </w:tcPr>
                <w:p w14:paraId="5466B7D5">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BOD</w:t>
                  </w:r>
                  <w:r>
                    <w:rPr>
                      <w:rFonts w:hint="default" w:ascii="Times New Roman" w:hAnsi="Times New Roman" w:cs="Times New Roman"/>
                      <w:sz w:val="18"/>
                      <w:szCs w:val="18"/>
                      <w:vertAlign w:val="subscript"/>
                    </w:rPr>
                    <w:t>5</w:t>
                  </w:r>
                </w:p>
              </w:tc>
              <w:tc>
                <w:tcPr>
                  <w:tcW w:w="1020" w:type="dxa"/>
                  <w:tcBorders>
                    <w:top w:val="single" w:color="auto" w:sz="4" w:space="0"/>
                    <w:left w:val="single" w:color="auto" w:sz="4" w:space="0"/>
                    <w:bottom w:val="single" w:color="auto" w:sz="4" w:space="0"/>
                    <w:right w:val="single" w:color="auto" w:sz="4" w:space="0"/>
                  </w:tcBorders>
                  <w:vAlign w:val="center"/>
                </w:tcPr>
                <w:p w14:paraId="48E194C6">
                  <w:pPr>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250</w:t>
                  </w:r>
                </w:p>
              </w:tc>
              <w:tc>
                <w:tcPr>
                  <w:tcW w:w="856" w:type="dxa"/>
                  <w:tcBorders>
                    <w:top w:val="single" w:color="auto" w:sz="4" w:space="0"/>
                    <w:left w:val="single" w:color="auto" w:sz="4" w:space="0"/>
                    <w:bottom w:val="single" w:color="auto" w:sz="4" w:space="0"/>
                    <w:right w:val="single" w:color="auto" w:sz="4" w:space="0"/>
                  </w:tcBorders>
                  <w:vAlign w:val="center"/>
                </w:tcPr>
                <w:p w14:paraId="284D9F44">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0.09</w:t>
                  </w:r>
                </w:p>
              </w:tc>
              <w:tc>
                <w:tcPr>
                  <w:tcW w:w="1051" w:type="dxa"/>
                  <w:tcBorders>
                    <w:top w:val="single" w:color="auto" w:sz="4" w:space="0"/>
                    <w:left w:val="single" w:color="auto" w:sz="4" w:space="0"/>
                    <w:bottom w:val="single" w:color="auto" w:sz="4" w:space="0"/>
                    <w:right w:val="single" w:color="auto" w:sz="4" w:space="0"/>
                  </w:tcBorders>
                  <w:vAlign w:val="center"/>
                </w:tcPr>
                <w:p w14:paraId="11BA971D">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3</w:t>
                  </w:r>
                  <w:r>
                    <w:rPr>
                      <w:rFonts w:hint="eastAsia" w:cs="Times New Roman"/>
                      <w:sz w:val="18"/>
                      <w:szCs w:val="18"/>
                      <w:lang w:val="en-US" w:eastAsia="zh-CN"/>
                    </w:rPr>
                    <w:t>5</w:t>
                  </w:r>
                  <w:r>
                    <w:rPr>
                      <w:rFonts w:hint="default" w:ascii="Times New Roman" w:hAnsi="Times New Roman" w:cs="Times New Roman"/>
                      <w:sz w:val="18"/>
                      <w:szCs w:val="18"/>
                    </w:rPr>
                    <w:t>0</w:t>
                  </w:r>
                </w:p>
              </w:tc>
              <w:tc>
                <w:tcPr>
                  <w:tcW w:w="887" w:type="dxa"/>
                  <w:tcBorders>
                    <w:top w:val="single" w:color="auto" w:sz="4" w:space="0"/>
                    <w:left w:val="single" w:color="auto" w:sz="4" w:space="0"/>
                    <w:bottom w:val="single" w:color="auto" w:sz="4" w:space="0"/>
                    <w:right w:val="single" w:color="auto" w:sz="4" w:space="0"/>
                  </w:tcBorders>
                  <w:vAlign w:val="bottom"/>
                </w:tcPr>
                <w:p w14:paraId="602681D0">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0.126</w:t>
                  </w:r>
                </w:p>
              </w:tc>
              <w:tc>
                <w:tcPr>
                  <w:tcW w:w="1020" w:type="dxa"/>
                  <w:tcBorders>
                    <w:top w:val="single" w:color="auto" w:sz="4" w:space="0"/>
                    <w:left w:val="single" w:color="auto" w:sz="4" w:space="0"/>
                    <w:bottom w:val="single" w:color="auto" w:sz="4" w:space="0"/>
                    <w:right w:val="single" w:color="auto" w:sz="4" w:space="0"/>
                  </w:tcBorders>
                  <w:vAlign w:val="center"/>
                </w:tcPr>
                <w:p w14:paraId="2F2EB5EE">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10</w:t>
                  </w:r>
                </w:p>
              </w:tc>
              <w:tc>
                <w:tcPr>
                  <w:tcW w:w="863" w:type="dxa"/>
                  <w:tcBorders>
                    <w:top w:val="single" w:color="auto" w:sz="4" w:space="0"/>
                    <w:left w:val="single" w:color="auto" w:sz="4" w:space="0"/>
                    <w:bottom w:val="single" w:color="auto" w:sz="4" w:space="0"/>
                    <w:right w:val="single" w:color="auto" w:sz="4" w:space="0"/>
                  </w:tcBorders>
                  <w:vAlign w:val="bottom"/>
                </w:tcPr>
                <w:p w14:paraId="7E578AC1">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0.00</w:t>
                  </w:r>
                  <w:r>
                    <w:rPr>
                      <w:rFonts w:hint="eastAsia" w:ascii="Times New Roman" w:hAnsi="Times New Roman" w:cs="Times New Roman"/>
                      <w:i w:val="0"/>
                      <w:iCs w:val="0"/>
                      <w:color w:val="000000"/>
                      <w:kern w:val="0"/>
                      <w:sz w:val="18"/>
                      <w:szCs w:val="18"/>
                      <w:u w:val="none"/>
                      <w:lang w:val="en-US" w:eastAsia="zh-CN" w:bidi="ar"/>
                    </w:rPr>
                    <w:t>5</w:t>
                  </w:r>
                </w:p>
              </w:tc>
            </w:tr>
            <w:tr w14:paraId="06618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14C8DC73">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72BE52EE">
                  <w:pPr>
                    <w:jc w:val="center"/>
                    <w:rPr>
                      <w:rFonts w:hint="default" w:ascii="Times New Roman" w:hAnsi="Times New Roman" w:cs="Times New Roman"/>
                      <w:sz w:val="18"/>
                      <w:szCs w:val="18"/>
                    </w:rPr>
                  </w:pPr>
                </w:p>
              </w:tc>
              <w:tc>
                <w:tcPr>
                  <w:tcW w:w="917" w:type="dxa"/>
                  <w:tcBorders>
                    <w:top w:val="single" w:color="auto" w:sz="4" w:space="0"/>
                    <w:left w:val="single" w:color="auto" w:sz="4" w:space="0"/>
                    <w:bottom w:val="single" w:color="auto" w:sz="4" w:space="0"/>
                    <w:right w:val="single" w:color="auto" w:sz="4" w:space="0"/>
                  </w:tcBorders>
                  <w:vAlign w:val="center"/>
                </w:tcPr>
                <w:p w14:paraId="2C26DD37">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SS</w:t>
                  </w:r>
                </w:p>
              </w:tc>
              <w:tc>
                <w:tcPr>
                  <w:tcW w:w="1020" w:type="dxa"/>
                  <w:tcBorders>
                    <w:top w:val="single" w:color="auto" w:sz="4" w:space="0"/>
                    <w:left w:val="single" w:color="auto" w:sz="4" w:space="0"/>
                    <w:bottom w:val="single" w:color="auto" w:sz="4" w:space="0"/>
                    <w:right w:val="single" w:color="auto" w:sz="4" w:space="0"/>
                  </w:tcBorders>
                  <w:vAlign w:val="center"/>
                </w:tcPr>
                <w:p w14:paraId="30D334C1">
                  <w:pPr>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300</w:t>
                  </w:r>
                </w:p>
              </w:tc>
              <w:tc>
                <w:tcPr>
                  <w:tcW w:w="856" w:type="dxa"/>
                  <w:tcBorders>
                    <w:top w:val="single" w:color="auto" w:sz="4" w:space="0"/>
                    <w:left w:val="single" w:color="auto" w:sz="4" w:space="0"/>
                    <w:bottom w:val="single" w:color="auto" w:sz="4" w:space="0"/>
                    <w:right w:val="single" w:color="auto" w:sz="4" w:space="0"/>
                  </w:tcBorders>
                  <w:vAlign w:val="center"/>
                </w:tcPr>
                <w:p w14:paraId="5A054C8B">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0.108</w:t>
                  </w:r>
                </w:p>
              </w:tc>
              <w:tc>
                <w:tcPr>
                  <w:tcW w:w="1051" w:type="dxa"/>
                  <w:tcBorders>
                    <w:top w:val="single" w:color="auto" w:sz="4" w:space="0"/>
                    <w:left w:val="single" w:color="auto" w:sz="4" w:space="0"/>
                    <w:bottom w:val="single" w:color="auto" w:sz="4" w:space="0"/>
                    <w:right w:val="single" w:color="auto" w:sz="4" w:space="0"/>
                  </w:tcBorders>
                  <w:vAlign w:val="center"/>
                </w:tcPr>
                <w:p w14:paraId="495A0609">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400</w:t>
                  </w:r>
                </w:p>
              </w:tc>
              <w:tc>
                <w:tcPr>
                  <w:tcW w:w="887" w:type="dxa"/>
                  <w:tcBorders>
                    <w:top w:val="single" w:color="auto" w:sz="4" w:space="0"/>
                    <w:left w:val="single" w:color="auto" w:sz="4" w:space="0"/>
                    <w:bottom w:val="single" w:color="auto" w:sz="4" w:space="0"/>
                    <w:right w:val="single" w:color="auto" w:sz="4" w:space="0"/>
                  </w:tcBorders>
                  <w:vAlign w:val="bottom"/>
                </w:tcPr>
                <w:p w14:paraId="6FE9501A">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0.144</w:t>
                  </w:r>
                </w:p>
              </w:tc>
              <w:tc>
                <w:tcPr>
                  <w:tcW w:w="1020" w:type="dxa"/>
                  <w:tcBorders>
                    <w:top w:val="single" w:color="auto" w:sz="4" w:space="0"/>
                    <w:left w:val="single" w:color="auto" w:sz="4" w:space="0"/>
                    <w:bottom w:val="single" w:color="auto" w:sz="4" w:space="0"/>
                    <w:right w:val="single" w:color="auto" w:sz="4" w:space="0"/>
                  </w:tcBorders>
                  <w:vAlign w:val="center"/>
                </w:tcPr>
                <w:p w14:paraId="3FCEFB3A">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10</w:t>
                  </w:r>
                </w:p>
              </w:tc>
              <w:tc>
                <w:tcPr>
                  <w:tcW w:w="863" w:type="dxa"/>
                  <w:tcBorders>
                    <w:top w:val="single" w:color="auto" w:sz="4" w:space="0"/>
                    <w:left w:val="single" w:color="auto" w:sz="4" w:space="0"/>
                    <w:bottom w:val="single" w:color="auto" w:sz="4" w:space="0"/>
                    <w:right w:val="single" w:color="auto" w:sz="4" w:space="0"/>
                  </w:tcBorders>
                  <w:vAlign w:val="bottom"/>
                </w:tcPr>
                <w:p w14:paraId="59B27970">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0.00</w:t>
                  </w:r>
                  <w:r>
                    <w:rPr>
                      <w:rFonts w:hint="eastAsia" w:ascii="Times New Roman" w:hAnsi="Times New Roman" w:cs="Times New Roman"/>
                      <w:i w:val="0"/>
                      <w:iCs w:val="0"/>
                      <w:color w:val="000000"/>
                      <w:kern w:val="0"/>
                      <w:sz w:val="18"/>
                      <w:szCs w:val="18"/>
                      <w:u w:val="none"/>
                      <w:lang w:val="en-US" w:eastAsia="zh-CN" w:bidi="ar"/>
                    </w:rPr>
                    <w:t>5</w:t>
                  </w:r>
                </w:p>
              </w:tc>
            </w:tr>
            <w:tr w14:paraId="0DE98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4DC2BCD5">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7DBA6A4E">
                  <w:pPr>
                    <w:jc w:val="center"/>
                    <w:rPr>
                      <w:rFonts w:hint="default" w:ascii="Times New Roman" w:hAnsi="Times New Roman" w:cs="Times New Roman"/>
                      <w:sz w:val="18"/>
                      <w:szCs w:val="18"/>
                    </w:rPr>
                  </w:pPr>
                </w:p>
              </w:tc>
              <w:tc>
                <w:tcPr>
                  <w:tcW w:w="917" w:type="dxa"/>
                  <w:tcBorders>
                    <w:top w:val="single" w:color="auto" w:sz="4" w:space="0"/>
                    <w:left w:val="single" w:color="auto" w:sz="4" w:space="0"/>
                    <w:bottom w:val="single" w:color="auto" w:sz="4" w:space="0"/>
                    <w:right w:val="single" w:color="auto" w:sz="4" w:space="0"/>
                  </w:tcBorders>
                  <w:vAlign w:val="center"/>
                </w:tcPr>
                <w:p w14:paraId="61779389">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NH</w:t>
                  </w:r>
                  <w:r>
                    <w:rPr>
                      <w:rFonts w:hint="default" w:ascii="Times New Roman" w:hAnsi="Times New Roman" w:cs="Times New Roman"/>
                      <w:sz w:val="18"/>
                      <w:szCs w:val="18"/>
                      <w:vertAlign w:val="subscript"/>
                    </w:rPr>
                    <w:t>3</w:t>
                  </w:r>
                  <w:r>
                    <w:rPr>
                      <w:rFonts w:hint="default" w:ascii="Times New Roman" w:hAnsi="Times New Roman" w:cs="Times New Roman"/>
                      <w:sz w:val="18"/>
                      <w:szCs w:val="18"/>
                    </w:rPr>
                    <w:t>-N</w:t>
                  </w:r>
                </w:p>
              </w:tc>
              <w:tc>
                <w:tcPr>
                  <w:tcW w:w="1020" w:type="dxa"/>
                  <w:tcBorders>
                    <w:top w:val="single" w:color="auto" w:sz="4" w:space="0"/>
                    <w:left w:val="single" w:color="auto" w:sz="4" w:space="0"/>
                    <w:bottom w:val="single" w:color="auto" w:sz="4" w:space="0"/>
                    <w:right w:val="single" w:color="auto" w:sz="4" w:space="0"/>
                  </w:tcBorders>
                  <w:vAlign w:val="center"/>
                </w:tcPr>
                <w:p w14:paraId="6D7D5096">
                  <w:pPr>
                    <w:snapToGrid w:val="0"/>
                    <w:jc w:val="center"/>
                    <w:rPr>
                      <w:rFonts w:hint="default" w:ascii="Times New Roman" w:hAnsi="Times New Roman" w:eastAsia="宋体" w:cs="Times New Roman"/>
                      <w:kern w:val="2"/>
                      <w:sz w:val="18"/>
                      <w:szCs w:val="18"/>
                      <w:lang w:val="en-US" w:eastAsia="zh-CN" w:bidi="ar-SA"/>
                    </w:rPr>
                  </w:pPr>
                  <w:r>
                    <w:rPr>
                      <w:rFonts w:hint="eastAsia"/>
                      <w:sz w:val="18"/>
                      <w:szCs w:val="18"/>
                      <w:lang w:val="en-US" w:eastAsia="zh-CN"/>
                    </w:rPr>
                    <w:t>30</w:t>
                  </w:r>
                </w:p>
              </w:tc>
              <w:tc>
                <w:tcPr>
                  <w:tcW w:w="856" w:type="dxa"/>
                  <w:tcBorders>
                    <w:top w:val="single" w:color="auto" w:sz="4" w:space="0"/>
                    <w:left w:val="single" w:color="auto" w:sz="4" w:space="0"/>
                    <w:bottom w:val="single" w:color="auto" w:sz="4" w:space="0"/>
                    <w:right w:val="single" w:color="auto" w:sz="4" w:space="0"/>
                  </w:tcBorders>
                  <w:vAlign w:val="center"/>
                </w:tcPr>
                <w:p w14:paraId="05D1CF5F">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0.0108</w:t>
                  </w:r>
                </w:p>
              </w:tc>
              <w:tc>
                <w:tcPr>
                  <w:tcW w:w="1051" w:type="dxa"/>
                  <w:tcBorders>
                    <w:top w:val="single" w:color="auto" w:sz="4" w:space="0"/>
                    <w:left w:val="single" w:color="auto" w:sz="4" w:space="0"/>
                    <w:bottom w:val="single" w:color="auto" w:sz="4" w:space="0"/>
                    <w:right w:val="single" w:color="auto" w:sz="4" w:space="0"/>
                  </w:tcBorders>
                  <w:vAlign w:val="center"/>
                </w:tcPr>
                <w:p w14:paraId="49A80F14">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45</w:t>
                  </w:r>
                </w:p>
              </w:tc>
              <w:tc>
                <w:tcPr>
                  <w:tcW w:w="887" w:type="dxa"/>
                  <w:tcBorders>
                    <w:top w:val="single" w:color="auto" w:sz="4" w:space="0"/>
                    <w:left w:val="single" w:color="auto" w:sz="4" w:space="0"/>
                    <w:bottom w:val="single" w:color="auto" w:sz="4" w:space="0"/>
                    <w:right w:val="single" w:color="auto" w:sz="4" w:space="0"/>
                  </w:tcBorders>
                  <w:vAlign w:val="bottom"/>
                </w:tcPr>
                <w:p w14:paraId="72FB1B5E">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0.0162</w:t>
                  </w:r>
                </w:p>
              </w:tc>
              <w:tc>
                <w:tcPr>
                  <w:tcW w:w="1020" w:type="dxa"/>
                  <w:tcBorders>
                    <w:top w:val="single" w:color="auto" w:sz="4" w:space="0"/>
                    <w:left w:val="single" w:color="auto" w:sz="4" w:space="0"/>
                    <w:bottom w:val="single" w:color="auto" w:sz="4" w:space="0"/>
                    <w:right w:val="single" w:color="auto" w:sz="4" w:space="0"/>
                  </w:tcBorders>
                  <w:vAlign w:val="center"/>
                </w:tcPr>
                <w:p w14:paraId="606C840E">
                  <w:pPr>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2</w:t>
                  </w:r>
                </w:p>
              </w:tc>
              <w:tc>
                <w:tcPr>
                  <w:tcW w:w="863" w:type="dxa"/>
                  <w:tcBorders>
                    <w:top w:val="single" w:color="auto" w:sz="4" w:space="0"/>
                    <w:left w:val="single" w:color="auto" w:sz="4" w:space="0"/>
                    <w:bottom w:val="single" w:color="auto" w:sz="4" w:space="0"/>
                    <w:right w:val="single" w:color="auto" w:sz="4" w:space="0"/>
                  </w:tcBorders>
                  <w:vAlign w:val="bottom"/>
                </w:tcPr>
                <w:p w14:paraId="5FFE6948">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default" w:ascii="Times New Roman" w:hAnsi="Times New Roman" w:eastAsia="宋体" w:cs="Times New Roman"/>
                      <w:i w:val="0"/>
                      <w:iCs w:val="0"/>
                      <w:color w:val="000000"/>
                      <w:kern w:val="0"/>
                      <w:sz w:val="18"/>
                      <w:szCs w:val="18"/>
                      <w:u w:val="none"/>
                      <w:lang w:val="en-US" w:eastAsia="zh-CN" w:bidi="ar"/>
                    </w:rPr>
                    <w:t>0.00</w:t>
                  </w:r>
                  <w:r>
                    <w:rPr>
                      <w:rFonts w:hint="eastAsia" w:ascii="Times New Roman" w:hAnsi="Times New Roman" w:cs="Times New Roman"/>
                      <w:i w:val="0"/>
                      <w:iCs w:val="0"/>
                      <w:color w:val="000000"/>
                      <w:kern w:val="0"/>
                      <w:sz w:val="18"/>
                      <w:szCs w:val="18"/>
                      <w:u w:val="none"/>
                      <w:lang w:val="en-US" w:eastAsia="zh-CN" w:bidi="ar"/>
                    </w:rPr>
                    <w:t>1</w:t>
                  </w:r>
                </w:p>
              </w:tc>
            </w:tr>
            <w:tr w14:paraId="705765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02" w:type="dxa"/>
                  <w:vMerge w:val="continue"/>
                  <w:tcBorders>
                    <w:left w:val="single" w:color="auto" w:sz="4" w:space="0"/>
                    <w:right w:val="single" w:color="auto" w:sz="4" w:space="0"/>
                  </w:tcBorders>
                  <w:vAlign w:val="center"/>
                </w:tcPr>
                <w:p w14:paraId="05118EAF">
                  <w:pPr>
                    <w:jc w:val="center"/>
                    <w:rPr>
                      <w:rFonts w:hint="default" w:ascii="Times New Roman" w:hAnsi="Times New Roman" w:cs="Times New Roman"/>
                      <w:sz w:val="18"/>
                      <w:szCs w:val="18"/>
                    </w:rPr>
                  </w:pPr>
                </w:p>
              </w:tc>
              <w:tc>
                <w:tcPr>
                  <w:tcW w:w="1034" w:type="dxa"/>
                  <w:vMerge w:val="continue"/>
                  <w:tcBorders>
                    <w:left w:val="single" w:color="auto" w:sz="4" w:space="0"/>
                    <w:right w:val="single" w:color="auto" w:sz="4" w:space="0"/>
                  </w:tcBorders>
                  <w:vAlign w:val="center"/>
                </w:tcPr>
                <w:p w14:paraId="79CB814E">
                  <w:pPr>
                    <w:jc w:val="center"/>
                    <w:rPr>
                      <w:rFonts w:hint="default" w:ascii="Times New Roman" w:hAnsi="Times New Roman" w:cs="Times New Roman"/>
                      <w:sz w:val="18"/>
                      <w:szCs w:val="18"/>
                    </w:rPr>
                  </w:pPr>
                </w:p>
              </w:tc>
              <w:tc>
                <w:tcPr>
                  <w:tcW w:w="917" w:type="dxa"/>
                  <w:tcBorders>
                    <w:top w:val="single" w:color="auto" w:sz="4" w:space="0"/>
                    <w:left w:val="single" w:color="auto" w:sz="4" w:space="0"/>
                    <w:bottom w:val="single" w:color="auto" w:sz="4" w:space="0"/>
                    <w:right w:val="single" w:color="auto" w:sz="4" w:space="0"/>
                  </w:tcBorders>
                  <w:vAlign w:val="center"/>
                </w:tcPr>
                <w:p w14:paraId="3B75DFF7">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pH</w:t>
                  </w:r>
                </w:p>
              </w:tc>
              <w:tc>
                <w:tcPr>
                  <w:tcW w:w="1020" w:type="dxa"/>
                  <w:tcBorders>
                    <w:top w:val="single" w:color="auto" w:sz="4" w:space="0"/>
                    <w:left w:val="single" w:color="auto" w:sz="4" w:space="0"/>
                    <w:bottom w:val="single" w:color="auto" w:sz="4" w:space="0"/>
                    <w:right w:val="single" w:color="auto" w:sz="4" w:space="0"/>
                  </w:tcBorders>
                  <w:vAlign w:val="center"/>
                </w:tcPr>
                <w:p w14:paraId="6831EB98">
                  <w:pPr>
                    <w:snapToGrid w:val="0"/>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6.5-9.5</w:t>
                  </w:r>
                </w:p>
              </w:tc>
              <w:tc>
                <w:tcPr>
                  <w:tcW w:w="856" w:type="dxa"/>
                  <w:tcBorders>
                    <w:top w:val="single" w:color="auto" w:sz="4" w:space="0"/>
                    <w:left w:val="single" w:color="auto" w:sz="4" w:space="0"/>
                    <w:bottom w:val="single" w:color="auto" w:sz="4" w:space="0"/>
                    <w:right w:val="single" w:color="auto" w:sz="4" w:space="0"/>
                  </w:tcBorders>
                  <w:vAlign w:val="bottom"/>
                </w:tcPr>
                <w:p w14:paraId="429B0A81">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w:t>
                  </w:r>
                </w:p>
              </w:tc>
              <w:tc>
                <w:tcPr>
                  <w:tcW w:w="1051" w:type="dxa"/>
                  <w:tcBorders>
                    <w:top w:val="single" w:color="auto" w:sz="4" w:space="0"/>
                    <w:left w:val="single" w:color="auto" w:sz="4" w:space="0"/>
                    <w:bottom w:val="single" w:color="auto" w:sz="4" w:space="0"/>
                    <w:right w:val="single" w:color="auto" w:sz="4" w:space="0"/>
                  </w:tcBorders>
                  <w:vAlign w:val="center"/>
                </w:tcPr>
                <w:p w14:paraId="281B7766">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6.5-9.5</w:t>
                  </w:r>
                </w:p>
              </w:tc>
              <w:tc>
                <w:tcPr>
                  <w:tcW w:w="887" w:type="dxa"/>
                  <w:tcBorders>
                    <w:top w:val="single" w:color="auto" w:sz="4" w:space="0"/>
                    <w:left w:val="single" w:color="auto" w:sz="4" w:space="0"/>
                    <w:bottom w:val="single" w:color="auto" w:sz="4" w:space="0"/>
                    <w:right w:val="single" w:color="auto" w:sz="4" w:space="0"/>
                  </w:tcBorders>
                  <w:vAlign w:val="bottom"/>
                </w:tcPr>
                <w:p w14:paraId="4DCFC409">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w:t>
                  </w:r>
                </w:p>
              </w:tc>
              <w:tc>
                <w:tcPr>
                  <w:tcW w:w="1020" w:type="dxa"/>
                  <w:tcBorders>
                    <w:top w:val="single" w:color="auto" w:sz="4" w:space="0"/>
                    <w:left w:val="single" w:color="auto" w:sz="4" w:space="0"/>
                    <w:bottom w:val="single" w:color="auto" w:sz="4" w:space="0"/>
                    <w:right w:val="single" w:color="auto" w:sz="4" w:space="0"/>
                  </w:tcBorders>
                  <w:vAlign w:val="center"/>
                </w:tcPr>
                <w:p w14:paraId="0705C27A">
                  <w:pPr>
                    <w:jc w:val="center"/>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6-9</w:t>
                  </w:r>
                </w:p>
              </w:tc>
              <w:tc>
                <w:tcPr>
                  <w:tcW w:w="863" w:type="dxa"/>
                  <w:tcBorders>
                    <w:top w:val="single" w:color="auto" w:sz="4" w:space="0"/>
                    <w:left w:val="single" w:color="auto" w:sz="4" w:space="0"/>
                    <w:bottom w:val="single" w:color="auto" w:sz="4" w:space="0"/>
                    <w:right w:val="single" w:color="auto" w:sz="4" w:space="0"/>
                  </w:tcBorders>
                  <w:vAlign w:val="bottom"/>
                </w:tcPr>
                <w:p w14:paraId="164AD3CC">
                  <w:pPr>
                    <w:keepNext w:val="0"/>
                    <w:keepLines w:val="0"/>
                    <w:widowControl/>
                    <w:suppressLineNumbers w:val="0"/>
                    <w:jc w:val="center"/>
                    <w:textAlignment w:val="bottom"/>
                    <w:rPr>
                      <w:rFonts w:hint="default" w:ascii="Times New Roman" w:hAnsi="Times New Roman" w:eastAsia="宋体" w:cs="Times New Roman"/>
                      <w:kern w:val="2"/>
                      <w:sz w:val="18"/>
                      <w:szCs w:val="18"/>
                      <w:lang w:val="en-US" w:eastAsia="zh-CN" w:bidi="ar-SA"/>
                    </w:rPr>
                  </w:pPr>
                  <w:r>
                    <w:rPr>
                      <w:rFonts w:hint="eastAsia" w:cs="Times New Roman"/>
                      <w:kern w:val="2"/>
                      <w:sz w:val="18"/>
                      <w:szCs w:val="18"/>
                      <w:lang w:val="en-US" w:eastAsia="zh-CN" w:bidi="ar-SA"/>
                    </w:rPr>
                    <w:t>-</w:t>
                  </w:r>
                </w:p>
              </w:tc>
            </w:tr>
          </w:tbl>
          <w:p w14:paraId="54EEB00A">
            <w:pPr>
              <w:numPr>
                <w:ilvl w:val="0"/>
                <w:numId w:val="0"/>
              </w:numPr>
              <w:adjustRightInd w:val="0"/>
              <w:snapToGrid w:val="0"/>
              <w:spacing w:line="360" w:lineRule="auto"/>
              <w:ind w:left="780" w:leftChars="0" w:hanging="360" w:firstLineChars="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kern w:val="2"/>
                <w:sz w:val="21"/>
                <w:szCs w:val="21"/>
                <w:lang w:val="en-US" w:eastAsia="zh-CN" w:bidi="ar-SA"/>
              </w:rPr>
              <w:t>2、</w:t>
            </w:r>
            <w:r>
              <w:rPr>
                <w:rFonts w:hint="default" w:ascii="Times New Roman" w:hAnsi="Times New Roman" w:eastAsia="黑体" w:cs="Times New Roman"/>
                <w:color w:val="auto"/>
                <w:sz w:val="21"/>
                <w:szCs w:val="21"/>
              </w:rPr>
              <w:t>源强分析</w:t>
            </w:r>
          </w:p>
          <w:p w14:paraId="0E8BB937">
            <w:pPr>
              <w:numPr>
                <w:ilvl w:val="0"/>
                <w:numId w:val="0"/>
              </w:numPr>
              <w:adjustRightInd w:val="0"/>
              <w:snapToGrid w:val="0"/>
              <w:spacing w:line="360" w:lineRule="auto"/>
              <w:ind w:firstLine="420" w:firstLineChars="200"/>
            </w:pPr>
            <w:r>
              <w:rPr>
                <w:rFonts w:hint="eastAsia"/>
                <w:sz w:val="21"/>
                <w:szCs w:val="21"/>
              </w:rPr>
              <w:t>本项目生产</w:t>
            </w:r>
            <w:r>
              <w:rPr>
                <w:rFonts w:hint="eastAsia"/>
                <w:sz w:val="21"/>
                <w:szCs w:val="21"/>
                <w:lang w:eastAsia="zh-CN"/>
              </w:rPr>
              <w:t>过程</w:t>
            </w:r>
            <w:r>
              <w:rPr>
                <w:rFonts w:hint="eastAsia" w:ascii="Times New Roman" w:hAnsi="Times New Roman" w:cs="Times New Roman"/>
                <w:sz w:val="21"/>
                <w:szCs w:val="21"/>
                <w:lang w:eastAsia="zh-CN"/>
              </w:rPr>
              <w:t>锯床冷却用水</w:t>
            </w:r>
            <w:r>
              <w:rPr>
                <w:rFonts w:hint="eastAsia" w:cs="Times New Roman"/>
                <w:sz w:val="21"/>
                <w:szCs w:val="21"/>
                <w:lang w:val="en-US" w:eastAsia="zh-CN"/>
              </w:rPr>
              <w:t>补水、</w:t>
            </w:r>
            <w:r>
              <w:rPr>
                <w:rFonts w:hint="eastAsia" w:ascii="Times New Roman" w:hAnsi="Times New Roman" w:cs="Times New Roman"/>
                <w:sz w:val="21"/>
                <w:szCs w:val="21"/>
                <w:lang w:val="en-US" w:eastAsia="zh-CN"/>
              </w:rPr>
              <w:t>水压试验用水、</w:t>
            </w:r>
            <w:r>
              <w:rPr>
                <w:rFonts w:hint="eastAsia"/>
                <w:sz w:val="21"/>
                <w:szCs w:val="21"/>
                <w:lang w:val="en-US" w:eastAsia="zh-CN"/>
              </w:rPr>
              <w:t>喷砂、磨床、</w:t>
            </w:r>
            <w:r>
              <w:rPr>
                <w:rFonts w:hint="eastAsia" w:ascii="Times New Roman" w:hAnsi="Times New Roman" w:eastAsia="宋体" w:cs="Times New Roman"/>
                <w:sz w:val="21"/>
                <w:szCs w:val="21"/>
                <w:lang w:val="en-US" w:eastAsia="zh-CN"/>
              </w:rPr>
              <w:t>PPH缠绕一体化成型机</w:t>
            </w:r>
            <w:r>
              <w:rPr>
                <w:rFonts w:hint="eastAsia"/>
                <w:sz w:val="21"/>
                <w:szCs w:val="21"/>
                <w:lang w:val="en-US" w:eastAsia="zh-CN"/>
              </w:rPr>
              <w:t>用水补水、</w:t>
            </w:r>
            <w:r>
              <w:rPr>
                <w:rFonts w:hint="eastAsia" w:cs="Times New Roman"/>
                <w:sz w:val="21"/>
                <w:szCs w:val="21"/>
                <w:lang w:val="en-US" w:eastAsia="zh-CN"/>
              </w:rPr>
              <w:t>车间洒水降尘用水</w:t>
            </w:r>
            <w:r>
              <w:rPr>
                <w:rFonts w:hint="eastAsia" w:ascii="Times New Roman" w:hAnsi="Times New Roman" w:cs="Times New Roman"/>
                <w:sz w:val="21"/>
                <w:szCs w:val="21"/>
                <w:lang w:eastAsia="zh-CN"/>
              </w:rPr>
              <w:t>全部蒸发损耗，</w:t>
            </w:r>
            <w:r>
              <w:rPr>
                <w:rFonts w:hint="eastAsia" w:ascii="Times New Roman" w:hAnsi="Times New Roman" w:cs="Times New Roman"/>
                <w:sz w:val="21"/>
                <w:szCs w:val="21"/>
                <w:lang w:val="en-US" w:eastAsia="zh-CN"/>
              </w:rPr>
              <w:t>无废水产生</w:t>
            </w:r>
            <w:r>
              <w:rPr>
                <w:rFonts w:hint="eastAsia"/>
                <w:sz w:val="21"/>
                <w:szCs w:val="21"/>
                <w:lang w:val="en-US" w:eastAsia="zh-CN"/>
              </w:rPr>
              <w:t>。</w:t>
            </w:r>
            <w:r>
              <w:rPr>
                <w:rFonts w:hint="eastAsia" w:ascii="Times New Roman" w:hAnsi="Times New Roman" w:cs="Times New Roman"/>
                <w:sz w:val="21"/>
                <w:szCs w:val="21"/>
                <w:lang w:val="en-US" w:eastAsia="zh-CN"/>
              </w:rPr>
              <w:t>废水主要为</w:t>
            </w:r>
            <w:r>
              <w:rPr>
                <w:rFonts w:hint="eastAsia" w:ascii="Times New Roman" w:hAnsi="Times New Roman" w:cs="Times New Roman"/>
                <w:sz w:val="21"/>
                <w:szCs w:val="21"/>
                <w:lang w:eastAsia="zh-CN"/>
              </w:rPr>
              <w:t>职工</w:t>
            </w:r>
            <w:r>
              <w:rPr>
                <w:rFonts w:hint="eastAsia" w:ascii="Times New Roman" w:hAnsi="Times New Roman" w:cs="Times New Roman"/>
                <w:sz w:val="21"/>
                <w:szCs w:val="21"/>
              </w:rPr>
              <w:t>生活污水</w:t>
            </w:r>
            <w:r>
              <w:rPr>
                <w:rFonts w:hint="eastAsia" w:ascii="Times New Roman" w:hAnsi="Times New Roman" w:cs="Times New Roman"/>
                <w:sz w:val="21"/>
                <w:szCs w:val="21"/>
                <w:lang w:eastAsia="zh-CN"/>
              </w:rPr>
              <w:t>，</w:t>
            </w:r>
            <w:r>
              <w:rPr>
                <w:rFonts w:hint="eastAsia" w:ascii="Times New Roman" w:hAnsi="Times New Roman" w:cs="Times New Roman"/>
                <w:sz w:val="21"/>
                <w:szCs w:val="21"/>
              </w:rPr>
              <w:t>经化粪池</w:t>
            </w:r>
            <w:r>
              <w:rPr>
                <w:rFonts w:hint="eastAsia" w:ascii="Times New Roman" w:hAnsi="Times New Roman" w:cs="Times New Roman"/>
                <w:sz w:val="21"/>
                <w:szCs w:val="21"/>
                <w:lang w:eastAsia="zh-CN"/>
              </w:rPr>
              <w:t>处理</w:t>
            </w:r>
            <w:r>
              <w:rPr>
                <w:rFonts w:hint="eastAsia" w:ascii="Times New Roman" w:hAnsi="Times New Roman" w:cs="Times New Roman"/>
                <w:sz w:val="21"/>
                <w:szCs w:val="21"/>
              </w:rPr>
              <w:t>后</w:t>
            </w:r>
            <w:r>
              <w:rPr>
                <w:rFonts w:hint="eastAsia" w:ascii="Times New Roman" w:hAnsi="Times New Roman" w:cs="Times New Roman"/>
                <w:sz w:val="21"/>
                <w:szCs w:val="21"/>
                <w:lang w:eastAsia="zh-CN"/>
              </w:rPr>
              <w:t>经市政污水管网排入淄博市利民净化水有限公司深度处理。项目</w:t>
            </w:r>
            <w:r>
              <w:rPr>
                <w:rFonts w:hint="eastAsia"/>
                <w:sz w:val="21"/>
                <w:szCs w:val="21"/>
                <w:lang w:eastAsia="zh-CN"/>
              </w:rPr>
              <w:t>新增职工</w:t>
            </w:r>
            <w:r>
              <w:rPr>
                <w:rFonts w:hint="eastAsia"/>
                <w:sz w:val="21"/>
                <w:szCs w:val="21"/>
                <w:lang w:val="en-US" w:eastAsia="zh-CN"/>
              </w:rPr>
              <w:t>50人，本项目废水主要为生活污水，</w:t>
            </w:r>
            <w:r>
              <w:rPr>
                <w:rFonts w:hint="default"/>
                <w:sz w:val="21"/>
                <w:szCs w:val="21"/>
              </w:rPr>
              <w:t>产生量按职工生活用水量80%计算，则生活污水量为</w:t>
            </w:r>
            <w:r>
              <w:rPr>
                <w:rFonts w:hint="eastAsia"/>
                <w:sz w:val="21"/>
                <w:szCs w:val="21"/>
                <w:lang w:val="en-US" w:eastAsia="zh-CN"/>
              </w:rPr>
              <w:t>360</w:t>
            </w:r>
            <w:r>
              <w:rPr>
                <w:rFonts w:hint="default"/>
                <w:sz w:val="21"/>
                <w:szCs w:val="21"/>
              </w:rPr>
              <w:t>m</w:t>
            </w:r>
            <w:r>
              <w:rPr>
                <w:rFonts w:hint="default"/>
                <w:sz w:val="21"/>
                <w:szCs w:val="21"/>
                <w:vertAlign w:val="superscript"/>
              </w:rPr>
              <w:t>3</w:t>
            </w:r>
            <w:r>
              <w:rPr>
                <w:rFonts w:hint="default"/>
                <w:sz w:val="21"/>
                <w:szCs w:val="21"/>
              </w:rPr>
              <w:t>/a，主要污染因子为COD、BOD</w:t>
            </w:r>
            <w:r>
              <w:rPr>
                <w:rFonts w:hint="default"/>
                <w:sz w:val="21"/>
                <w:szCs w:val="21"/>
                <w:vertAlign w:val="subscript"/>
              </w:rPr>
              <w:t>5</w:t>
            </w:r>
            <w:r>
              <w:rPr>
                <w:rFonts w:hint="default"/>
                <w:sz w:val="21"/>
                <w:szCs w:val="21"/>
              </w:rPr>
              <w:t>、NH</w:t>
            </w:r>
            <w:r>
              <w:rPr>
                <w:rFonts w:hint="default"/>
                <w:sz w:val="21"/>
                <w:szCs w:val="21"/>
                <w:vertAlign w:val="subscript"/>
              </w:rPr>
              <w:t>3</w:t>
            </w:r>
            <w:r>
              <w:rPr>
                <w:rFonts w:hint="default"/>
                <w:sz w:val="21"/>
                <w:szCs w:val="21"/>
              </w:rPr>
              <w:t>-N、SS等</w:t>
            </w:r>
            <w:r>
              <w:rPr>
                <w:sz w:val="21"/>
                <w:szCs w:val="21"/>
              </w:rPr>
              <w:t>。类比可知，生活污水水质COD：350m</w:t>
            </w:r>
            <w:r>
              <w:t>g/L、BOD</w:t>
            </w:r>
            <w:r>
              <w:rPr>
                <w:vertAlign w:val="subscript"/>
              </w:rPr>
              <w:t>5</w:t>
            </w:r>
            <w:r>
              <w:t>：250 mg/L、SS：300 mg/L、氨氮：30 mg/L。</w:t>
            </w:r>
            <w:r>
              <w:rPr>
                <w:snapToGrid w:val="0"/>
                <w:kern w:val="0"/>
              </w:rPr>
              <w:t>废水污染物主要指标见表4-</w:t>
            </w:r>
            <w:r>
              <w:rPr>
                <w:rFonts w:hint="eastAsia"/>
                <w:snapToGrid w:val="0"/>
                <w:kern w:val="0"/>
                <w:lang w:val="en-US" w:eastAsia="zh-CN"/>
              </w:rPr>
              <w:t>19</w:t>
            </w:r>
            <w:r>
              <w:t>。</w:t>
            </w:r>
          </w:p>
          <w:p w14:paraId="2CC806DB">
            <w:pPr>
              <w:adjustRightInd w:val="0"/>
              <w:snapToGrid w:val="0"/>
              <w:spacing w:line="360" w:lineRule="auto"/>
              <w:jc w:val="center"/>
              <w:rPr>
                <w:b/>
              </w:rPr>
            </w:pPr>
            <w:r>
              <w:rPr>
                <w:b/>
              </w:rPr>
              <w:t>表4-</w:t>
            </w:r>
            <w:r>
              <w:rPr>
                <w:rFonts w:hint="eastAsia"/>
                <w:b/>
                <w:lang w:val="en-US" w:eastAsia="zh-CN"/>
              </w:rPr>
              <w:t>19</w:t>
            </w:r>
            <w:r>
              <w:rPr>
                <w:b/>
              </w:rPr>
              <w:t>生活废水污染物产生、排放情况一览表</w:t>
            </w:r>
          </w:p>
          <w:tbl>
            <w:tblPr>
              <w:tblStyle w:val="81"/>
              <w:tblW w:w="5000" w:type="pct"/>
              <w:jc w:val="center"/>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Layout w:type="fixed"/>
              <w:tblCellMar>
                <w:top w:w="0" w:type="dxa"/>
                <w:left w:w="0" w:type="dxa"/>
                <w:bottom w:w="0" w:type="dxa"/>
                <w:right w:w="0" w:type="dxa"/>
              </w:tblCellMar>
            </w:tblPr>
            <w:tblGrid>
              <w:gridCol w:w="1279"/>
              <w:gridCol w:w="1811"/>
              <w:gridCol w:w="1836"/>
              <w:gridCol w:w="1648"/>
              <w:gridCol w:w="1789"/>
            </w:tblGrid>
            <w:tr w14:paraId="4D409865">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1726BA30">
                  <w:pPr>
                    <w:widowControl/>
                    <w:jc w:val="center"/>
                    <w:rPr>
                      <w:b/>
                      <w:caps/>
                      <w:sz w:val="18"/>
                      <w:szCs w:val="18"/>
                    </w:rPr>
                  </w:pPr>
                  <w:r>
                    <w:rPr>
                      <w:b/>
                      <w:caps/>
                      <w:sz w:val="18"/>
                      <w:szCs w:val="18"/>
                    </w:rPr>
                    <w:t>污染物</w:t>
                  </w:r>
                </w:p>
              </w:tc>
              <w:tc>
                <w:tcPr>
                  <w:tcW w:w="1766" w:type="dxa"/>
                  <w:tcBorders>
                    <w:top w:val="single" w:color="000000" w:sz="6" w:space="0"/>
                    <w:left w:val="single" w:color="000000" w:sz="6" w:space="0"/>
                    <w:bottom w:val="single" w:color="000000" w:sz="6" w:space="0"/>
                    <w:right w:val="single" w:color="000000" w:sz="6" w:space="0"/>
                  </w:tcBorders>
                  <w:vAlign w:val="center"/>
                </w:tcPr>
                <w:p w14:paraId="6C717EE3">
                  <w:pPr>
                    <w:widowControl/>
                    <w:jc w:val="center"/>
                    <w:rPr>
                      <w:b/>
                      <w:caps/>
                      <w:sz w:val="18"/>
                      <w:szCs w:val="18"/>
                    </w:rPr>
                  </w:pPr>
                  <w:r>
                    <w:rPr>
                      <w:b/>
                      <w:caps/>
                      <w:sz w:val="18"/>
                      <w:szCs w:val="18"/>
                    </w:rPr>
                    <w:t>产生浓度（</w:t>
                  </w:r>
                  <w:r>
                    <w:rPr>
                      <w:b/>
                      <w:sz w:val="18"/>
                      <w:szCs w:val="18"/>
                    </w:rPr>
                    <w:t>mg/L</w:t>
                  </w:r>
                  <w:r>
                    <w:rPr>
                      <w:b/>
                      <w:caps/>
                      <w:sz w:val="18"/>
                      <w:szCs w:val="18"/>
                    </w:rPr>
                    <w:t>）</w:t>
                  </w:r>
                </w:p>
              </w:tc>
              <w:tc>
                <w:tcPr>
                  <w:tcW w:w="1790" w:type="dxa"/>
                  <w:tcBorders>
                    <w:top w:val="single" w:color="000000" w:sz="6" w:space="0"/>
                    <w:left w:val="single" w:color="000000" w:sz="6" w:space="0"/>
                    <w:bottom w:val="single" w:color="000000" w:sz="6" w:space="0"/>
                    <w:right w:val="single" w:color="000000" w:sz="6" w:space="0"/>
                  </w:tcBorders>
                  <w:vAlign w:val="center"/>
                </w:tcPr>
                <w:p w14:paraId="46D8451F">
                  <w:pPr>
                    <w:widowControl/>
                    <w:jc w:val="center"/>
                    <w:rPr>
                      <w:b/>
                      <w:caps/>
                      <w:sz w:val="18"/>
                      <w:szCs w:val="18"/>
                    </w:rPr>
                  </w:pPr>
                  <w:r>
                    <w:rPr>
                      <w:b/>
                      <w:caps/>
                      <w:sz w:val="18"/>
                      <w:szCs w:val="18"/>
                    </w:rPr>
                    <w:t>产生量（</w:t>
                  </w:r>
                  <w:r>
                    <w:rPr>
                      <w:b/>
                      <w:sz w:val="18"/>
                    </w:rPr>
                    <w:t>t/a</w:t>
                  </w:r>
                  <w:r>
                    <w:rPr>
                      <w:b/>
                      <w:caps/>
                      <w:sz w:val="18"/>
                      <w:szCs w:val="18"/>
                    </w:rPr>
                    <w:t>）</w:t>
                  </w:r>
                </w:p>
              </w:tc>
              <w:tc>
                <w:tcPr>
                  <w:tcW w:w="1607" w:type="dxa"/>
                  <w:tcBorders>
                    <w:top w:val="single" w:color="000000" w:sz="6" w:space="0"/>
                    <w:left w:val="single" w:color="000000" w:sz="6" w:space="0"/>
                    <w:bottom w:val="single" w:color="000000" w:sz="6" w:space="0"/>
                    <w:right w:val="single" w:color="auto" w:sz="4" w:space="0"/>
                  </w:tcBorders>
                  <w:vAlign w:val="center"/>
                </w:tcPr>
                <w:p w14:paraId="79043FE5">
                  <w:pPr>
                    <w:widowControl/>
                    <w:jc w:val="center"/>
                    <w:rPr>
                      <w:b/>
                      <w:caps/>
                      <w:sz w:val="18"/>
                      <w:szCs w:val="18"/>
                    </w:rPr>
                  </w:pPr>
                  <w:r>
                    <w:rPr>
                      <w:b/>
                      <w:caps/>
                      <w:sz w:val="18"/>
                      <w:szCs w:val="18"/>
                    </w:rPr>
                    <w:t>排放浓度（</w:t>
                  </w:r>
                  <w:r>
                    <w:rPr>
                      <w:b/>
                      <w:sz w:val="18"/>
                      <w:szCs w:val="18"/>
                    </w:rPr>
                    <w:t>mg/L</w:t>
                  </w:r>
                  <w:r>
                    <w:rPr>
                      <w:b/>
                      <w:caps/>
                      <w:sz w:val="18"/>
                      <w:szCs w:val="18"/>
                    </w:rPr>
                    <w:t>）</w:t>
                  </w:r>
                </w:p>
              </w:tc>
              <w:tc>
                <w:tcPr>
                  <w:tcW w:w="1744" w:type="dxa"/>
                  <w:tcBorders>
                    <w:top w:val="single" w:color="000000" w:sz="6" w:space="0"/>
                    <w:left w:val="single" w:color="auto" w:sz="4" w:space="0"/>
                    <w:bottom w:val="single" w:color="000000" w:sz="6" w:space="0"/>
                    <w:right w:val="single" w:color="000000" w:sz="6" w:space="0"/>
                  </w:tcBorders>
                  <w:vAlign w:val="center"/>
                </w:tcPr>
                <w:p w14:paraId="22CC628B">
                  <w:pPr>
                    <w:jc w:val="center"/>
                    <w:rPr>
                      <w:b/>
                      <w:caps/>
                      <w:sz w:val="18"/>
                      <w:szCs w:val="18"/>
                    </w:rPr>
                  </w:pPr>
                  <w:r>
                    <w:rPr>
                      <w:b/>
                      <w:caps/>
                      <w:sz w:val="18"/>
                      <w:szCs w:val="18"/>
                    </w:rPr>
                    <w:t>排放量（</w:t>
                  </w:r>
                  <w:r>
                    <w:rPr>
                      <w:b/>
                      <w:sz w:val="18"/>
                    </w:rPr>
                    <w:t>t/a</w:t>
                  </w:r>
                  <w:r>
                    <w:rPr>
                      <w:b/>
                      <w:caps/>
                      <w:sz w:val="18"/>
                      <w:szCs w:val="18"/>
                    </w:rPr>
                    <w:t>）</w:t>
                  </w:r>
                </w:p>
              </w:tc>
            </w:tr>
            <w:tr w14:paraId="49C3C380">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8154" w:type="dxa"/>
                  <w:gridSpan w:val="5"/>
                  <w:tcBorders>
                    <w:top w:val="single" w:color="000000" w:sz="6" w:space="0"/>
                    <w:left w:val="single" w:color="000000" w:sz="6" w:space="0"/>
                    <w:bottom w:val="single" w:color="000000" w:sz="6" w:space="0"/>
                    <w:right w:val="single" w:color="000000" w:sz="6" w:space="0"/>
                  </w:tcBorders>
                  <w:vAlign w:val="center"/>
                </w:tcPr>
                <w:p w14:paraId="24ED9083">
                  <w:pPr>
                    <w:jc w:val="center"/>
                    <w:rPr>
                      <w:sz w:val="18"/>
                      <w:szCs w:val="18"/>
                    </w:rPr>
                  </w:pPr>
                  <w:r>
                    <w:rPr>
                      <w:sz w:val="18"/>
                      <w:szCs w:val="18"/>
                    </w:rPr>
                    <w:t>生活污水量</w:t>
                  </w:r>
                  <w:r>
                    <w:rPr>
                      <w:rFonts w:hint="eastAsia"/>
                      <w:sz w:val="18"/>
                      <w:szCs w:val="18"/>
                      <w:lang w:val="en-US" w:eastAsia="zh-CN"/>
                    </w:rPr>
                    <w:t>360</w:t>
                  </w:r>
                  <w:r>
                    <w:rPr>
                      <w:bCs/>
                      <w:sz w:val="18"/>
                      <w:szCs w:val="18"/>
                    </w:rPr>
                    <w:t>m</w:t>
                  </w:r>
                  <w:r>
                    <w:rPr>
                      <w:bCs/>
                      <w:sz w:val="18"/>
                      <w:szCs w:val="18"/>
                      <w:vertAlign w:val="superscript"/>
                    </w:rPr>
                    <w:t>3</w:t>
                  </w:r>
                  <w:r>
                    <w:rPr>
                      <w:bCs/>
                      <w:sz w:val="18"/>
                      <w:szCs w:val="18"/>
                    </w:rPr>
                    <w:t>/a</w:t>
                  </w:r>
                  <w:r>
                    <w:rPr>
                      <w:sz w:val="18"/>
                      <w:szCs w:val="18"/>
                    </w:rPr>
                    <w:t xml:space="preserve"> </w:t>
                  </w:r>
                </w:p>
              </w:tc>
            </w:tr>
            <w:tr w14:paraId="5392223F">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2E26C6C6">
                  <w:pPr>
                    <w:jc w:val="center"/>
                    <w:rPr>
                      <w:sz w:val="18"/>
                      <w:szCs w:val="18"/>
                    </w:rPr>
                  </w:pPr>
                  <w:r>
                    <w:rPr>
                      <w:sz w:val="18"/>
                      <w:szCs w:val="18"/>
                    </w:rPr>
                    <w:t>COD</w:t>
                  </w:r>
                </w:p>
              </w:tc>
              <w:tc>
                <w:tcPr>
                  <w:tcW w:w="1766" w:type="dxa"/>
                  <w:tcBorders>
                    <w:top w:val="single" w:color="000000" w:sz="6" w:space="0"/>
                    <w:left w:val="single" w:color="000000" w:sz="6" w:space="0"/>
                    <w:bottom w:val="single" w:color="000000" w:sz="6" w:space="0"/>
                    <w:right w:val="single" w:color="000000" w:sz="6" w:space="0"/>
                  </w:tcBorders>
                  <w:vAlign w:val="center"/>
                </w:tcPr>
                <w:p w14:paraId="5E7CB7B6">
                  <w:pPr>
                    <w:jc w:val="center"/>
                    <w:rPr>
                      <w:sz w:val="18"/>
                      <w:szCs w:val="18"/>
                    </w:rPr>
                  </w:pPr>
                  <w:r>
                    <w:rPr>
                      <w:sz w:val="18"/>
                      <w:szCs w:val="18"/>
                    </w:rPr>
                    <w:t>350</w:t>
                  </w:r>
                </w:p>
              </w:tc>
              <w:tc>
                <w:tcPr>
                  <w:tcW w:w="1790" w:type="dxa"/>
                  <w:tcBorders>
                    <w:top w:val="single" w:color="000000" w:sz="6" w:space="0"/>
                    <w:left w:val="single" w:color="000000" w:sz="6" w:space="0"/>
                    <w:bottom w:val="single" w:color="000000" w:sz="6" w:space="0"/>
                    <w:right w:val="single" w:color="000000" w:sz="6" w:space="0"/>
                  </w:tcBorders>
                  <w:vAlign w:val="center"/>
                </w:tcPr>
                <w:p w14:paraId="7ACFCD83">
                  <w:pPr>
                    <w:keepNext w:val="0"/>
                    <w:keepLines w:val="0"/>
                    <w:widowControl/>
                    <w:suppressLineNumbers w:val="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0.126</w:t>
                  </w:r>
                </w:p>
              </w:tc>
              <w:tc>
                <w:tcPr>
                  <w:tcW w:w="1607" w:type="dxa"/>
                  <w:tcBorders>
                    <w:top w:val="single" w:color="000000" w:sz="6" w:space="0"/>
                    <w:left w:val="single" w:color="000000" w:sz="6" w:space="0"/>
                    <w:bottom w:val="single" w:color="000000" w:sz="6" w:space="0"/>
                    <w:right w:val="single" w:color="auto" w:sz="4" w:space="0"/>
                  </w:tcBorders>
                  <w:vAlign w:val="center"/>
                </w:tcPr>
                <w:p w14:paraId="35B2A828">
                  <w:pPr>
                    <w:jc w:val="center"/>
                    <w:rPr>
                      <w:rFonts w:hint="eastAsia" w:eastAsia="宋体"/>
                      <w:sz w:val="18"/>
                      <w:szCs w:val="18"/>
                      <w:lang w:val="en-US" w:eastAsia="zh-CN"/>
                    </w:rPr>
                  </w:pPr>
                  <w:r>
                    <w:rPr>
                      <w:sz w:val="18"/>
                      <w:szCs w:val="18"/>
                    </w:rPr>
                    <w:t>350</w:t>
                  </w:r>
                </w:p>
              </w:tc>
              <w:tc>
                <w:tcPr>
                  <w:tcW w:w="1744" w:type="dxa"/>
                  <w:tcBorders>
                    <w:top w:val="single" w:color="000000" w:sz="6" w:space="0"/>
                    <w:left w:val="single" w:color="auto" w:sz="4" w:space="0"/>
                    <w:bottom w:val="single" w:color="000000" w:sz="6" w:space="0"/>
                    <w:right w:val="single" w:color="000000" w:sz="6" w:space="0"/>
                  </w:tcBorders>
                  <w:vAlign w:val="center"/>
                </w:tcPr>
                <w:p w14:paraId="41789E49">
                  <w:pPr>
                    <w:keepNext w:val="0"/>
                    <w:keepLines w:val="0"/>
                    <w:widowControl/>
                    <w:suppressLineNumbers w:val="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0.126</w:t>
                  </w:r>
                </w:p>
              </w:tc>
            </w:tr>
            <w:tr w14:paraId="1F7574B7">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292"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7283BF41">
                  <w:pPr>
                    <w:jc w:val="center"/>
                    <w:rPr>
                      <w:sz w:val="18"/>
                      <w:szCs w:val="18"/>
                    </w:rPr>
                  </w:pPr>
                  <w:r>
                    <w:rPr>
                      <w:sz w:val="18"/>
                      <w:szCs w:val="18"/>
                    </w:rPr>
                    <w:t>BOD</w:t>
                  </w:r>
                  <w:r>
                    <w:rPr>
                      <w:sz w:val="18"/>
                      <w:szCs w:val="18"/>
                      <w:vertAlign w:val="subscript"/>
                    </w:rPr>
                    <w:t>5</w:t>
                  </w:r>
                </w:p>
              </w:tc>
              <w:tc>
                <w:tcPr>
                  <w:tcW w:w="1766" w:type="dxa"/>
                  <w:tcBorders>
                    <w:top w:val="single" w:color="000000" w:sz="6" w:space="0"/>
                    <w:left w:val="single" w:color="000000" w:sz="6" w:space="0"/>
                    <w:bottom w:val="single" w:color="000000" w:sz="6" w:space="0"/>
                    <w:right w:val="single" w:color="000000" w:sz="6" w:space="0"/>
                  </w:tcBorders>
                  <w:vAlign w:val="center"/>
                </w:tcPr>
                <w:p w14:paraId="0106B57B">
                  <w:pPr>
                    <w:jc w:val="center"/>
                    <w:rPr>
                      <w:sz w:val="18"/>
                      <w:szCs w:val="18"/>
                    </w:rPr>
                  </w:pPr>
                  <w:r>
                    <w:rPr>
                      <w:sz w:val="18"/>
                      <w:szCs w:val="18"/>
                    </w:rPr>
                    <w:t>250</w:t>
                  </w:r>
                </w:p>
              </w:tc>
              <w:tc>
                <w:tcPr>
                  <w:tcW w:w="1790" w:type="dxa"/>
                  <w:tcBorders>
                    <w:top w:val="single" w:color="000000" w:sz="6" w:space="0"/>
                    <w:left w:val="single" w:color="000000" w:sz="6" w:space="0"/>
                    <w:bottom w:val="single" w:color="000000" w:sz="6" w:space="0"/>
                    <w:right w:val="single" w:color="000000" w:sz="6" w:space="0"/>
                  </w:tcBorders>
                  <w:vAlign w:val="center"/>
                </w:tcPr>
                <w:p w14:paraId="55FCC406">
                  <w:pPr>
                    <w:keepNext w:val="0"/>
                    <w:keepLines w:val="0"/>
                    <w:widowControl/>
                    <w:suppressLineNumbers w:val="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0.09</w:t>
                  </w:r>
                </w:p>
              </w:tc>
              <w:tc>
                <w:tcPr>
                  <w:tcW w:w="1607" w:type="dxa"/>
                  <w:tcBorders>
                    <w:top w:val="single" w:color="000000" w:sz="6" w:space="0"/>
                    <w:left w:val="single" w:color="000000" w:sz="6" w:space="0"/>
                    <w:bottom w:val="single" w:color="000000" w:sz="6" w:space="0"/>
                    <w:right w:val="single" w:color="auto" w:sz="4" w:space="0"/>
                  </w:tcBorders>
                  <w:vAlign w:val="center"/>
                </w:tcPr>
                <w:p w14:paraId="281A2182">
                  <w:pPr>
                    <w:jc w:val="center"/>
                    <w:rPr>
                      <w:rFonts w:hint="eastAsia" w:eastAsia="宋体"/>
                      <w:sz w:val="18"/>
                      <w:szCs w:val="18"/>
                      <w:lang w:val="en-US" w:eastAsia="zh-CN"/>
                    </w:rPr>
                  </w:pPr>
                  <w:r>
                    <w:rPr>
                      <w:sz w:val="18"/>
                      <w:szCs w:val="18"/>
                    </w:rPr>
                    <w:t>250</w:t>
                  </w:r>
                </w:p>
              </w:tc>
              <w:tc>
                <w:tcPr>
                  <w:tcW w:w="1744" w:type="dxa"/>
                  <w:tcBorders>
                    <w:top w:val="single" w:color="000000" w:sz="6" w:space="0"/>
                    <w:left w:val="single" w:color="auto" w:sz="4" w:space="0"/>
                    <w:bottom w:val="single" w:color="000000" w:sz="6" w:space="0"/>
                    <w:right w:val="single" w:color="000000" w:sz="6" w:space="0"/>
                  </w:tcBorders>
                  <w:vAlign w:val="center"/>
                </w:tcPr>
                <w:p w14:paraId="6B44AB62">
                  <w:pPr>
                    <w:keepNext w:val="0"/>
                    <w:keepLines w:val="0"/>
                    <w:widowControl/>
                    <w:suppressLineNumbers w:val="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0.09</w:t>
                  </w:r>
                </w:p>
              </w:tc>
            </w:tr>
            <w:tr w14:paraId="29534411">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0364EBA1">
                  <w:pPr>
                    <w:jc w:val="center"/>
                    <w:rPr>
                      <w:sz w:val="18"/>
                      <w:szCs w:val="18"/>
                    </w:rPr>
                  </w:pPr>
                  <w:r>
                    <w:rPr>
                      <w:sz w:val="18"/>
                      <w:szCs w:val="18"/>
                    </w:rPr>
                    <w:t>SS</w:t>
                  </w:r>
                </w:p>
              </w:tc>
              <w:tc>
                <w:tcPr>
                  <w:tcW w:w="1766" w:type="dxa"/>
                  <w:tcBorders>
                    <w:top w:val="single" w:color="000000" w:sz="6" w:space="0"/>
                    <w:left w:val="single" w:color="000000" w:sz="6" w:space="0"/>
                    <w:bottom w:val="single" w:color="000000" w:sz="6" w:space="0"/>
                    <w:right w:val="single" w:color="000000" w:sz="6" w:space="0"/>
                  </w:tcBorders>
                  <w:vAlign w:val="center"/>
                </w:tcPr>
                <w:p w14:paraId="7FFBBBDD">
                  <w:pPr>
                    <w:jc w:val="center"/>
                    <w:rPr>
                      <w:sz w:val="18"/>
                      <w:szCs w:val="18"/>
                    </w:rPr>
                  </w:pPr>
                  <w:r>
                    <w:rPr>
                      <w:sz w:val="18"/>
                      <w:szCs w:val="18"/>
                    </w:rPr>
                    <w:t>300</w:t>
                  </w:r>
                </w:p>
              </w:tc>
              <w:tc>
                <w:tcPr>
                  <w:tcW w:w="1790" w:type="dxa"/>
                  <w:tcBorders>
                    <w:top w:val="single" w:color="000000" w:sz="6" w:space="0"/>
                    <w:left w:val="single" w:color="000000" w:sz="6" w:space="0"/>
                    <w:bottom w:val="single" w:color="000000" w:sz="6" w:space="0"/>
                    <w:right w:val="single" w:color="000000" w:sz="6" w:space="0"/>
                  </w:tcBorders>
                  <w:vAlign w:val="center"/>
                </w:tcPr>
                <w:p w14:paraId="17B3D571">
                  <w:pPr>
                    <w:keepNext w:val="0"/>
                    <w:keepLines w:val="0"/>
                    <w:widowControl/>
                    <w:suppressLineNumbers w:val="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0.108</w:t>
                  </w:r>
                </w:p>
              </w:tc>
              <w:tc>
                <w:tcPr>
                  <w:tcW w:w="1607" w:type="dxa"/>
                  <w:tcBorders>
                    <w:top w:val="single" w:color="000000" w:sz="6" w:space="0"/>
                    <w:left w:val="single" w:color="000000" w:sz="6" w:space="0"/>
                    <w:bottom w:val="single" w:color="000000" w:sz="6" w:space="0"/>
                    <w:right w:val="single" w:color="auto" w:sz="4" w:space="0"/>
                  </w:tcBorders>
                  <w:vAlign w:val="center"/>
                </w:tcPr>
                <w:p w14:paraId="3D8EB215">
                  <w:pPr>
                    <w:jc w:val="center"/>
                    <w:rPr>
                      <w:rFonts w:hint="eastAsia" w:eastAsia="宋体"/>
                      <w:sz w:val="18"/>
                      <w:szCs w:val="18"/>
                      <w:lang w:val="en-US" w:eastAsia="zh-CN"/>
                    </w:rPr>
                  </w:pPr>
                  <w:r>
                    <w:rPr>
                      <w:sz w:val="18"/>
                      <w:szCs w:val="18"/>
                    </w:rPr>
                    <w:t>300</w:t>
                  </w:r>
                </w:p>
              </w:tc>
              <w:tc>
                <w:tcPr>
                  <w:tcW w:w="1744" w:type="dxa"/>
                  <w:tcBorders>
                    <w:top w:val="single" w:color="000000" w:sz="6" w:space="0"/>
                    <w:left w:val="single" w:color="auto" w:sz="4" w:space="0"/>
                    <w:bottom w:val="single" w:color="000000" w:sz="6" w:space="0"/>
                    <w:right w:val="single" w:color="000000" w:sz="6" w:space="0"/>
                  </w:tcBorders>
                  <w:vAlign w:val="center"/>
                </w:tcPr>
                <w:p w14:paraId="05D4B11F">
                  <w:pPr>
                    <w:keepNext w:val="0"/>
                    <w:keepLines w:val="0"/>
                    <w:widowControl/>
                    <w:suppressLineNumbers w:val="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0.108</w:t>
                  </w:r>
                </w:p>
              </w:tc>
            </w:tr>
            <w:tr w14:paraId="56BA941E">
              <w:tblPrEx>
                <w:tblBorders>
                  <w:top w:val="single" w:color="000000" w:sz="6" w:space="0"/>
                  <w:left w:val="single" w:color="000000" w:sz="6" w:space="0"/>
                  <w:bottom w:val="single" w:color="000000" w:sz="6" w:space="0"/>
                  <w:right w:val="single" w:color="000000" w:sz="6" w:space="0"/>
                  <w:insideH w:val="none" w:color="auto" w:sz="0" w:space="0"/>
                  <w:insideV w:val="none" w:color="auto" w:sz="0" w:space="0"/>
                </w:tblBorders>
                <w:tblCellMar>
                  <w:top w:w="0" w:type="dxa"/>
                  <w:left w:w="0" w:type="dxa"/>
                  <w:bottom w:w="0" w:type="dxa"/>
                  <w:right w:w="0" w:type="dxa"/>
                </w:tblCellMar>
              </w:tblPrEx>
              <w:trPr>
                <w:trHeight w:val="340" w:hRule="atLeast"/>
                <w:jc w:val="center"/>
              </w:trPr>
              <w:tc>
                <w:tcPr>
                  <w:tcW w:w="1247" w:type="dxa"/>
                  <w:tcBorders>
                    <w:top w:val="single" w:color="000000" w:sz="6" w:space="0"/>
                    <w:left w:val="single" w:color="000000" w:sz="6" w:space="0"/>
                    <w:bottom w:val="single" w:color="000000" w:sz="6" w:space="0"/>
                    <w:right w:val="single" w:color="000000" w:sz="6" w:space="0"/>
                  </w:tcBorders>
                  <w:vAlign w:val="center"/>
                </w:tcPr>
                <w:p w14:paraId="3F2A350D">
                  <w:pPr>
                    <w:jc w:val="center"/>
                    <w:rPr>
                      <w:sz w:val="18"/>
                      <w:szCs w:val="18"/>
                    </w:rPr>
                  </w:pPr>
                  <w:r>
                    <w:rPr>
                      <w:sz w:val="18"/>
                      <w:szCs w:val="18"/>
                    </w:rPr>
                    <w:t>氨氮</w:t>
                  </w:r>
                </w:p>
              </w:tc>
              <w:tc>
                <w:tcPr>
                  <w:tcW w:w="1766" w:type="dxa"/>
                  <w:tcBorders>
                    <w:top w:val="single" w:color="000000" w:sz="6" w:space="0"/>
                    <w:left w:val="single" w:color="000000" w:sz="6" w:space="0"/>
                    <w:bottom w:val="single" w:color="000000" w:sz="6" w:space="0"/>
                    <w:right w:val="single" w:color="000000" w:sz="6" w:space="0"/>
                  </w:tcBorders>
                  <w:vAlign w:val="center"/>
                </w:tcPr>
                <w:p w14:paraId="11E85CE8">
                  <w:pPr>
                    <w:jc w:val="center"/>
                    <w:rPr>
                      <w:sz w:val="18"/>
                      <w:szCs w:val="18"/>
                    </w:rPr>
                  </w:pPr>
                  <w:r>
                    <w:rPr>
                      <w:sz w:val="18"/>
                      <w:szCs w:val="18"/>
                    </w:rPr>
                    <w:t>30</w:t>
                  </w:r>
                </w:p>
              </w:tc>
              <w:tc>
                <w:tcPr>
                  <w:tcW w:w="1790" w:type="dxa"/>
                  <w:tcBorders>
                    <w:top w:val="single" w:color="000000" w:sz="6" w:space="0"/>
                    <w:left w:val="single" w:color="000000" w:sz="6" w:space="0"/>
                    <w:bottom w:val="single" w:color="000000" w:sz="6" w:space="0"/>
                    <w:right w:val="single" w:color="000000" w:sz="6" w:space="0"/>
                  </w:tcBorders>
                  <w:vAlign w:val="center"/>
                </w:tcPr>
                <w:p w14:paraId="634100B5">
                  <w:pPr>
                    <w:keepNext w:val="0"/>
                    <w:keepLines w:val="0"/>
                    <w:widowControl/>
                    <w:suppressLineNumbers w:val="0"/>
                    <w:jc w:val="center"/>
                    <w:textAlignment w:val="bottom"/>
                    <w:rPr>
                      <w:rFonts w:hint="default"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0.0108</w:t>
                  </w:r>
                </w:p>
              </w:tc>
              <w:tc>
                <w:tcPr>
                  <w:tcW w:w="1607" w:type="dxa"/>
                  <w:tcBorders>
                    <w:top w:val="single" w:color="000000" w:sz="6" w:space="0"/>
                    <w:left w:val="single" w:color="000000" w:sz="6" w:space="0"/>
                    <w:bottom w:val="single" w:color="000000" w:sz="6" w:space="0"/>
                    <w:right w:val="single" w:color="auto" w:sz="4" w:space="0"/>
                  </w:tcBorders>
                  <w:vAlign w:val="center"/>
                </w:tcPr>
                <w:p w14:paraId="47841822">
                  <w:pPr>
                    <w:jc w:val="center"/>
                    <w:rPr>
                      <w:rFonts w:hint="eastAsia" w:eastAsia="宋体"/>
                      <w:sz w:val="18"/>
                      <w:szCs w:val="18"/>
                      <w:lang w:val="en-US" w:eastAsia="zh-CN"/>
                    </w:rPr>
                  </w:pPr>
                  <w:r>
                    <w:rPr>
                      <w:sz w:val="18"/>
                      <w:szCs w:val="18"/>
                    </w:rPr>
                    <w:t>30</w:t>
                  </w:r>
                </w:p>
              </w:tc>
              <w:tc>
                <w:tcPr>
                  <w:tcW w:w="1744" w:type="dxa"/>
                  <w:tcBorders>
                    <w:top w:val="single" w:color="000000" w:sz="6" w:space="0"/>
                    <w:left w:val="single" w:color="auto" w:sz="4" w:space="0"/>
                    <w:bottom w:val="single" w:color="000000" w:sz="6" w:space="0"/>
                    <w:right w:val="single" w:color="000000" w:sz="6" w:space="0"/>
                  </w:tcBorders>
                  <w:vAlign w:val="center"/>
                </w:tcPr>
                <w:p w14:paraId="02861F32">
                  <w:pPr>
                    <w:keepNext w:val="0"/>
                    <w:keepLines w:val="0"/>
                    <w:widowControl/>
                    <w:suppressLineNumbers w:val="0"/>
                    <w:jc w:val="center"/>
                    <w:textAlignment w:val="bottom"/>
                    <w:rPr>
                      <w:rFonts w:hint="eastAsia" w:eastAsia="宋体"/>
                      <w:sz w:val="18"/>
                      <w:szCs w:val="18"/>
                      <w:lang w:val="en-US" w:eastAsia="zh-CN"/>
                    </w:rPr>
                  </w:pPr>
                  <w:r>
                    <w:rPr>
                      <w:rFonts w:hint="default" w:ascii="Times New Roman" w:hAnsi="Times New Roman" w:eastAsia="宋体" w:cs="Times New Roman"/>
                      <w:i w:val="0"/>
                      <w:iCs w:val="0"/>
                      <w:color w:val="000000"/>
                      <w:kern w:val="0"/>
                      <w:sz w:val="18"/>
                      <w:szCs w:val="18"/>
                      <w:u w:val="none"/>
                      <w:lang w:val="en-US" w:eastAsia="zh-CN" w:bidi="ar"/>
                    </w:rPr>
                    <w:t>0.0108</w:t>
                  </w:r>
                </w:p>
              </w:tc>
            </w:tr>
          </w:tbl>
          <w:p w14:paraId="6812A7A3">
            <w:pPr>
              <w:pStyle w:val="102"/>
              <w:snapToGrid w:val="0"/>
              <w:spacing w:beforeLines="50" w:line="360" w:lineRule="auto"/>
              <w:ind w:firstLine="420" w:firstLineChars="200"/>
              <w:jc w:val="both"/>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由上表可以知，本项目</w:t>
            </w:r>
            <w:r>
              <w:rPr>
                <w:rFonts w:hint="eastAsia" w:cs="Times New Roman"/>
                <w:color w:val="auto"/>
                <w:sz w:val="21"/>
                <w:szCs w:val="21"/>
                <w:lang w:eastAsia="zh-CN"/>
              </w:rPr>
              <w:t>废水污染物</w:t>
            </w:r>
            <w:r>
              <w:rPr>
                <w:rFonts w:hint="default" w:ascii="Times New Roman" w:hAnsi="Times New Roman" w:cs="Times New Roman"/>
                <w:color w:val="auto"/>
                <w:sz w:val="21"/>
                <w:szCs w:val="21"/>
              </w:rPr>
              <w:t>排放浓度</w:t>
            </w:r>
            <w:r>
              <w:rPr>
                <w:rFonts w:hint="default" w:ascii="Times New Roman" w:hAnsi="Times New Roman" w:cs="Times New Roman"/>
                <w:color w:val="auto"/>
                <w:sz w:val="21"/>
                <w:szCs w:val="21"/>
                <w:lang w:eastAsia="zh-CN"/>
              </w:rPr>
              <w:t>满足</w:t>
            </w:r>
            <w:r>
              <w:rPr>
                <w:rFonts w:hint="default" w:ascii="Times New Roman" w:hAnsi="Times New Roman" w:cs="Times New Roman"/>
                <w:color w:val="auto"/>
                <w:sz w:val="21"/>
                <w:szCs w:val="21"/>
              </w:rPr>
              <w:t>《污水排入城镇下水道水质标准》（GB/T31962-2015）</w:t>
            </w:r>
            <w:r>
              <w:rPr>
                <w:rFonts w:hint="eastAsia" w:cs="Times New Roman"/>
                <w:color w:val="auto"/>
                <w:sz w:val="21"/>
                <w:szCs w:val="21"/>
                <w:lang w:eastAsia="zh-CN"/>
              </w:rPr>
              <w:t>表</w:t>
            </w:r>
            <w:r>
              <w:rPr>
                <w:rFonts w:hint="eastAsia" w:cs="Times New Roman"/>
                <w:color w:val="auto"/>
                <w:sz w:val="21"/>
                <w:szCs w:val="21"/>
                <w:lang w:val="en-US" w:eastAsia="zh-CN"/>
              </w:rPr>
              <w:t>1中</w:t>
            </w:r>
            <w:r>
              <w:rPr>
                <w:rFonts w:hint="default" w:ascii="Times New Roman" w:hAnsi="Times New Roman" w:cs="Times New Roman"/>
                <w:color w:val="auto"/>
                <w:sz w:val="21"/>
                <w:szCs w:val="21"/>
              </w:rPr>
              <w:t>B等级标准。</w:t>
            </w:r>
          </w:p>
          <w:p w14:paraId="3CA8ABE8">
            <w:pPr>
              <w:pStyle w:val="102"/>
              <w:spacing w:line="360" w:lineRule="auto"/>
              <w:ind w:firstLine="420" w:firstLineChars="20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sz w:val="21"/>
                <w:szCs w:val="21"/>
              </w:rPr>
              <w:t>3、依托污水处理设施的可行性分析</w:t>
            </w:r>
          </w:p>
          <w:p w14:paraId="74C1B051">
            <w:pPr>
              <w:pStyle w:val="102"/>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本项目生活污水排放量为</w:t>
            </w:r>
            <w:r>
              <w:rPr>
                <w:rFonts w:hint="eastAsia" w:cs="Times New Roman"/>
                <w:color w:val="auto"/>
                <w:sz w:val="21"/>
                <w:szCs w:val="21"/>
                <w:lang w:val="en-US" w:eastAsia="zh-CN"/>
              </w:rPr>
              <w:t>360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/a ，经城镇污水管网送淄博市利民净化水有限公司进一步处理达标后排入孝妇河。淄博市利民净化水有限公司地处淄博市淄川区开发区立交桥北1公里路西、贾村水库东岸紧邻张相湖湿地公园，总占地100亩，目前设计废水处理能力为12万吨/天，主要服务淄川区城区和附近乡镇的生活污水和工业废水的二级处理，采用比较先进的“一级处理（事故池+水解池）+二级处理（预缺氧池+厌氧池+一级缺氧池+一级好氧池+二级缺氧池+二级好氧池+二沉池）+深度处理（高密度沉淀池+消毒池）”工艺，具有抗冲击能力强、出水稳定的特点，同时具有脱氮除磷功能。</w:t>
            </w:r>
          </w:p>
          <w:p w14:paraId="2D07568F">
            <w:pPr>
              <w:pStyle w:val="102"/>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本次从淄博市生态环境局网站重点监控企业自动监测信息系统中调取了淄博市利民净化水有限公司近一年</w:t>
            </w:r>
            <w:r>
              <w:rPr>
                <w:rFonts w:hint="eastAsia" w:cs="Times New Roman"/>
                <w:color w:val="auto"/>
                <w:sz w:val="21"/>
                <w:szCs w:val="21"/>
                <w:lang w:eastAsia="zh-CN"/>
              </w:rPr>
              <w:t>（</w:t>
            </w:r>
            <w:r>
              <w:rPr>
                <w:rFonts w:hint="default" w:ascii="Times New Roman" w:hAnsi="Times New Roman" w:cs="Times New Roman"/>
                <w:color w:val="auto"/>
                <w:sz w:val="21"/>
                <w:szCs w:val="21"/>
              </w:rPr>
              <w:t>202</w:t>
            </w:r>
            <w:r>
              <w:rPr>
                <w:rFonts w:hint="eastAsia" w:cs="Times New Roman"/>
                <w:color w:val="auto"/>
                <w:sz w:val="21"/>
                <w:szCs w:val="21"/>
                <w:lang w:val="en-US" w:eastAsia="zh-CN"/>
              </w:rPr>
              <w:t>5</w:t>
            </w:r>
            <w:r>
              <w:rPr>
                <w:rFonts w:hint="default" w:ascii="Times New Roman" w:hAnsi="Times New Roman" w:cs="Times New Roman"/>
                <w:color w:val="auto"/>
                <w:sz w:val="21"/>
                <w:szCs w:val="21"/>
              </w:rPr>
              <w:t>年</w:t>
            </w:r>
            <w:r>
              <w:rPr>
                <w:rFonts w:hint="eastAsia" w:cs="Times New Roman"/>
                <w:color w:val="auto"/>
                <w:sz w:val="21"/>
                <w:szCs w:val="21"/>
                <w:lang w:val="en-US" w:eastAsia="zh-CN"/>
              </w:rPr>
              <w:t>2</w:t>
            </w:r>
            <w:r>
              <w:rPr>
                <w:rFonts w:hint="default" w:ascii="Times New Roman" w:hAnsi="Times New Roman" w:cs="Times New Roman"/>
                <w:color w:val="auto"/>
                <w:sz w:val="21"/>
                <w:szCs w:val="21"/>
              </w:rPr>
              <w:t>月～202</w:t>
            </w:r>
            <w:r>
              <w:rPr>
                <w:rFonts w:hint="eastAsia" w:cs="Times New Roman"/>
                <w:color w:val="auto"/>
                <w:sz w:val="21"/>
                <w:szCs w:val="21"/>
                <w:lang w:val="en-US" w:eastAsia="zh-CN"/>
              </w:rPr>
              <w:t>6</w:t>
            </w: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val="en-US" w:eastAsia="zh-CN"/>
              </w:rPr>
              <w:t>1</w:t>
            </w:r>
            <w:r>
              <w:rPr>
                <w:rFonts w:hint="default" w:ascii="Times New Roman" w:hAnsi="Times New Roman" w:cs="Times New Roman"/>
                <w:color w:val="auto"/>
                <w:sz w:val="21"/>
                <w:szCs w:val="21"/>
              </w:rPr>
              <w:t>月</w:t>
            </w:r>
            <w:r>
              <w:rPr>
                <w:rFonts w:hint="eastAsia" w:cs="Times New Roman"/>
                <w:color w:val="auto"/>
                <w:sz w:val="21"/>
                <w:szCs w:val="21"/>
                <w:lang w:eastAsia="zh-CN"/>
              </w:rPr>
              <w:t>）</w:t>
            </w:r>
            <w:r>
              <w:rPr>
                <w:rFonts w:hint="default" w:ascii="Times New Roman" w:hAnsi="Times New Roman" w:cs="Times New Roman"/>
                <w:color w:val="auto"/>
                <w:sz w:val="21"/>
                <w:szCs w:val="21"/>
              </w:rPr>
              <w:t>的在线监测数据。</w:t>
            </w:r>
          </w:p>
          <w:p w14:paraId="0B06AAE7">
            <w:pPr>
              <w:rPr>
                <w:rFonts w:hint="default"/>
              </w:rPr>
            </w:pPr>
          </w:p>
          <w:p w14:paraId="0AC06EF2">
            <w:pPr>
              <w:rPr>
                <w:rFonts w:hint="default"/>
              </w:rPr>
            </w:pPr>
            <w:r>
              <w:drawing>
                <wp:inline distT="0" distB="0" distL="114300" distR="114300">
                  <wp:extent cx="5201285" cy="1940560"/>
                  <wp:effectExtent l="0" t="0" r="18415" b="2540"/>
                  <wp:docPr id="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pic:cNvPicPr>
                            <a:picLocks noChangeAspect="1"/>
                          </pic:cNvPicPr>
                        </pic:nvPicPr>
                        <pic:blipFill>
                          <a:blip r:embed="rId46"/>
                          <a:stretch>
                            <a:fillRect/>
                          </a:stretch>
                        </pic:blipFill>
                        <pic:spPr>
                          <a:xfrm>
                            <a:off x="0" y="0"/>
                            <a:ext cx="5201285" cy="1940560"/>
                          </a:xfrm>
                          <a:prstGeom prst="rect">
                            <a:avLst/>
                          </a:prstGeom>
                          <a:noFill/>
                          <a:ln>
                            <a:noFill/>
                          </a:ln>
                        </pic:spPr>
                      </pic:pic>
                    </a:graphicData>
                  </a:graphic>
                </wp:inline>
              </w:drawing>
            </w:r>
          </w:p>
          <w:p w14:paraId="5CFADF1E">
            <w:pPr>
              <w:adjustRightInd w:val="0"/>
              <w:snapToGrid w:val="0"/>
              <w:spacing w:line="360" w:lineRule="auto"/>
              <w:ind w:firstLine="422" w:firstLineChars="200"/>
              <w:jc w:val="center"/>
              <w:rPr>
                <w:rFonts w:hint="default" w:ascii="Times New Roman" w:hAnsi="Times New Roman" w:eastAsia="宋体" w:cs="Times New Roman"/>
                <w:b/>
                <w:bCs/>
                <w:color w:val="auto"/>
              </w:rPr>
            </w:pPr>
            <w:r>
              <w:rPr>
                <w:rFonts w:hint="default" w:ascii="Times New Roman" w:hAnsi="Times New Roman" w:eastAsia="宋体" w:cs="Times New Roman"/>
                <w:b/>
                <w:bCs/>
                <w:color w:val="auto"/>
              </w:rPr>
              <w:t>图</w:t>
            </w:r>
            <w:r>
              <w:rPr>
                <w:rFonts w:hint="default" w:ascii="Times New Roman" w:hAnsi="Times New Roman" w:eastAsia="宋体" w:cs="Times New Roman"/>
                <w:b/>
                <w:bCs/>
                <w:color w:val="auto"/>
                <w:lang w:val="en-US" w:eastAsia="zh-CN"/>
              </w:rPr>
              <w:t>4-1</w:t>
            </w:r>
            <w:r>
              <w:rPr>
                <w:rFonts w:hint="default" w:ascii="Times New Roman" w:hAnsi="Times New Roman" w:eastAsia="宋体" w:cs="Times New Roman"/>
                <w:b/>
                <w:bCs/>
                <w:color w:val="auto"/>
              </w:rPr>
              <w:t>淄博市利民净化水有限公司近一年在线监测COD浓度统计</w:t>
            </w:r>
          </w:p>
          <w:p w14:paraId="445E91E0">
            <w:pPr>
              <w:pStyle w:val="45"/>
              <w:widowControl w:val="0"/>
              <w:adjustRightInd w:val="0"/>
              <w:snapToGrid w:val="0"/>
              <w:spacing w:line="360" w:lineRule="auto"/>
              <w:jc w:val="both"/>
              <w:rPr>
                <w:rFonts w:hint="default" w:ascii="Times New Roman" w:hAnsi="Times New Roman" w:eastAsia="宋体" w:cs="Times New Roman"/>
                <w:color w:val="auto"/>
                <w:szCs w:val="24"/>
              </w:rPr>
            </w:pPr>
            <w:r>
              <w:drawing>
                <wp:inline distT="0" distB="0" distL="114300" distR="114300">
                  <wp:extent cx="5158105" cy="1995170"/>
                  <wp:effectExtent l="0" t="0" r="4445" b="5080"/>
                  <wp:docPr id="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pic:cNvPicPr>
                            <a:picLocks noChangeAspect="1"/>
                          </pic:cNvPicPr>
                        </pic:nvPicPr>
                        <pic:blipFill>
                          <a:blip r:embed="rId47"/>
                          <a:stretch>
                            <a:fillRect/>
                          </a:stretch>
                        </pic:blipFill>
                        <pic:spPr>
                          <a:xfrm>
                            <a:off x="0" y="0"/>
                            <a:ext cx="5158105" cy="1995170"/>
                          </a:xfrm>
                          <a:prstGeom prst="rect">
                            <a:avLst/>
                          </a:prstGeom>
                          <a:noFill/>
                          <a:ln>
                            <a:noFill/>
                          </a:ln>
                        </pic:spPr>
                      </pic:pic>
                    </a:graphicData>
                  </a:graphic>
                </wp:inline>
              </w:drawing>
            </w:r>
          </w:p>
          <w:p w14:paraId="443886FF">
            <w:pPr>
              <w:pStyle w:val="102"/>
              <w:wordWrap w:val="0"/>
              <w:spacing w:line="360" w:lineRule="auto"/>
              <w:ind w:left="0" w:leftChars="0" w:right="0" w:rightChars="0" w:firstLine="0" w:firstLineChars="0"/>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图</w:t>
            </w:r>
            <w:r>
              <w:rPr>
                <w:rFonts w:hint="default" w:ascii="Times New Roman" w:hAnsi="Times New Roman" w:eastAsia="宋体" w:cs="Times New Roman"/>
                <w:b/>
                <w:bCs/>
                <w:color w:val="auto"/>
                <w:sz w:val="21"/>
                <w:szCs w:val="21"/>
                <w:lang w:val="en-US" w:eastAsia="zh-CN"/>
              </w:rPr>
              <w:t>4-2</w:t>
            </w:r>
            <w:r>
              <w:rPr>
                <w:rFonts w:hint="default" w:ascii="Times New Roman" w:hAnsi="Times New Roman" w:eastAsia="宋体" w:cs="Times New Roman"/>
                <w:b/>
                <w:bCs/>
                <w:color w:val="auto"/>
                <w:sz w:val="21"/>
                <w:szCs w:val="21"/>
              </w:rPr>
              <w:t>淄博市利民净化水有限公司近一年在线监测NH</w:t>
            </w:r>
            <w:r>
              <w:rPr>
                <w:rFonts w:hint="default" w:ascii="Times New Roman" w:hAnsi="Times New Roman" w:eastAsia="宋体" w:cs="Times New Roman"/>
                <w:b/>
                <w:bCs/>
                <w:color w:val="auto"/>
                <w:sz w:val="21"/>
                <w:szCs w:val="21"/>
                <w:vertAlign w:val="subscript"/>
              </w:rPr>
              <w:t>3</w:t>
            </w:r>
            <w:r>
              <w:rPr>
                <w:rFonts w:hint="default" w:ascii="Times New Roman" w:hAnsi="Times New Roman" w:eastAsia="宋体" w:cs="Times New Roman"/>
                <w:b/>
                <w:bCs/>
                <w:color w:val="auto"/>
                <w:sz w:val="21"/>
                <w:szCs w:val="21"/>
              </w:rPr>
              <w:t>-N浓度统计</w:t>
            </w:r>
          </w:p>
          <w:p w14:paraId="78C5DAB0">
            <w:pPr>
              <w:pStyle w:val="102"/>
              <w:wordWrap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由上</w:t>
            </w:r>
            <w:r>
              <w:rPr>
                <w:rFonts w:hint="eastAsia" w:cs="Times New Roman"/>
                <w:color w:val="auto"/>
                <w:sz w:val="21"/>
                <w:szCs w:val="21"/>
                <w:lang w:val="en-US" w:eastAsia="zh-CN"/>
              </w:rPr>
              <w:t>图</w:t>
            </w:r>
            <w:r>
              <w:rPr>
                <w:rFonts w:hint="default" w:ascii="Times New Roman" w:hAnsi="Times New Roman" w:cs="Times New Roman"/>
                <w:color w:val="auto"/>
                <w:sz w:val="21"/>
                <w:szCs w:val="21"/>
              </w:rPr>
              <w:t>可见，</w:t>
            </w:r>
            <w:r>
              <w:rPr>
                <w:rFonts w:hint="default" w:ascii="Times New Roman" w:hAnsi="Times New Roman" w:cs="Times New Roman"/>
                <w:color w:val="auto"/>
                <w:sz w:val="21"/>
                <w:szCs w:val="21"/>
                <w:highlight w:val="none"/>
              </w:rPr>
              <w:t>淄博市利民净化水有限公司排放水质满足《城镇污水处理厂污染物排放标准》(GB8918-2002</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一级A标准要求，COD和氨氮同时满足</w:t>
            </w:r>
            <w:r>
              <w:rPr>
                <w:rFonts w:hint="default" w:ascii="Times New Roman" w:hAnsi="Times New Roman" w:cs="Times New Roman"/>
                <w:color w:val="auto"/>
                <w:sz w:val="21"/>
                <w:szCs w:val="21"/>
                <w:highlight w:val="none"/>
                <w:lang w:val="en-US" w:eastAsia="zh-CN"/>
              </w:rPr>
              <w:t>《淄博市城市管理局 淄博市生态环境局关于明确淄博市“十四五”期间城镇生活污水处理厂提标改造水质指标的通知》（淄城管发〔2021〕8号）</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rPr>
              <w:t>COD</w:t>
            </w:r>
            <w:r>
              <w:rPr>
                <w:rFonts w:hint="default" w:ascii="Times New Roman" w:hAnsi="Times New Roman" w:cs="Times New Roman"/>
                <w:color w:val="auto"/>
                <w:sz w:val="21"/>
                <w:szCs w:val="21"/>
                <w:highlight w:val="none"/>
                <w:lang w:val="en-US" w:eastAsia="zh-CN"/>
              </w:rPr>
              <w:t>3</w:t>
            </w:r>
            <w:r>
              <w:rPr>
                <w:rFonts w:hint="default" w:ascii="Times New Roman" w:hAnsi="Times New Roman" w:cs="Times New Roman"/>
                <w:color w:val="auto"/>
                <w:sz w:val="21"/>
                <w:szCs w:val="21"/>
                <w:highlight w:val="none"/>
              </w:rPr>
              <w:t>0mg/L、氨氮</w:t>
            </w:r>
            <w:r>
              <w:rPr>
                <w:rFonts w:hint="default"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mg/L</w:t>
            </w:r>
            <w:r>
              <w:rPr>
                <w:rFonts w:hint="eastAsia" w:cs="Times New Roman"/>
                <w:color w:val="auto"/>
                <w:sz w:val="21"/>
                <w:szCs w:val="21"/>
                <w:highlight w:val="none"/>
                <w:lang w:eastAsia="zh-CN"/>
              </w:rPr>
              <w:t>）</w:t>
            </w:r>
            <w:r>
              <w:rPr>
                <w:rFonts w:hint="default" w:ascii="Times New Roman" w:hAnsi="Times New Roman" w:cs="Times New Roman"/>
                <w:color w:val="auto"/>
                <w:sz w:val="21"/>
                <w:szCs w:val="21"/>
                <w:highlight w:val="none"/>
              </w:rPr>
              <w:t>。</w:t>
            </w:r>
          </w:p>
          <w:p w14:paraId="4481803A">
            <w:pPr>
              <w:pStyle w:val="102"/>
              <w:spacing w:line="360" w:lineRule="auto"/>
              <w:ind w:firstLine="420" w:firstLineChars="200"/>
              <w:jc w:val="both"/>
              <w:rPr>
                <w:rFonts w:hint="default" w:ascii="Times New Roman" w:hAnsi="Times New Roman" w:cs="Times New Roman"/>
                <w:color w:val="auto"/>
                <w:sz w:val="21"/>
                <w:szCs w:val="21"/>
                <w:highlight w:val="yellow"/>
              </w:rPr>
            </w:pPr>
            <w:r>
              <w:rPr>
                <w:rFonts w:hint="default" w:ascii="Times New Roman" w:hAnsi="Times New Roman" w:cs="Times New Roman"/>
                <w:color w:val="auto"/>
                <w:sz w:val="21"/>
                <w:szCs w:val="21"/>
              </w:rPr>
              <w:t>本项目外排的废水</w:t>
            </w:r>
            <w:r>
              <w:rPr>
                <w:rFonts w:hint="eastAsia" w:cs="Times New Roman"/>
                <w:color w:val="auto"/>
                <w:sz w:val="21"/>
                <w:szCs w:val="21"/>
                <w:lang w:eastAsia="zh-CN"/>
              </w:rPr>
              <w:t>为</w:t>
            </w:r>
            <w:r>
              <w:rPr>
                <w:rFonts w:hint="default" w:ascii="Times New Roman" w:hAnsi="Times New Roman" w:cs="Times New Roman"/>
                <w:color w:val="auto"/>
                <w:sz w:val="21"/>
                <w:szCs w:val="21"/>
              </w:rPr>
              <w:t>生活污水，主要污染物为 COD、BOD</w:t>
            </w:r>
            <w:r>
              <w:rPr>
                <w:rFonts w:hint="default" w:ascii="Times New Roman" w:hAnsi="Times New Roman" w:cs="Times New Roman"/>
                <w:color w:val="auto"/>
                <w:sz w:val="21"/>
                <w:szCs w:val="21"/>
                <w:vertAlign w:val="subscript"/>
              </w:rPr>
              <w:t>5</w:t>
            </w:r>
            <w:r>
              <w:rPr>
                <w:rFonts w:hint="default" w:ascii="Times New Roman" w:hAnsi="Times New Roman" w:cs="Times New Roman"/>
                <w:color w:val="auto"/>
                <w:sz w:val="21"/>
                <w:szCs w:val="21"/>
              </w:rPr>
              <w:t>、氨氮、悬浮物等因子，污染物浓度满足</w:t>
            </w:r>
            <w:r>
              <w:rPr>
                <w:rFonts w:hint="default" w:ascii="Times New Roman" w:hAnsi="Times New Roman" w:cs="Times New Roman"/>
                <w:color w:val="auto"/>
                <w:kern w:val="2"/>
                <w:sz w:val="21"/>
              </w:rPr>
              <w:t>《污水排入城镇下水道水质标准》（GB/T31962-2015）B等级限值要求且浓度较低</w:t>
            </w:r>
            <w:r>
              <w:rPr>
                <w:rFonts w:hint="default" w:ascii="Times New Roman" w:hAnsi="Times New Roman" w:cs="Times New Roman"/>
                <w:color w:val="auto"/>
                <w:kern w:val="2"/>
                <w:sz w:val="21"/>
                <w:highlight w:val="none"/>
              </w:rPr>
              <w:t>，符合</w:t>
            </w:r>
            <w:r>
              <w:rPr>
                <w:rFonts w:hint="default" w:ascii="Times New Roman" w:hAnsi="Times New Roman" w:cs="Times New Roman"/>
                <w:color w:val="auto"/>
                <w:sz w:val="21"/>
                <w:szCs w:val="21"/>
                <w:highlight w:val="none"/>
              </w:rPr>
              <w:t>污水厂进水水质及处理工艺要求，经淄博市利民净化水有限公司深度处理后排入孝妇河的COD量为</w:t>
            </w:r>
            <w:r>
              <w:rPr>
                <w:rFonts w:hint="default" w:ascii="Times New Roman" w:hAnsi="Times New Roman" w:eastAsia="宋体" w:cs="Times New Roman"/>
                <w:i w:val="0"/>
                <w:iCs w:val="0"/>
                <w:color w:val="000000"/>
                <w:kern w:val="0"/>
                <w:sz w:val="21"/>
                <w:szCs w:val="21"/>
                <w:highlight w:val="none"/>
                <w:u w:val="none"/>
                <w:lang w:val="en-US" w:eastAsia="zh-CN" w:bidi="ar"/>
              </w:rPr>
              <w:t>0.</w:t>
            </w:r>
            <w:r>
              <w:rPr>
                <w:rFonts w:hint="eastAsia" w:cs="Times New Roman"/>
                <w:i w:val="0"/>
                <w:iCs w:val="0"/>
                <w:color w:val="000000"/>
                <w:kern w:val="0"/>
                <w:sz w:val="21"/>
                <w:szCs w:val="21"/>
                <w:highlight w:val="none"/>
                <w:u w:val="none"/>
                <w:lang w:val="en-US" w:eastAsia="zh-CN" w:bidi="ar"/>
              </w:rPr>
              <w:t>0108</w:t>
            </w:r>
            <w:r>
              <w:rPr>
                <w:rFonts w:hint="default" w:ascii="Times New Roman" w:hAnsi="Times New Roman" w:cs="Times New Roman"/>
                <w:color w:val="auto"/>
                <w:sz w:val="21"/>
                <w:szCs w:val="21"/>
                <w:highlight w:val="none"/>
              </w:rPr>
              <w:t>t/a，氨氮量为</w:t>
            </w:r>
            <w:r>
              <w:rPr>
                <w:rFonts w:hint="default" w:ascii="Times New Roman" w:hAnsi="Times New Roman" w:eastAsia="宋体" w:cs="Times New Roman"/>
                <w:i w:val="0"/>
                <w:iCs w:val="0"/>
                <w:color w:val="000000"/>
                <w:kern w:val="0"/>
                <w:sz w:val="21"/>
                <w:szCs w:val="21"/>
                <w:highlight w:val="none"/>
                <w:u w:val="none"/>
                <w:lang w:val="en-US" w:eastAsia="zh-CN" w:bidi="ar"/>
              </w:rPr>
              <w:t>0.0</w:t>
            </w:r>
            <w:r>
              <w:rPr>
                <w:rFonts w:hint="eastAsia" w:cs="Times New Roman"/>
                <w:i w:val="0"/>
                <w:iCs w:val="0"/>
                <w:color w:val="000000"/>
                <w:kern w:val="0"/>
                <w:sz w:val="21"/>
                <w:szCs w:val="21"/>
                <w:highlight w:val="none"/>
                <w:u w:val="none"/>
                <w:lang w:val="en-US" w:eastAsia="zh-CN" w:bidi="ar"/>
              </w:rPr>
              <w:t>005</w:t>
            </w:r>
            <w:r>
              <w:rPr>
                <w:rFonts w:hint="default" w:ascii="Times New Roman" w:hAnsi="Times New Roman" w:cs="Times New Roman"/>
                <w:color w:val="auto"/>
                <w:sz w:val="21"/>
                <w:szCs w:val="21"/>
                <w:highlight w:val="none"/>
              </w:rPr>
              <w:t>t/a。</w:t>
            </w:r>
          </w:p>
          <w:p w14:paraId="68094F77">
            <w:pPr>
              <w:pStyle w:val="102"/>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本项目年排水量</w:t>
            </w:r>
            <w:r>
              <w:rPr>
                <w:rFonts w:hint="eastAsia" w:cs="Times New Roman"/>
                <w:color w:val="auto"/>
                <w:sz w:val="21"/>
                <w:szCs w:val="21"/>
                <w:lang w:val="en-US" w:eastAsia="zh-CN"/>
              </w:rPr>
              <w:t>360</w:t>
            </w:r>
            <w:r>
              <w:rPr>
                <w:rFonts w:hint="default" w:ascii="Times New Roman" w:hAnsi="Times New Roman" w:cs="Times New Roman"/>
                <w:color w:val="auto"/>
                <w:sz w:val="21"/>
                <w:szCs w:val="21"/>
              </w:rPr>
              <w:t>m</w:t>
            </w:r>
            <w:r>
              <w:rPr>
                <w:rFonts w:hint="default" w:ascii="Times New Roman" w:hAnsi="Times New Roman" w:cs="Times New Roman"/>
                <w:color w:val="auto"/>
                <w:sz w:val="21"/>
                <w:szCs w:val="21"/>
                <w:vertAlign w:val="superscript"/>
              </w:rPr>
              <w:t>3</w:t>
            </w:r>
            <w:r>
              <w:rPr>
                <w:rFonts w:hint="default" w:ascii="Times New Roman" w:hAnsi="Times New Roman" w:cs="Times New Roman"/>
                <w:color w:val="auto"/>
                <w:sz w:val="21"/>
                <w:szCs w:val="21"/>
              </w:rPr>
              <w:t>/a，间歇排放，日均排水量约</w:t>
            </w:r>
            <w:r>
              <w:rPr>
                <w:rFonts w:hint="eastAsia" w:cs="Times New Roman"/>
                <w:color w:val="auto"/>
                <w:sz w:val="21"/>
                <w:szCs w:val="21"/>
                <w:lang w:val="en-US" w:eastAsia="zh-CN"/>
              </w:rPr>
              <w:t>1.2</w:t>
            </w:r>
            <w:r>
              <w:rPr>
                <w:rFonts w:hint="default" w:ascii="Times New Roman" w:hAnsi="Times New Roman" w:cs="Times New Roman"/>
                <w:color w:val="auto"/>
                <w:sz w:val="21"/>
                <w:szCs w:val="21"/>
              </w:rPr>
              <w:t>t/d，约占淄博利民净化水有限公司的当前水处理能力（12万t/d）的0.00</w:t>
            </w:r>
            <w:r>
              <w:rPr>
                <w:rFonts w:hint="eastAsia" w:cs="Times New Roman"/>
                <w:color w:val="auto"/>
                <w:sz w:val="21"/>
                <w:szCs w:val="21"/>
                <w:lang w:val="en-US" w:eastAsia="zh-CN"/>
              </w:rPr>
              <w:t>1</w:t>
            </w:r>
            <w:r>
              <w:rPr>
                <w:rFonts w:hint="default" w:ascii="Times New Roman" w:hAnsi="Times New Roman" w:cs="Times New Roman"/>
                <w:color w:val="auto"/>
                <w:sz w:val="21"/>
                <w:szCs w:val="21"/>
              </w:rPr>
              <w:t>%，淄博</w:t>
            </w:r>
            <w:r>
              <w:rPr>
                <w:rFonts w:hint="eastAsia" w:cs="Times New Roman"/>
                <w:color w:val="auto"/>
                <w:sz w:val="21"/>
                <w:szCs w:val="21"/>
                <w:lang w:eastAsia="zh-CN"/>
              </w:rPr>
              <w:t>市</w:t>
            </w:r>
            <w:r>
              <w:rPr>
                <w:rFonts w:hint="default" w:ascii="Times New Roman" w:hAnsi="Times New Roman" w:cs="Times New Roman"/>
                <w:color w:val="auto"/>
                <w:sz w:val="21"/>
                <w:szCs w:val="21"/>
              </w:rPr>
              <w:t>利民净化水有限公司的当前的实际处理量约</w:t>
            </w:r>
            <w:r>
              <w:rPr>
                <w:rFonts w:hint="eastAsia" w:cs="Times New Roman"/>
                <w:color w:val="auto"/>
                <w:sz w:val="21"/>
                <w:szCs w:val="21"/>
                <w:lang w:val="en-US" w:eastAsia="zh-CN"/>
              </w:rPr>
              <w:t>11.</w:t>
            </w:r>
            <w:r>
              <w:rPr>
                <w:rFonts w:hint="default" w:ascii="Times New Roman" w:hAnsi="Times New Roman" w:cs="Times New Roman"/>
                <w:color w:val="auto"/>
                <w:sz w:val="21"/>
                <w:szCs w:val="21"/>
              </w:rPr>
              <w:t>万t/d，富余约</w:t>
            </w:r>
            <w:r>
              <w:rPr>
                <w:rFonts w:hint="eastAsia" w:cs="Times New Roman"/>
                <w:color w:val="auto"/>
                <w:sz w:val="21"/>
                <w:szCs w:val="21"/>
                <w:lang w:val="en-US" w:eastAsia="zh-CN"/>
              </w:rPr>
              <w:t>0.5</w:t>
            </w:r>
            <w:r>
              <w:rPr>
                <w:rFonts w:hint="default" w:ascii="Times New Roman" w:hAnsi="Times New Roman" w:cs="Times New Roman"/>
                <w:color w:val="auto"/>
                <w:sz w:val="21"/>
                <w:szCs w:val="21"/>
              </w:rPr>
              <w:t>万t/d，富余量完全可满足本项目生活污水处理需求。</w:t>
            </w:r>
          </w:p>
          <w:p w14:paraId="37C7C4BE">
            <w:pPr>
              <w:pStyle w:val="102"/>
              <w:snapToGrid w:val="0"/>
              <w:spacing w:line="360" w:lineRule="auto"/>
              <w:ind w:firstLine="420" w:firstLineChars="2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所以，本项目</w:t>
            </w:r>
            <w:r>
              <w:rPr>
                <w:rFonts w:hint="default" w:ascii="Times New Roman" w:hAnsi="Times New Roman" w:cs="Times New Roman"/>
                <w:color w:val="auto"/>
                <w:sz w:val="21"/>
                <w:szCs w:val="21"/>
                <w:lang w:eastAsia="zh-CN"/>
              </w:rPr>
              <w:t>废</w:t>
            </w:r>
            <w:r>
              <w:rPr>
                <w:rFonts w:hint="default" w:ascii="Times New Roman" w:hAnsi="Times New Roman" w:cs="Times New Roman"/>
                <w:color w:val="auto"/>
                <w:sz w:val="21"/>
                <w:szCs w:val="21"/>
              </w:rPr>
              <w:t>水依托水处理设施可行。</w:t>
            </w:r>
          </w:p>
          <w:p w14:paraId="675549F5">
            <w:pPr>
              <w:pStyle w:val="102"/>
              <w:spacing w:line="360" w:lineRule="auto"/>
              <w:ind w:firstLine="420" w:firstLineChars="20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sz w:val="21"/>
                <w:szCs w:val="21"/>
              </w:rPr>
              <w:t>4、影响分析</w:t>
            </w:r>
          </w:p>
          <w:p w14:paraId="6C2B97CD">
            <w:pPr>
              <w:pStyle w:val="381"/>
              <w:spacing w:beforeLines="50"/>
              <w:ind w:firstLine="31680"/>
              <w:rPr>
                <w:rFonts w:hint="default" w:ascii="Times New Roman" w:hAnsi="Times New Roman" w:cs="Times New Roman"/>
                <w:sz w:val="21"/>
                <w:szCs w:val="21"/>
              </w:rPr>
            </w:pPr>
            <w:r>
              <w:rPr>
                <w:rFonts w:hint="default" w:ascii="Times New Roman" w:hAnsi="Times New Roman" w:cs="Times New Roman"/>
                <w:sz w:val="21"/>
                <w:szCs w:val="21"/>
              </w:rPr>
              <w:t>本项目外排的废水为生活污水，主要污染物为COD、BOD</w:t>
            </w:r>
            <w:r>
              <w:rPr>
                <w:rFonts w:hint="default" w:ascii="Times New Roman" w:hAnsi="Times New Roman" w:cs="Times New Roman"/>
                <w:sz w:val="21"/>
                <w:szCs w:val="21"/>
                <w:vertAlign w:val="subscript"/>
              </w:rPr>
              <w:t>5</w:t>
            </w:r>
            <w:r>
              <w:rPr>
                <w:rFonts w:hint="default" w:ascii="Times New Roman" w:hAnsi="Times New Roman" w:cs="Times New Roman"/>
                <w:sz w:val="21"/>
                <w:szCs w:val="21"/>
              </w:rPr>
              <w:t>、氨氮</w:t>
            </w:r>
            <w:r>
              <w:rPr>
                <w:rFonts w:hint="eastAsia" w:cs="Times New Roman"/>
                <w:sz w:val="21"/>
                <w:szCs w:val="21"/>
                <w:lang w:eastAsia="zh-CN"/>
              </w:rPr>
              <w:t>、</w:t>
            </w:r>
            <w:r>
              <w:rPr>
                <w:rFonts w:hint="eastAsia" w:cs="Times New Roman"/>
                <w:sz w:val="21"/>
                <w:szCs w:val="21"/>
                <w:lang w:val="en-US" w:eastAsia="zh-CN"/>
              </w:rPr>
              <w:t>SS</w:t>
            </w:r>
            <w:r>
              <w:rPr>
                <w:rFonts w:hint="default" w:ascii="Times New Roman" w:hAnsi="Times New Roman" w:cs="Times New Roman"/>
                <w:sz w:val="21"/>
                <w:szCs w:val="21"/>
              </w:rPr>
              <w:t>等常规因子，污染物浓度满足</w:t>
            </w:r>
            <w:r>
              <w:rPr>
                <w:rFonts w:hint="default" w:ascii="Times New Roman" w:hAnsi="Times New Roman" w:cs="Times New Roman"/>
                <w:sz w:val="21"/>
                <w:szCs w:val="24"/>
              </w:rPr>
              <w:t>《污水排入城镇下水道水质标准》（GB/T31962-2015）B等级限值要求且浓度较低，</w:t>
            </w:r>
            <w:r>
              <w:rPr>
                <w:rFonts w:hint="default" w:ascii="Times New Roman" w:hAnsi="Times New Roman" w:cs="Times New Roman"/>
                <w:sz w:val="21"/>
                <w:szCs w:val="21"/>
              </w:rPr>
              <w:t>排入城镇污水管网送淄博市利民净化水有限公司进一步处理达标后排入孝妇河。生活污水间歇排放，水量较小，依托淄博市利民净化水有限公司进一步处理合理可行。因此，在采取分类收集、分区防渗等环保措施下，本项目外排的</w:t>
            </w:r>
            <w:r>
              <w:rPr>
                <w:rFonts w:hint="default" w:ascii="Times New Roman" w:hAnsi="Times New Roman" w:cs="Times New Roman"/>
                <w:sz w:val="21"/>
                <w:szCs w:val="21"/>
                <w:lang w:eastAsia="zh-CN"/>
              </w:rPr>
              <w:t>废</w:t>
            </w:r>
            <w:r>
              <w:rPr>
                <w:rFonts w:hint="default" w:ascii="Times New Roman" w:hAnsi="Times New Roman" w:cs="Times New Roman"/>
                <w:sz w:val="21"/>
                <w:szCs w:val="21"/>
              </w:rPr>
              <w:t>水不会对周边地表水环境造成影响。</w:t>
            </w:r>
          </w:p>
          <w:p w14:paraId="4A178A3C">
            <w:pPr>
              <w:pStyle w:val="102"/>
              <w:spacing w:line="360" w:lineRule="auto"/>
              <w:ind w:firstLine="420" w:firstLineChars="200"/>
              <w:rPr>
                <w:rFonts w:hint="default" w:ascii="Times New Roman" w:hAnsi="Times New Roman" w:eastAsia="黑体" w:cs="Times New Roman"/>
                <w:color w:val="auto"/>
                <w:sz w:val="21"/>
                <w:szCs w:val="21"/>
              </w:rPr>
            </w:pPr>
            <w:r>
              <w:rPr>
                <w:rFonts w:hint="default" w:ascii="Times New Roman" w:hAnsi="Times New Roman" w:eastAsia="黑体" w:cs="Times New Roman"/>
                <w:color w:val="auto"/>
                <w:sz w:val="21"/>
                <w:szCs w:val="21"/>
              </w:rPr>
              <w:t>5、自行监测方案</w:t>
            </w:r>
          </w:p>
          <w:p w14:paraId="755C7658">
            <w:pPr>
              <w:spacing w:line="420" w:lineRule="exact"/>
              <w:ind w:firstLine="420" w:firstLineChars="200"/>
              <w:rPr>
                <w:rFonts w:hint="default" w:ascii="Times New Roman" w:hAnsi="Times New Roman" w:cs="Times New Roman"/>
                <w:szCs w:val="21"/>
              </w:rPr>
            </w:pPr>
            <w:r>
              <w:rPr>
                <w:rFonts w:hint="eastAsia" w:cs="Times New Roman"/>
                <w:szCs w:val="21"/>
                <w:lang w:eastAsia="zh-CN"/>
              </w:rPr>
              <w:t>根据《排污单位自行监测技术指南</w:t>
            </w:r>
            <w:r>
              <w:rPr>
                <w:rFonts w:hint="eastAsia" w:cs="Times New Roman"/>
                <w:szCs w:val="21"/>
                <w:lang w:val="en-US" w:eastAsia="zh-CN"/>
              </w:rPr>
              <w:t xml:space="preserve"> 总则</w:t>
            </w:r>
            <w:r>
              <w:rPr>
                <w:rFonts w:hint="eastAsia" w:cs="Times New Roman"/>
                <w:szCs w:val="21"/>
                <w:lang w:eastAsia="zh-CN"/>
              </w:rPr>
              <w:t>》（</w:t>
            </w:r>
            <w:r>
              <w:rPr>
                <w:rFonts w:hint="eastAsia" w:cs="Times New Roman"/>
                <w:szCs w:val="21"/>
                <w:lang w:val="en-US" w:eastAsia="zh-CN"/>
              </w:rPr>
              <w:t>HJ819-2017</w:t>
            </w:r>
            <w:r>
              <w:rPr>
                <w:rFonts w:hint="eastAsia" w:cs="Times New Roman"/>
                <w:szCs w:val="21"/>
                <w:lang w:eastAsia="zh-CN"/>
              </w:rPr>
              <w:t>）、</w:t>
            </w:r>
            <w:r>
              <w:rPr>
                <w:rFonts w:hint="eastAsia"/>
                <w:color w:val="auto"/>
                <w:lang w:eastAsia="zh-CN"/>
              </w:rPr>
              <w:t>《</w:t>
            </w:r>
            <w:r>
              <w:rPr>
                <w:rFonts w:hint="eastAsia"/>
                <w:color w:val="auto"/>
              </w:rPr>
              <w:fldChar w:fldCharType="begin"/>
            </w:r>
            <w:r>
              <w:rPr>
                <w:rFonts w:hint="eastAsia"/>
                <w:color w:val="auto"/>
              </w:rPr>
              <w:instrText xml:space="preserve"> HYPERLINK "https://www.mee.gov.cn/ywgz/fgbz/bz/bzwb/jcffbz/202112/W020211206547863741730.pdf" </w:instrText>
            </w:r>
            <w:r>
              <w:rPr>
                <w:rFonts w:hint="eastAsia"/>
                <w:color w:val="auto"/>
              </w:rPr>
              <w:fldChar w:fldCharType="separate"/>
            </w:r>
            <w:r>
              <w:rPr>
                <w:rFonts w:hint="eastAsia"/>
                <w:color w:val="auto"/>
              </w:rPr>
              <w:t>排污单位自行监测技术指南 橡胶和塑料制品</w:t>
            </w:r>
            <w:r>
              <w:rPr>
                <w:rFonts w:hint="eastAsia"/>
                <w:color w:val="auto"/>
                <w:lang w:eastAsia="zh-CN"/>
              </w:rPr>
              <w:t>》</w:t>
            </w:r>
            <w:r>
              <w:rPr>
                <w:rFonts w:hint="eastAsia"/>
                <w:color w:val="auto"/>
              </w:rPr>
              <w:t>（HJ 1207—2021）</w:t>
            </w:r>
            <w:r>
              <w:rPr>
                <w:rFonts w:hint="eastAsia"/>
                <w:color w:val="auto"/>
              </w:rPr>
              <w:fldChar w:fldCharType="end"/>
            </w:r>
            <w:r>
              <w:rPr>
                <w:rFonts w:hint="eastAsia"/>
                <w:color w:val="auto"/>
                <w:lang w:eastAsia="zh-CN"/>
              </w:rPr>
              <w:t>、</w:t>
            </w:r>
            <w:r>
              <w:rPr>
                <w:rFonts w:hint="default" w:ascii="Times New Roman" w:hAnsi="Times New Roman" w:cs="Times New Roman"/>
              </w:rPr>
              <w:t xml:space="preserve">《排污单位自行监测技术指南 </w:t>
            </w:r>
            <w:r>
              <w:rPr>
                <w:rFonts w:hint="eastAsia" w:cs="Times New Roman"/>
                <w:lang w:eastAsia="zh-CN"/>
              </w:rPr>
              <w:t>涂装工业</w:t>
            </w:r>
            <w:r>
              <w:rPr>
                <w:rFonts w:hint="default" w:ascii="Times New Roman" w:hAnsi="Times New Roman" w:cs="Times New Roman"/>
              </w:rPr>
              <w:t>》（HJ</w:t>
            </w:r>
            <w:r>
              <w:rPr>
                <w:rFonts w:hint="default" w:ascii="Times New Roman" w:hAnsi="Times New Roman" w:cs="Times New Roman"/>
                <w:lang w:val="en-US" w:eastAsia="zh-CN"/>
              </w:rPr>
              <w:t>1086</w:t>
            </w:r>
            <w:r>
              <w:rPr>
                <w:rFonts w:hint="default" w:ascii="Times New Roman" w:hAnsi="Times New Roman" w:cs="Times New Roman"/>
              </w:rPr>
              <w:t>-2017）</w:t>
            </w:r>
            <w:r>
              <w:rPr>
                <w:rFonts w:hint="default" w:ascii="Times New Roman" w:hAnsi="Times New Roman" w:cs="Times New Roman"/>
                <w:szCs w:val="21"/>
              </w:rPr>
              <w:t>，</w:t>
            </w:r>
            <w:r>
              <w:rPr>
                <w:rFonts w:hint="eastAsia" w:cs="Times New Roman"/>
                <w:szCs w:val="21"/>
                <w:lang w:eastAsia="zh-CN"/>
              </w:rPr>
              <w:t>本项目仅有生活污水排放。</w:t>
            </w:r>
            <w:r>
              <w:rPr>
                <w:rFonts w:hint="default" w:ascii="Times New Roman" w:hAnsi="Times New Roman" w:cs="Times New Roman"/>
                <w:szCs w:val="21"/>
              </w:rPr>
              <w:t>对本项目废水的日常监测要求如下表所示：</w:t>
            </w:r>
          </w:p>
          <w:p w14:paraId="451C04E3">
            <w:pPr>
              <w:spacing w:line="360" w:lineRule="auto"/>
              <w:ind w:firstLine="422" w:firstLineChars="200"/>
              <w:jc w:val="center"/>
              <w:rPr>
                <w:rFonts w:hint="default" w:ascii="Times New Roman" w:hAnsi="Times New Roman" w:eastAsia="宋体" w:cs="Times New Roman"/>
                <w:b/>
                <w:bCs/>
              </w:rPr>
            </w:pPr>
            <w:r>
              <w:rPr>
                <w:rFonts w:hint="default" w:ascii="Times New Roman" w:hAnsi="Times New Roman" w:eastAsia="宋体" w:cs="Times New Roman"/>
                <w:b/>
                <w:bCs/>
              </w:rPr>
              <w:t>表4-</w:t>
            </w:r>
            <w:r>
              <w:rPr>
                <w:rFonts w:hint="default" w:ascii="Times New Roman" w:hAnsi="Times New Roman" w:eastAsia="宋体" w:cs="Times New Roman"/>
                <w:b/>
                <w:bCs/>
                <w:lang w:val="en-US" w:eastAsia="zh-CN"/>
              </w:rPr>
              <w:t>20</w:t>
            </w:r>
            <w:r>
              <w:rPr>
                <w:rFonts w:hint="default" w:ascii="Times New Roman" w:hAnsi="Times New Roman" w:eastAsia="宋体" w:cs="Times New Roman"/>
                <w:b/>
                <w:bCs/>
              </w:rPr>
              <w:t xml:space="preserve">  建设项目废水监测要求</w:t>
            </w:r>
          </w:p>
          <w:tbl>
            <w:tblPr>
              <w:tblStyle w:val="81"/>
              <w:tblW w:w="495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2730"/>
              <w:gridCol w:w="2791"/>
            </w:tblGrid>
            <w:tr w14:paraId="51835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785" w:type="dxa"/>
                  <w:tcBorders>
                    <w:top w:val="single" w:color="auto" w:sz="4" w:space="0"/>
                    <w:left w:val="single" w:color="auto" w:sz="4" w:space="0"/>
                    <w:bottom w:val="single" w:color="auto" w:sz="4" w:space="0"/>
                    <w:right w:val="single" w:color="auto" w:sz="4" w:space="0"/>
                  </w:tcBorders>
                  <w:vAlign w:val="center"/>
                </w:tcPr>
                <w:p w14:paraId="384F53CD">
                  <w:pPr>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监测点位</w:t>
                  </w:r>
                </w:p>
              </w:tc>
              <w:tc>
                <w:tcPr>
                  <w:tcW w:w="2752" w:type="dxa"/>
                  <w:tcBorders>
                    <w:top w:val="single" w:color="auto" w:sz="4" w:space="0"/>
                    <w:left w:val="single" w:color="auto" w:sz="4" w:space="0"/>
                    <w:bottom w:val="single" w:color="auto" w:sz="4" w:space="0"/>
                    <w:right w:val="single" w:color="auto" w:sz="4" w:space="0"/>
                  </w:tcBorders>
                  <w:vAlign w:val="center"/>
                </w:tcPr>
                <w:p w14:paraId="5BF454ED">
                  <w:pPr>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监测指标</w:t>
                  </w:r>
                </w:p>
              </w:tc>
              <w:tc>
                <w:tcPr>
                  <w:tcW w:w="2813" w:type="dxa"/>
                  <w:tcBorders>
                    <w:top w:val="single" w:color="auto" w:sz="4" w:space="0"/>
                    <w:left w:val="single" w:color="auto" w:sz="4" w:space="0"/>
                    <w:bottom w:val="single" w:color="auto" w:sz="4" w:space="0"/>
                    <w:right w:val="single" w:color="auto" w:sz="4" w:space="0"/>
                  </w:tcBorders>
                  <w:vAlign w:val="center"/>
                </w:tcPr>
                <w:p w14:paraId="5B3B6DA8">
                  <w:pPr>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最低监测频次</w:t>
                  </w:r>
                </w:p>
              </w:tc>
            </w:tr>
            <w:tr w14:paraId="09B27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2785" w:type="dxa"/>
                  <w:tcBorders>
                    <w:top w:val="single" w:color="auto" w:sz="4" w:space="0"/>
                    <w:left w:val="single" w:color="auto" w:sz="4" w:space="0"/>
                    <w:bottom w:val="single" w:color="auto" w:sz="4" w:space="0"/>
                    <w:right w:val="single" w:color="auto" w:sz="4" w:space="0"/>
                  </w:tcBorders>
                  <w:vAlign w:val="center"/>
                </w:tcPr>
                <w:p w14:paraId="47DBBB03">
                  <w:pPr>
                    <w:spacing w:line="30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lang w:val="en-US" w:eastAsia="zh-CN"/>
                    </w:rPr>
                    <w:t>DW00</w:t>
                  </w:r>
                  <w:r>
                    <w:rPr>
                      <w:rFonts w:hint="eastAsia" w:cs="Times New Roman"/>
                      <w:sz w:val="18"/>
                      <w:szCs w:val="18"/>
                      <w:lang w:val="en-US" w:eastAsia="zh-CN"/>
                    </w:rPr>
                    <w:t>1</w:t>
                  </w:r>
                  <w:r>
                    <w:rPr>
                      <w:rFonts w:hint="default" w:ascii="Times New Roman" w:hAnsi="Times New Roman" w:cs="Times New Roman"/>
                      <w:sz w:val="18"/>
                      <w:szCs w:val="18"/>
                      <w:lang w:val="en-US" w:eastAsia="zh-CN"/>
                    </w:rPr>
                    <w:t>（生活污水排放口）</w:t>
                  </w:r>
                </w:p>
              </w:tc>
              <w:tc>
                <w:tcPr>
                  <w:tcW w:w="2752" w:type="dxa"/>
                  <w:tcBorders>
                    <w:top w:val="single" w:color="auto" w:sz="4" w:space="0"/>
                    <w:left w:val="single" w:color="auto" w:sz="4" w:space="0"/>
                    <w:bottom w:val="single" w:color="auto" w:sz="4" w:space="0"/>
                    <w:right w:val="single" w:color="auto" w:sz="4" w:space="0"/>
                  </w:tcBorders>
                  <w:vAlign w:val="center"/>
                </w:tcPr>
                <w:p w14:paraId="2EB89337">
                  <w:pPr>
                    <w:spacing w:line="240" w:lineRule="auto"/>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流量、COD、氨氮、悬浮物、五日生化需氧量</w:t>
                  </w:r>
                  <w:r>
                    <w:rPr>
                      <w:rFonts w:hint="eastAsia" w:cs="Times New Roman"/>
                      <w:sz w:val="18"/>
                      <w:szCs w:val="18"/>
                      <w:lang w:eastAsia="zh-CN"/>
                    </w:rPr>
                    <w:t>、</w:t>
                  </w:r>
                  <w:r>
                    <w:rPr>
                      <w:rFonts w:hint="eastAsia" w:cs="Times New Roman"/>
                      <w:sz w:val="18"/>
                      <w:szCs w:val="18"/>
                      <w:lang w:val="en-US" w:eastAsia="zh-CN"/>
                    </w:rPr>
                    <w:t>pH</w:t>
                  </w:r>
                </w:p>
              </w:tc>
              <w:tc>
                <w:tcPr>
                  <w:tcW w:w="2813" w:type="dxa"/>
                  <w:tcBorders>
                    <w:top w:val="single" w:color="auto" w:sz="4" w:space="0"/>
                    <w:left w:val="single" w:color="auto" w:sz="4" w:space="0"/>
                    <w:bottom w:val="single" w:color="auto" w:sz="4" w:space="0"/>
                    <w:right w:val="single" w:color="auto" w:sz="4" w:space="0"/>
                  </w:tcBorders>
                  <w:vAlign w:val="center"/>
                </w:tcPr>
                <w:p w14:paraId="015439ED">
                  <w:pPr>
                    <w:spacing w:line="30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w:t>
                  </w:r>
                </w:p>
              </w:tc>
            </w:tr>
          </w:tbl>
          <w:p w14:paraId="0163C65C">
            <w:pPr>
              <w:spacing w:line="420" w:lineRule="exact"/>
              <w:ind w:firstLine="422" w:firstLineChars="200"/>
              <w:rPr>
                <w:b/>
                <w:bCs/>
              </w:rPr>
            </w:pPr>
            <w:r>
              <w:rPr>
                <w:b/>
                <w:bCs/>
              </w:rPr>
              <w:t>三、噪声：</w:t>
            </w:r>
          </w:p>
          <w:p w14:paraId="07DDDF97">
            <w:pPr>
              <w:spacing w:line="420" w:lineRule="exact"/>
              <w:ind w:firstLine="422" w:firstLineChars="200"/>
              <w:rPr>
                <w:b/>
                <w:bCs/>
                <w:lang w:val="de-DE"/>
              </w:rPr>
            </w:pPr>
            <w:r>
              <w:rPr>
                <w:b/>
                <w:bCs/>
                <w:lang w:val="de-DE"/>
              </w:rPr>
              <w:t>1、噪声源强及降噪措施</w:t>
            </w:r>
          </w:p>
          <w:p w14:paraId="4916E502">
            <w:pPr>
              <w:spacing w:line="420" w:lineRule="exact"/>
              <w:ind w:firstLine="420" w:firstLineChars="200"/>
              <w:rPr>
                <w:bCs/>
              </w:rPr>
            </w:pPr>
            <w:r>
              <w:rPr>
                <w:rFonts w:hint="eastAsia"/>
                <w:bCs/>
                <w:lang w:eastAsia="zh-CN"/>
              </w:rPr>
              <w:t>本</w:t>
            </w:r>
            <w:r>
              <w:rPr>
                <w:bCs/>
              </w:rPr>
              <w:t>项目</w:t>
            </w:r>
            <w:r>
              <w:rPr>
                <w:rFonts w:hint="eastAsia"/>
                <w:bCs/>
                <w:lang w:eastAsia="zh-CN"/>
              </w:rPr>
              <w:t>噪</w:t>
            </w:r>
            <w:r>
              <w:t>声源主要是</w:t>
            </w:r>
            <w:r>
              <w:rPr>
                <w:rFonts w:hint="eastAsia"/>
                <w:highlight w:val="none"/>
                <w:lang w:eastAsia="zh-CN"/>
              </w:rPr>
              <w:t>等离子切割机、剪板机、四柱油压机、风机等机械设备</w:t>
            </w:r>
            <w:r>
              <w:rPr>
                <w:lang w:val="de-DE"/>
              </w:rPr>
              <w:t>产生的噪声，根据国内同类行业的车间内噪声值的经验数据，其噪声级在</w:t>
            </w:r>
            <w:r>
              <w:rPr>
                <w:rFonts w:hint="eastAsia"/>
                <w:lang w:val="en-US" w:eastAsia="zh-CN"/>
              </w:rPr>
              <w:t>65</w:t>
            </w:r>
            <w:r>
              <w:t>-</w:t>
            </w:r>
            <w:r>
              <w:rPr>
                <w:rFonts w:hint="eastAsia"/>
                <w:lang w:val="en-US" w:eastAsia="zh-CN"/>
              </w:rPr>
              <w:t>85</w:t>
            </w:r>
            <w:r>
              <w:rPr>
                <w:lang w:val="de-DE"/>
              </w:rPr>
              <w:t>dB（A）之间</w:t>
            </w:r>
            <w:r>
              <w:t>。</w:t>
            </w:r>
            <w:r>
              <w:rPr>
                <w:rFonts w:hint="eastAsia"/>
                <w:lang w:eastAsia="zh-CN"/>
              </w:rPr>
              <w:t>所有设备</w:t>
            </w:r>
            <w:r>
              <w:t>为</w:t>
            </w:r>
            <w:r>
              <w:rPr>
                <w:rFonts w:hint="eastAsia"/>
                <w:lang w:eastAsia="zh-CN"/>
              </w:rPr>
              <w:t>昼间间断式生产，项目噪声源均为室内声源</w:t>
            </w:r>
            <w:r>
              <w:t>。根据不同的噪声设备采取针对性的噪声治理措施如基础减振、柔性接口、消音器、隔声罩等设施，采用消音措施后可削减现有源强20～25dB（A）。噪声源详情见下表。</w:t>
            </w:r>
          </w:p>
          <w:p w14:paraId="1B397AB1">
            <w:pPr>
              <w:spacing w:line="420" w:lineRule="exact"/>
              <w:ind w:firstLine="422" w:firstLineChars="200"/>
              <w:jc w:val="center"/>
              <w:rPr>
                <w:rFonts w:hint="eastAsia" w:eastAsia="宋体"/>
                <w:b/>
                <w:sz w:val="24"/>
                <w:szCs w:val="24"/>
                <w:highlight w:val="none"/>
                <w:lang w:eastAsia="zh-CN"/>
              </w:rPr>
            </w:pPr>
            <w:r>
              <w:rPr>
                <w:b/>
                <w:bCs/>
                <w:highlight w:val="none"/>
              </w:rPr>
              <w:t>表4-</w:t>
            </w:r>
            <w:r>
              <w:rPr>
                <w:rFonts w:hint="eastAsia"/>
                <w:b/>
                <w:bCs/>
                <w:highlight w:val="none"/>
                <w:lang w:val="en-US" w:eastAsia="zh-CN"/>
              </w:rPr>
              <w:t>21</w:t>
            </w:r>
            <w:r>
              <w:rPr>
                <w:b/>
                <w:bCs/>
                <w:highlight w:val="none"/>
              </w:rPr>
              <w:t>本项目设备噪声产生情况</w:t>
            </w:r>
            <w:r>
              <w:rPr>
                <w:rFonts w:hint="eastAsia"/>
                <w:b/>
                <w:bCs/>
                <w:highlight w:val="none"/>
                <w:lang w:eastAsia="zh-CN"/>
              </w:rPr>
              <w:t>（室内声源）</w:t>
            </w:r>
          </w:p>
          <w:tbl>
            <w:tblPr>
              <w:tblStyle w:val="1389"/>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326"/>
              <w:gridCol w:w="355"/>
              <w:gridCol w:w="623"/>
              <w:gridCol w:w="413"/>
              <w:gridCol w:w="476"/>
              <w:gridCol w:w="550"/>
              <w:gridCol w:w="517"/>
              <w:gridCol w:w="483"/>
              <w:gridCol w:w="450"/>
              <w:gridCol w:w="450"/>
              <w:gridCol w:w="681"/>
              <w:gridCol w:w="707"/>
              <w:gridCol w:w="761"/>
              <w:gridCol w:w="489"/>
              <w:gridCol w:w="734"/>
              <w:gridCol w:w="345"/>
            </w:tblGrid>
            <w:tr w14:paraId="2FF070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60" w:hRule="atLeast"/>
              </w:trPr>
              <w:tc>
                <w:tcPr>
                  <w:tcW w:w="194" w:type="pct"/>
                  <w:vMerge w:val="restart"/>
                  <w:noWrap w:val="0"/>
                  <w:vAlign w:val="center"/>
                </w:tcPr>
                <w:p w14:paraId="452389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3618BA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序号</w:t>
                  </w:r>
                </w:p>
              </w:tc>
              <w:tc>
                <w:tcPr>
                  <w:tcW w:w="212" w:type="pct"/>
                  <w:vMerge w:val="restart"/>
                  <w:noWrap w:val="0"/>
                  <w:vAlign w:val="center"/>
                </w:tcPr>
                <w:p w14:paraId="337E1C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27C7BA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建</w:t>
                  </w:r>
                  <w:r>
                    <w:rPr>
                      <w:rFonts w:hint="default" w:ascii="Times New Roman" w:hAnsi="Times New Roman" w:eastAsia="宋体" w:cs="Times New Roman"/>
                      <w:color w:val="auto"/>
                      <w:spacing w:val="-2"/>
                      <w:sz w:val="18"/>
                      <w:szCs w:val="18"/>
                      <w:highlight w:val="none"/>
                    </w:rPr>
                    <w:t>筑物</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2"/>
                      <w:sz w:val="18"/>
                      <w:szCs w:val="18"/>
                      <w:highlight w:val="none"/>
                    </w:rPr>
                    <w:t>名称</w:t>
                  </w:r>
                </w:p>
              </w:tc>
              <w:tc>
                <w:tcPr>
                  <w:tcW w:w="372" w:type="pct"/>
                  <w:vMerge w:val="restart"/>
                  <w:noWrap w:val="0"/>
                  <w:vAlign w:val="center"/>
                </w:tcPr>
                <w:p w14:paraId="463195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0A2DAF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源名称</w:t>
                  </w:r>
                </w:p>
              </w:tc>
              <w:tc>
                <w:tcPr>
                  <w:tcW w:w="247" w:type="pct"/>
                  <w:vMerge w:val="restart"/>
                  <w:noWrap w:val="0"/>
                  <w:vAlign w:val="center"/>
                </w:tcPr>
                <w:p w14:paraId="110AF5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5C9C07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型</w:t>
                  </w:r>
                  <w:r>
                    <w:rPr>
                      <w:rFonts w:hint="default" w:ascii="Times New Roman" w:hAnsi="Times New Roman" w:eastAsia="宋体" w:cs="Times New Roman"/>
                      <w:color w:val="auto"/>
                      <w:spacing w:val="-2"/>
                      <w:sz w:val="18"/>
                      <w:szCs w:val="18"/>
                      <w:highlight w:val="none"/>
                    </w:rPr>
                    <w:t>号</w:t>
                  </w:r>
                </w:p>
              </w:tc>
              <w:tc>
                <w:tcPr>
                  <w:tcW w:w="284" w:type="pct"/>
                  <w:vMerge w:val="restart"/>
                  <w:noWrap w:val="0"/>
                  <w:vAlign w:val="center"/>
                </w:tcPr>
                <w:p w14:paraId="5007B6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pacing w:val="-3"/>
                      <w:sz w:val="18"/>
                      <w:szCs w:val="18"/>
                      <w:highlight w:val="none"/>
                      <w:lang w:eastAsia="zh-CN"/>
                    </w:rPr>
                  </w:pPr>
                  <w:r>
                    <w:rPr>
                      <w:rFonts w:hint="eastAsia" w:cs="Times New Roman"/>
                      <w:color w:val="auto"/>
                      <w:spacing w:val="-3"/>
                      <w:sz w:val="18"/>
                      <w:szCs w:val="18"/>
                      <w:highlight w:val="none"/>
                      <w:lang w:eastAsia="zh-CN"/>
                    </w:rPr>
                    <w:t>数量（台）</w:t>
                  </w:r>
                </w:p>
              </w:tc>
              <w:tc>
                <w:tcPr>
                  <w:tcW w:w="328" w:type="pct"/>
                  <w:noWrap w:val="0"/>
                  <w:vAlign w:val="center"/>
                </w:tcPr>
                <w:p w14:paraId="79F31F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源源强</w:t>
                  </w:r>
                </w:p>
              </w:tc>
              <w:tc>
                <w:tcPr>
                  <w:tcW w:w="309" w:type="pct"/>
                  <w:vMerge w:val="restart"/>
                  <w:noWrap w:val="0"/>
                  <w:vAlign w:val="center"/>
                </w:tcPr>
                <w:p w14:paraId="681D9D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0886BF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声</w:t>
                  </w:r>
                  <w:r>
                    <w:rPr>
                      <w:rFonts w:hint="default" w:ascii="Times New Roman" w:hAnsi="Times New Roman" w:eastAsia="宋体" w:cs="Times New Roman"/>
                      <w:color w:val="auto"/>
                      <w:spacing w:val="-1"/>
                      <w:sz w:val="18"/>
                      <w:szCs w:val="18"/>
                      <w:highlight w:val="none"/>
                    </w:rPr>
                    <w:t>源控制措施</w:t>
                  </w:r>
                </w:p>
              </w:tc>
              <w:tc>
                <w:tcPr>
                  <w:tcW w:w="827" w:type="pct"/>
                  <w:gridSpan w:val="3"/>
                  <w:noWrap w:val="0"/>
                  <w:vAlign w:val="center"/>
                </w:tcPr>
                <w:p w14:paraId="4BCC41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空间相对位</w:t>
                  </w:r>
                  <w:r>
                    <w:rPr>
                      <w:rFonts w:hint="default" w:ascii="Times New Roman" w:hAnsi="Times New Roman" w:eastAsia="宋体" w:cs="Times New Roman"/>
                      <w:color w:val="auto"/>
                      <w:sz w:val="18"/>
                      <w:szCs w:val="18"/>
                      <w:highlight w:val="none"/>
                    </w:rPr>
                    <w:t>置</w:t>
                  </w:r>
                  <w:r>
                    <w:rPr>
                      <w:rFonts w:hint="default" w:ascii="Times New Roman" w:hAnsi="Times New Roman" w:eastAsia="Times New Roman" w:cs="Times New Roman"/>
                      <w:b/>
                      <w:bCs/>
                      <w:color w:val="auto"/>
                      <w:sz w:val="18"/>
                      <w:szCs w:val="18"/>
                      <w:highlight w:val="none"/>
                    </w:rPr>
                    <w:t>/m</w:t>
                  </w:r>
                </w:p>
              </w:tc>
              <w:tc>
                <w:tcPr>
                  <w:tcW w:w="407" w:type="pct"/>
                  <w:vMerge w:val="restart"/>
                  <w:noWrap w:val="0"/>
                  <w:vAlign w:val="center"/>
                </w:tcPr>
                <w:p w14:paraId="01CC16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距室</w:t>
                  </w:r>
                  <w:r>
                    <w:rPr>
                      <w:rFonts w:hint="default" w:ascii="Times New Roman" w:hAnsi="Times New Roman" w:eastAsia="宋体" w:cs="Times New Roman"/>
                      <w:color w:val="auto"/>
                      <w:spacing w:val="-1"/>
                      <w:sz w:val="18"/>
                      <w:szCs w:val="18"/>
                      <w:highlight w:val="none"/>
                    </w:rPr>
                    <w:t>内</w:t>
                  </w:r>
                </w:p>
                <w:p w14:paraId="2BC9BE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边界</w:t>
                  </w:r>
                  <w:r>
                    <w:rPr>
                      <w:rFonts w:hint="default" w:ascii="Times New Roman" w:hAnsi="Times New Roman" w:eastAsia="宋体" w:cs="Times New Roman"/>
                      <w:color w:val="auto"/>
                      <w:spacing w:val="-1"/>
                      <w:sz w:val="18"/>
                      <w:szCs w:val="18"/>
                      <w:highlight w:val="none"/>
                    </w:rPr>
                    <w:t>距</w:t>
                  </w:r>
                </w:p>
                <w:p w14:paraId="36721E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离</w:t>
                  </w:r>
                  <w:r>
                    <w:rPr>
                      <w:rFonts w:hint="default" w:ascii="Times New Roman" w:hAnsi="Times New Roman" w:eastAsia="Times New Roman" w:cs="Times New Roman"/>
                      <w:b/>
                      <w:bCs/>
                      <w:color w:val="auto"/>
                      <w:spacing w:val="-2"/>
                      <w:sz w:val="18"/>
                      <w:szCs w:val="18"/>
                      <w:highlight w:val="none"/>
                    </w:rPr>
                    <w:t>/</w:t>
                  </w:r>
                  <w:r>
                    <w:rPr>
                      <w:rFonts w:hint="default" w:ascii="Times New Roman" w:hAnsi="Times New Roman" w:eastAsia="Times New Roman" w:cs="Times New Roman"/>
                      <w:b/>
                      <w:bCs/>
                      <w:color w:val="auto"/>
                      <w:spacing w:val="-1"/>
                      <w:sz w:val="18"/>
                      <w:szCs w:val="18"/>
                      <w:highlight w:val="none"/>
                    </w:rPr>
                    <w:t>m</w:t>
                  </w:r>
                </w:p>
              </w:tc>
              <w:tc>
                <w:tcPr>
                  <w:tcW w:w="422" w:type="pct"/>
                  <w:vMerge w:val="restart"/>
                  <w:noWrap w:val="0"/>
                  <w:vAlign w:val="center"/>
                </w:tcPr>
                <w:p w14:paraId="2177A0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室</w:t>
                  </w:r>
                  <w:r>
                    <w:rPr>
                      <w:rFonts w:hint="default" w:ascii="Times New Roman" w:hAnsi="Times New Roman" w:eastAsia="宋体" w:cs="Times New Roman"/>
                      <w:color w:val="auto"/>
                      <w:spacing w:val="-2"/>
                      <w:sz w:val="18"/>
                      <w:szCs w:val="18"/>
                      <w:highlight w:val="none"/>
                    </w:rPr>
                    <w:t>内边</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3"/>
                      <w:sz w:val="18"/>
                      <w:szCs w:val="18"/>
                      <w:highlight w:val="none"/>
                    </w:rPr>
                    <w:t>界声级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pacing w:val="1"/>
                      <w:sz w:val="18"/>
                      <w:szCs w:val="18"/>
                      <w:highlight w:val="none"/>
                    </w:rPr>
                    <w:t>/</w:t>
                  </w:r>
                  <w:r>
                    <w:rPr>
                      <w:rFonts w:hint="default" w:ascii="Times New Roman" w:hAnsi="Times New Roman" w:eastAsia="Times New Roman" w:cs="Times New Roman"/>
                      <w:b/>
                      <w:bCs/>
                      <w:color w:val="auto"/>
                      <w:sz w:val="18"/>
                      <w:szCs w:val="18"/>
                      <w:highlight w:val="none"/>
                    </w:rPr>
                    <w:t>dB(A)</w:t>
                  </w:r>
                </w:p>
              </w:tc>
              <w:tc>
                <w:tcPr>
                  <w:tcW w:w="455" w:type="pct"/>
                  <w:vMerge w:val="restart"/>
                  <w:noWrap w:val="0"/>
                  <w:vAlign w:val="center"/>
                </w:tcPr>
                <w:p w14:paraId="049F21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p w14:paraId="6E4709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pacing w:val="-2"/>
                      <w:sz w:val="18"/>
                      <w:szCs w:val="18"/>
                      <w:highlight w:val="none"/>
                    </w:rPr>
                    <w:t>运</w:t>
                  </w:r>
                  <w:r>
                    <w:rPr>
                      <w:rFonts w:hint="default" w:ascii="Times New Roman" w:hAnsi="Times New Roman" w:eastAsia="宋体" w:cs="Times New Roman"/>
                      <w:color w:val="auto"/>
                      <w:spacing w:val="-1"/>
                      <w:sz w:val="18"/>
                      <w:szCs w:val="18"/>
                      <w:highlight w:val="none"/>
                    </w:rPr>
                    <w:t>行时段</w:t>
                  </w:r>
                  <w:r>
                    <w:rPr>
                      <w:rFonts w:hint="eastAsia" w:cs="Times New Roman"/>
                      <w:color w:val="auto"/>
                      <w:sz w:val="18"/>
                      <w:szCs w:val="18"/>
                      <w:highlight w:val="none"/>
                      <w:lang w:val="en-US" w:eastAsia="zh-CN"/>
                    </w:rPr>
                    <w:t>昼间间断式生产</w:t>
                  </w:r>
                </w:p>
                <w:p w14:paraId="3EBE89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p>
              </w:tc>
              <w:tc>
                <w:tcPr>
                  <w:tcW w:w="292" w:type="pct"/>
                  <w:vMerge w:val="restart"/>
                  <w:noWrap w:val="0"/>
                  <w:vAlign w:val="center"/>
                </w:tcPr>
                <w:p w14:paraId="69D7B7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2"/>
                      <w:sz w:val="18"/>
                      <w:szCs w:val="18"/>
                      <w:highlight w:val="none"/>
                    </w:rPr>
                    <w:t>建筑物插</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2"/>
                      <w:sz w:val="18"/>
                      <w:szCs w:val="18"/>
                      <w:highlight w:val="none"/>
                    </w:rPr>
                    <w:t>入损</w:t>
                  </w:r>
                  <w:r>
                    <w:rPr>
                      <w:rFonts w:hint="default" w:ascii="Times New Roman" w:hAnsi="Times New Roman" w:eastAsia="宋体" w:cs="Times New Roman"/>
                      <w:color w:val="auto"/>
                      <w:spacing w:val="-1"/>
                      <w:sz w:val="18"/>
                      <w:szCs w:val="18"/>
                      <w:highlight w:val="none"/>
                    </w:rPr>
                    <w:t>失</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pacing w:val="2"/>
                      <w:sz w:val="18"/>
                      <w:szCs w:val="18"/>
                      <w:highlight w:val="none"/>
                    </w:rPr>
                    <w:t>/</w:t>
                  </w:r>
                  <w:r>
                    <w:rPr>
                      <w:rFonts w:hint="default" w:ascii="Times New Roman" w:hAnsi="Times New Roman" w:eastAsia="Times New Roman" w:cs="Times New Roman"/>
                      <w:b/>
                      <w:bCs/>
                      <w:color w:val="auto"/>
                      <w:sz w:val="18"/>
                      <w:szCs w:val="18"/>
                      <w:highlight w:val="none"/>
                    </w:rPr>
                    <w:t>dB</w:t>
                  </w:r>
                  <w:r>
                    <w:rPr>
                      <w:rFonts w:hint="default" w:ascii="Times New Roman" w:hAnsi="Times New Roman" w:eastAsia="Times New Roman" w:cs="Times New Roman"/>
                      <w:b/>
                      <w:bCs/>
                      <w:color w:val="auto"/>
                      <w:spacing w:val="1"/>
                      <w:sz w:val="18"/>
                      <w:szCs w:val="18"/>
                      <w:highlight w:val="none"/>
                    </w:rPr>
                    <w:t>(</w:t>
                  </w:r>
                  <w:r>
                    <w:rPr>
                      <w:rFonts w:hint="default" w:ascii="Times New Roman" w:hAnsi="Times New Roman" w:eastAsia="Times New Roman" w:cs="Times New Roman"/>
                      <w:b/>
                      <w:bCs/>
                      <w:color w:val="auto"/>
                      <w:sz w:val="18"/>
                      <w:szCs w:val="18"/>
                      <w:highlight w:val="none"/>
                    </w:rPr>
                    <w:t>A</w:t>
                  </w:r>
                  <w:r>
                    <w:rPr>
                      <w:rFonts w:hint="default" w:ascii="Times New Roman" w:hAnsi="Times New Roman" w:eastAsia="Times New Roman" w:cs="Times New Roman"/>
                      <w:b/>
                      <w:bCs/>
                      <w:color w:val="auto"/>
                      <w:spacing w:val="1"/>
                      <w:sz w:val="18"/>
                      <w:szCs w:val="18"/>
                      <w:highlight w:val="none"/>
                    </w:rPr>
                    <w:t>)</w:t>
                  </w:r>
                </w:p>
              </w:tc>
              <w:tc>
                <w:tcPr>
                  <w:tcW w:w="645" w:type="pct"/>
                  <w:gridSpan w:val="2"/>
                  <w:noWrap w:val="0"/>
                  <w:vAlign w:val="center"/>
                </w:tcPr>
                <w:p w14:paraId="542273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1"/>
                      <w:sz w:val="18"/>
                      <w:szCs w:val="18"/>
                      <w:highlight w:val="none"/>
                    </w:rPr>
                    <w:t>建筑物外噪</w:t>
                  </w:r>
                  <w:r>
                    <w:rPr>
                      <w:rFonts w:hint="default" w:ascii="Times New Roman" w:hAnsi="Times New Roman" w:eastAsia="宋体" w:cs="Times New Roman"/>
                      <w:color w:val="auto"/>
                      <w:sz w:val="18"/>
                      <w:szCs w:val="18"/>
                      <w:highlight w:val="none"/>
                    </w:rPr>
                    <w:t>声</w:t>
                  </w:r>
                </w:p>
              </w:tc>
            </w:tr>
            <w:tr w14:paraId="2EB6D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2" w:hRule="atLeast"/>
              </w:trPr>
              <w:tc>
                <w:tcPr>
                  <w:tcW w:w="194" w:type="pct"/>
                  <w:vMerge w:val="continue"/>
                  <w:noWrap w:val="0"/>
                  <w:vAlign w:val="center"/>
                </w:tcPr>
                <w:p w14:paraId="7AEFBF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12" w:type="pct"/>
                  <w:vMerge w:val="continue"/>
                  <w:noWrap w:val="0"/>
                  <w:vAlign w:val="center"/>
                </w:tcPr>
                <w:p w14:paraId="4E6B6B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vMerge w:val="continue"/>
                  <w:noWrap w:val="0"/>
                  <w:vAlign w:val="center"/>
                </w:tcPr>
                <w:p w14:paraId="207342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47" w:type="pct"/>
                  <w:vMerge w:val="continue"/>
                  <w:noWrap w:val="0"/>
                  <w:vAlign w:val="center"/>
                </w:tcPr>
                <w:p w14:paraId="22230B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84" w:type="pct"/>
                  <w:vMerge w:val="continue"/>
                  <w:noWrap w:val="0"/>
                  <w:vAlign w:val="center"/>
                </w:tcPr>
                <w:p w14:paraId="216101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3"/>
                      <w:sz w:val="18"/>
                      <w:szCs w:val="18"/>
                      <w:highlight w:val="none"/>
                    </w:rPr>
                  </w:pPr>
                </w:p>
              </w:tc>
              <w:tc>
                <w:tcPr>
                  <w:tcW w:w="328" w:type="pct"/>
                  <w:noWrap w:val="0"/>
                  <w:vAlign w:val="center"/>
                </w:tcPr>
                <w:p w14:paraId="5B2250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w:t>
                  </w:r>
                  <w:r>
                    <w:rPr>
                      <w:rFonts w:hint="default" w:ascii="Times New Roman" w:hAnsi="Times New Roman" w:eastAsia="宋体" w:cs="Times New Roman"/>
                      <w:color w:val="auto"/>
                      <w:spacing w:val="-2"/>
                      <w:sz w:val="18"/>
                      <w:szCs w:val="18"/>
                      <w:highlight w:val="none"/>
                    </w:rPr>
                    <w:t>功率级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z w:val="18"/>
                      <w:szCs w:val="18"/>
                      <w:highlight w:val="none"/>
                    </w:rPr>
                    <w:t>/dB(A)</w:t>
                  </w:r>
                </w:p>
              </w:tc>
              <w:tc>
                <w:tcPr>
                  <w:tcW w:w="309" w:type="pct"/>
                  <w:vMerge w:val="continue"/>
                  <w:noWrap w:val="0"/>
                  <w:vAlign w:val="center"/>
                </w:tcPr>
                <w:p w14:paraId="327CE5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88" w:type="pct"/>
                  <w:noWrap w:val="0"/>
                  <w:vAlign w:val="center"/>
                </w:tcPr>
                <w:p w14:paraId="72890A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28"/>
                      <w:sz w:val="18"/>
                      <w:szCs w:val="18"/>
                      <w:highlight w:val="none"/>
                    </w:rPr>
                    <w:t>X</w:t>
                  </w:r>
                </w:p>
              </w:tc>
              <w:tc>
                <w:tcPr>
                  <w:tcW w:w="269" w:type="pct"/>
                  <w:noWrap w:val="0"/>
                  <w:vAlign w:val="center"/>
                </w:tcPr>
                <w:p w14:paraId="5AFDFB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2"/>
                      <w:sz w:val="18"/>
                      <w:szCs w:val="18"/>
                      <w:highlight w:val="none"/>
                    </w:rPr>
                    <w:t>Y</w:t>
                  </w:r>
                </w:p>
              </w:tc>
              <w:tc>
                <w:tcPr>
                  <w:tcW w:w="269" w:type="pct"/>
                  <w:noWrap w:val="0"/>
                  <w:vAlign w:val="center"/>
                </w:tcPr>
                <w:p w14:paraId="3B3687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b/>
                      <w:bCs/>
                      <w:i/>
                      <w:iCs/>
                      <w:color w:val="auto"/>
                      <w:spacing w:val="16"/>
                      <w:sz w:val="18"/>
                      <w:szCs w:val="18"/>
                      <w:highlight w:val="none"/>
                    </w:rPr>
                    <w:t>Z</w:t>
                  </w:r>
                </w:p>
              </w:tc>
              <w:tc>
                <w:tcPr>
                  <w:tcW w:w="407" w:type="pct"/>
                  <w:vMerge w:val="continue"/>
                  <w:noWrap w:val="0"/>
                  <w:vAlign w:val="center"/>
                </w:tcPr>
                <w:p w14:paraId="5611F6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422" w:type="pct"/>
                  <w:vMerge w:val="continue"/>
                  <w:noWrap w:val="0"/>
                  <w:vAlign w:val="center"/>
                </w:tcPr>
                <w:p w14:paraId="639AE5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455" w:type="pct"/>
                  <w:vMerge w:val="continue"/>
                  <w:noWrap w:val="0"/>
                  <w:vAlign w:val="center"/>
                </w:tcPr>
                <w:p w14:paraId="6796D5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292" w:type="pct"/>
                  <w:vMerge w:val="continue"/>
                  <w:noWrap w:val="0"/>
                  <w:vAlign w:val="center"/>
                </w:tcPr>
                <w:p w14:paraId="76F5A8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438" w:type="pct"/>
                  <w:noWrap w:val="0"/>
                  <w:vAlign w:val="center"/>
                </w:tcPr>
                <w:p w14:paraId="4F7BB1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宋体" w:cs="Times New Roman"/>
                      <w:color w:val="auto"/>
                      <w:spacing w:val="-3"/>
                      <w:sz w:val="18"/>
                      <w:szCs w:val="18"/>
                      <w:highlight w:val="none"/>
                    </w:rPr>
                    <w:t>声压级</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Times New Roman" w:cs="Times New Roman"/>
                      <w:b/>
                      <w:bCs/>
                      <w:color w:val="auto"/>
                      <w:sz w:val="18"/>
                      <w:szCs w:val="18"/>
                      <w:highlight w:val="none"/>
                    </w:rPr>
                    <w:t>/dB(A)</w:t>
                  </w:r>
                </w:p>
              </w:tc>
              <w:tc>
                <w:tcPr>
                  <w:tcW w:w="206" w:type="pct"/>
                  <w:noWrap w:val="0"/>
                  <w:vAlign w:val="center"/>
                </w:tcPr>
                <w:p w14:paraId="0C0DF5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pacing w:val="-4"/>
                      <w:sz w:val="18"/>
                      <w:szCs w:val="18"/>
                      <w:highlight w:val="none"/>
                    </w:rPr>
                    <w:t>建</w:t>
                  </w:r>
                  <w:r>
                    <w:rPr>
                      <w:rFonts w:hint="default" w:ascii="Times New Roman" w:hAnsi="Times New Roman" w:eastAsia="宋体" w:cs="Times New Roman"/>
                      <w:color w:val="auto"/>
                      <w:spacing w:val="-2"/>
                      <w:sz w:val="18"/>
                      <w:szCs w:val="18"/>
                      <w:highlight w:val="none"/>
                    </w:rPr>
                    <w:t>筑物</w:t>
                  </w:r>
                  <w:r>
                    <w:rPr>
                      <w:rFonts w:hint="default" w:ascii="Times New Roman" w:hAnsi="Times New Roman" w:eastAsia="宋体" w:cs="Times New Roman"/>
                      <w:color w:val="auto"/>
                      <w:sz w:val="18"/>
                      <w:szCs w:val="18"/>
                      <w:highlight w:val="none"/>
                    </w:rPr>
                    <w:t xml:space="preserve"> </w:t>
                  </w:r>
                  <w:r>
                    <w:rPr>
                      <w:rFonts w:hint="default" w:ascii="Times New Roman" w:hAnsi="Times New Roman" w:eastAsia="宋体" w:cs="Times New Roman"/>
                      <w:color w:val="auto"/>
                      <w:spacing w:val="-3"/>
                      <w:sz w:val="18"/>
                      <w:szCs w:val="18"/>
                      <w:highlight w:val="none"/>
                    </w:rPr>
                    <w:t>外距离</w:t>
                  </w:r>
                </w:p>
              </w:tc>
            </w:tr>
            <w:tr w14:paraId="05FE4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48B539D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c>
                <w:tcPr>
                  <w:tcW w:w="212" w:type="pct"/>
                  <w:vMerge w:val="restart"/>
                  <w:noWrap w:val="0"/>
                  <w:vAlign w:val="center"/>
                </w:tcPr>
                <w:p w14:paraId="70FACC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ascii="Times New Roman" w:hAnsi="Times New Roman" w:eastAsia="宋体" w:cs="Times New Roman"/>
                      <w:color w:val="auto"/>
                      <w:sz w:val="18"/>
                      <w:szCs w:val="18"/>
                      <w:highlight w:val="none"/>
                      <w:lang w:val="en-US" w:eastAsia="zh-CN"/>
                    </w:rPr>
                    <w:t>东侧生产车间</w:t>
                  </w:r>
                </w:p>
              </w:tc>
              <w:tc>
                <w:tcPr>
                  <w:tcW w:w="372" w:type="pct"/>
                  <w:noWrap w:val="0"/>
                  <w:vAlign w:val="center"/>
                </w:tcPr>
                <w:p w14:paraId="07C474D0">
                  <w:pPr>
                    <w:keepNext w:val="0"/>
                    <w:keepLines w:val="0"/>
                    <w:pageBreakBefore w:val="0"/>
                    <w:kinsoku/>
                    <w:wordWrap/>
                    <w:overflowPunct/>
                    <w:topLinePunct w:val="0"/>
                    <w:bidi w:val="0"/>
                    <w:ind w:left="0" w:leftChars="0" w:right="0" w:rightChars="0"/>
                    <w:jc w:val="both"/>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剪板机</w:t>
                  </w:r>
                </w:p>
              </w:tc>
              <w:tc>
                <w:tcPr>
                  <w:tcW w:w="247" w:type="pct"/>
                  <w:noWrap w:val="0"/>
                  <w:vAlign w:val="center"/>
                </w:tcPr>
                <w:p w14:paraId="685F19D9">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20×2500</w:t>
                  </w:r>
                </w:p>
              </w:tc>
              <w:tc>
                <w:tcPr>
                  <w:tcW w:w="284" w:type="pct"/>
                  <w:noWrap w:val="0"/>
                  <w:vAlign w:val="center"/>
                </w:tcPr>
                <w:p w14:paraId="148998F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11D9E9F0">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restart"/>
                  <w:noWrap w:val="0"/>
                  <w:vAlign w:val="center"/>
                </w:tcPr>
                <w:p w14:paraId="4DBD34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i w:val="0"/>
                      <w:color w:val="auto"/>
                      <w:kern w:val="0"/>
                      <w:sz w:val="18"/>
                      <w:szCs w:val="18"/>
                      <w:highlight w:val="none"/>
                      <w:u w:val="none"/>
                      <w:lang w:val="en-US" w:eastAsia="zh-CN" w:bidi="ar"/>
                    </w:rPr>
                    <w:t>低噪声设备基础减振</w:t>
                  </w:r>
                  <w:r>
                    <w:rPr>
                      <w:rFonts w:hint="eastAsia" w:ascii="Times New Roman" w:hAnsi="Times New Roman" w:eastAsia="宋体" w:cs="Times New Roman"/>
                      <w:i w:val="0"/>
                      <w:color w:val="auto"/>
                      <w:kern w:val="0"/>
                      <w:sz w:val="18"/>
                      <w:szCs w:val="18"/>
                      <w:highlight w:val="none"/>
                      <w:u w:val="none"/>
                      <w:lang w:val="en-US" w:eastAsia="zh-CN" w:bidi="ar"/>
                    </w:rPr>
                    <w:t>-15</w:t>
                  </w:r>
                </w:p>
              </w:tc>
              <w:tc>
                <w:tcPr>
                  <w:tcW w:w="288" w:type="pct"/>
                  <w:noWrap w:val="0"/>
                  <w:vAlign w:val="center"/>
                </w:tcPr>
                <w:p w14:paraId="2261659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45</w:t>
                  </w:r>
                </w:p>
              </w:tc>
              <w:tc>
                <w:tcPr>
                  <w:tcW w:w="269" w:type="pct"/>
                  <w:noWrap w:val="0"/>
                  <w:vAlign w:val="center"/>
                </w:tcPr>
                <w:p w14:paraId="1BF0443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269" w:type="pct"/>
                  <w:noWrap w:val="0"/>
                  <w:vAlign w:val="center"/>
                </w:tcPr>
                <w:p w14:paraId="473B46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6087D8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0D5677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3D9DC3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3B2E99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北：10</w:t>
                  </w:r>
                </w:p>
              </w:tc>
              <w:tc>
                <w:tcPr>
                  <w:tcW w:w="422" w:type="pct"/>
                  <w:noWrap w:val="0"/>
                  <w:vAlign w:val="center"/>
                </w:tcPr>
                <w:p w14:paraId="141628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14E5EA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南：20.9</w:t>
                  </w:r>
                </w:p>
                <w:p w14:paraId="7924E2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西：26.9</w:t>
                  </w:r>
                </w:p>
                <w:p w14:paraId="0F5519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北：40</w:t>
                  </w:r>
                </w:p>
              </w:tc>
              <w:tc>
                <w:tcPr>
                  <w:tcW w:w="455" w:type="pct"/>
                  <w:vMerge w:val="restart"/>
                  <w:noWrap w:val="0"/>
                  <w:vAlign w:val="center"/>
                </w:tcPr>
                <w:p w14:paraId="156D34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昼间间断式生产2400h/a</w:t>
                  </w:r>
                </w:p>
              </w:tc>
              <w:tc>
                <w:tcPr>
                  <w:tcW w:w="292" w:type="pct"/>
                  <w:noWrap w:val="0"/>
                  <w:vAlign w:val="center"/>
                </w:tcPr>
                <w:p w14:paraId="6C4ECC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lang w:val="en-US"/>
                    </w:rPr>
                  </w:pPr>
                  <w:r>
                    <w:rPr>
                      <w:rFonts w:hint="eastAsia" w:cs="Times New Roman"/>
                      <w:color w:val="auto"/>
                      <w:spacing w:val="-1"/>
                      <w:sz w:val="18"/>
                      <w:szCs w:val="18"/>
                      <w:highlight w:val="none"/>
                      <w:lang w:val="en-US" w:eastAsia="zh-CN"/>
                    </w:rPr>
                    <w:t>20</w:t>
                  </w:r>
                </w:p>
              </w:tc>
              <w:tc>
                <w:tcPr>
                  <w:tcW w:w="438" w:type="pct"/>
                  <w:noWrap w:val="0"/>
                  <w:vAlign w:val="center"/>
                </w:tcPr>
                <w:p w14:paraId="37A48B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5C3175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南：0.9</w:t>
                  </w:r>
                </w:p>
                <w:p w14:paraId="630F1F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西：6.9</w:t>
                  </w:r>
                </w:p>
                <w:p w14:paraId="428882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北：20</w:t>
                  </w:r>
                </w:p>
              </w:tc>
              <w:tc>
                <w:tcPr>
                  <w:tcW w:w="206" w:type="pct"/>
                  <w:noWrap w:val="0"/>
                  <w:vAlign w:val="center"/>
                </w:tcPr>
                <w:p w14:paraId="55412C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67ED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1E0E988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Times New Roman" w:cs="Times New Roman"/>
                      <w:color w:val="auto"/>
                      <w:sz w:val="18"/>
                      <w:szCs w:val="18"/>
                      <w:highlight w:val="none"/>
                    </w:rPr>
                  </w:pPr>
                </w:p>
              </w:tc>
              <w:tc>
                <w:tcPr>
                  <w:tcW w:w="212" w:type="pct"/>
                  <w:vMerge w:val="continue"/>
                  <w:noWrap w:val="0"/>
                  <w:vAlign w:val="center"/>
                </w:tcPr>
                <w:p w14:paraId="3BF4EB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val="en-US" w:eastAsia="zh-CN"/>
                    </w:rPr>
                  </w:pPr>
                </w:p>
              </w:tc>
              <w:tc>
                <w:tcPr>
                  <w:tcW w:w="372" w:type="pct"/>
                  <w:noWrap w:val="0"/>
                  <w:vAlign w:val="center"/>
                </w:tcPr>
                <w:p w14:paraId="43E43284">
                  <w:pPr>
                    <w:keepNext w:val="0"/>
                    <w:keepLines w:val="0"/>
                    <w:pageBreakBefore w:val="0"/>
                    <w:kinsoku/>
                    <w:wordWrap/>
                    <w:overflowPunct/>
                    <w:topLinePunct w:val="0"/>
                    <w:bidi w:val="0"/>
                    <w:ind w:left="0" w:leftChars="0" w:right="0" w:rightChars="0"/>
                    <w:jc w:val="both"/>
                    <w:textAlignment w:val="auto"/>
                    <w:rPr>
                      <w:rFonts w:hint="eastAsia"/>
                      <w:color w:val="auto"/>
                      <w:sz w:val="18"/>
                      <w:szCs w:val="18"/>
                    </w:rPr>
                  </w:pPr>
                  <w:r>
                    <w:rPr>
                      <w:rFonts w:hint="eastAsia"/>
                      <w:color w:val="auto"/>
                      <w:sz w:val="18"/>
                      <w:szCs w:val="18"/>
                    </w:rPr>
                    <w:t>剪板机</w:t>
                  </w:r>
                </w:p>
              </w:tc>
              <w:tc>
                <w:tcPr>
                  <w:tcW w:w="247" w:type="pct"/>
                  <w:noWrap w:val="0"/>
                  <w:vAlign w:val="center"/>
                </w:tcPr>
                <w:p w14:paraId="7A90E842">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10×2500</w:t>
                  </w:r>
                </w:p>
              </w:tc>
              <w:tc>
                <w:tcPr>
                  <w:tcW w:w="284" w:type="pct"/>
                  <w:noWrap w:val="0"/>
                  <w:vAlign w:val="center"/>
                </w:tcPr>
                <w:p w14:paraId="793F1586">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07FBE89">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6AF4C8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33CF36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40</w:t>
                  </w:r>
                </w:p>
              </w:tc>
              <w:tc>
                <w:tcPr>
                  <w:tcW w:w="269" w:type="pct"/>
                  <w:noWrap w:val="0"/>
                  <w:vAlign w:val="center"/>
                </w:tcPr>
                <w:p w14:paraId="052A89B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90</w:t>
                  </w:r>
                </w:p>
              </w:tc>
              <w:tc>
                <w:tcPr>
                  <w:tcW w:w="269" w:type="pct"/>
                  <w:noWrap w:val="0"/>
                  <w:vAlign w:val="center"/>
                </w:tcPr>
                <w:p w14:paraId="248843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163D98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4917AF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0298C2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1C79E2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北：10</w:t>
                  </w:r>
                </w:p>
              </w:tc>
              <w:tc>
                <w:tcPr>
                  <w:tcW w:w="422" w:type="pct"/>
                  <w:noWrap w:val="0"/>
                  <w:vAlign w:val="center"/>
                </w:tcPr>
                <w:p w14:paraId="4A2022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71C867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南：20.9</w:t>
                  </w:r>
                </w:p>
                <w:p w14:paraId="75F24B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70FA1A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北：40</w:t>
                  </w:r>
                </w:p>
              </w:tc>
              <w:tc>
                <w:tcPr>
                  <w:tcW w:w="455" w:type="pct"/>
                  <w:vMerge w:val="continue"/>
                  <w:noWrap w:val="0"/>
                  <w:vAlign w:val="center"/>
                </w:tcPr>
                <w:p w14:paraId="27B44D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292" w:type="pct"/>
                  <w:noWrap w:val="0"/>
                  <w:vAlign w:val="center"/>
                </w:tcPr>
                <w:p w14:paraId="2E8BA5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2E594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4BFA57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南：0.9</w:t>
                  </w:r>
                </w:p>
                <w:p w14:paraId="447576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422206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w:t>
                  </w:r>
                </w:p>
              </w:tc>
              <w:tc>
                <w:tcPr>
                  <w:tcW w:w="206" w:type="pct"/>
                  <w:noWrap w:val="0"/>
                  <w:vAlign w:val="center"/>
                </w:tcPr>
                <w:p w14:paraId="3AB722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8E962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05EC1A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212" w:type="pct"/>
                  <w:vMerge w:val="continue"/>
                  <w:noWrap w:val="0"/>
                  <w:vAlign w:val="center"/>
                </w:tcPr>
                <w:p w14:paraId="286CE6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66A3753">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剪板机</w:t>
                  </w:r>
                </w:p>
              </w:tc>
              <w:tc>
                <w:tcPr>
                  <w:tcW w:w="247" w:type="pct"/>
                  <w:noWrap w:val="0"/>
                  <w:vAlign w:val="center"/>
                </w:tcPr>
                <w:p w14:paraId="17E63323">
                  <w:pPr>
                    <w:jc w:val="center"/>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eastAsia="宋体" w:cs="Times New Roman"/>
                      <w:color w:val="auto"/>
                      <w:sz w:val="18"/>
                      <w:szCs w:val="18"/>
                    </w:rPr>
                    <w:t>2</w:t>
                  </w:r>
                  <w:r>
                    <w:rPr>
                      <w:rFonts w:hint="default" w:ascii="Times New Roman" w:hAnsi="Times New Roman" w:eastAsia="宋体" w:cs="Times New Roman"/>
                      <w:color w:val="auto"/>
                      <w:sz w:val="18"/>
                      <w:szCs w:val="18"/>
                      <w:lang w:val="en-US" w:eastAsia="zh-CN"/>
                    </w:rPr>
                    <w:t>5</w:t>
                  </w:r>
                  <w:r>
                    <w:rPr>
                      <w:rFonts w:hint="default" w:ascii="Times New Roman" w:hAnsi="Times New Roman" w:eastAsia="宋体" w:cs="Times New Roman"/>
                      <w:color w:val="auto"/>
                      <w:sz w:val="18"/>
                      <w:szCs w:val="18"/>
                    </w:rPr>
                    <w:t>00×16</w:t>
                  </w:r>
                </w:p>
              </w:tc>
              <w:tc>
                <w:tcPr>
                  <w:tcW w:w="284" w:type="pct"/>
                  <w:noWrap w:val="0"/>
                  <w:vAlign w:val="center"/>
                </w:tcPr>
                <w:p w14:paraId="226EAF71">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0091DAF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6D8C29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1066FA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52D7F42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85</w:t>
                  </w:r>
                </w:p>
              </w:tc>
              <w:tc>
                <w:tcPr>
                  <w:tcW w:w="269" w:type="pct"/>
                  <w:noWrap w:val="0"/>
                  <w:vAlign w:val="center"/>
                </w:tcPr>
                <w:p w14:paraId="5B91D8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6408B7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095430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593AFE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12E341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北：15</w:t>
                  </w:r>
                </w:p>
              </w:tc>
              <w:tc>
                <w:tcPr>
                  <w:tcW w:w="422" w:type="pct"/>
                  <w:noWrap w:val="0"/>
                  <w:vAlign w:val="center"/>
                </w:tcPr>
                <w:p w14:paraId="64F334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34F576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5FE77C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016667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北：36.5</w:t>
                  </w:r>
                </w:p>
              </w:tc>
              <w:tc>
                <w:tcPr>
                  <w:tcW w:w="455" w:type="pct"/>
                  <w:vMerge w:val="continue"/>
                  <w:noWrap w:val="0"/>
                  <w:vAlign w:val="center"/>
                </w:tcPr>
                <w:p w14:paraId="14BE06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pacing w:val="-1"/>
                      <w:sz w:val="18"/>
                      <w:szCs w:val="18"/>
                      <w:highlight w:val="none"/>
                    </w:rPr>
                  </w:pPr>
                </w:p>
              </w:tc>
              <w:tc>
                <w:tcPr>
                  <w:tcW w:w="292" w:type="pct"/>
                  <w:noWrap w:val="0"/>
                  <w:vAlign w:val="center"/>
                </w:tcPr>
                <w:p w14:paraId="08AE1C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F56BB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138639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47A4E2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13A7BB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6E5BD0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8FDC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F3B223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C8053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96B09DC">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剪板机</w:t>
                  </w:r>
                </w:p>
              </w:tc>
              <w:tc>
                <w:tcPr>
                  <w:tcW w:w="247" w:type="pct"/>
                  <w:noWrap w:val="0"/>
                  <w:vAlign w:val="center"/>
                </w:tcPr>
                <w:p w14:paraId="48B2FD59">
                  <w:pPr>
                    <w:jc w:val="center"/>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20×2500</w:t>
                  </w:r>
                </w:p>
              </w:tc>
              <w:tc>
                <w:tcPr>
                  <w:tcW w:w="284" w:type="pct"/>
                  <w:noWrap w:val="0"/>
                  <w:vAlign w:val="center"/>
                </w:tcPr>
                <w:p w14:paraId="26866AF2">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603870D">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C4B44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FB1E77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45</w:t>
                  </w:r>
                </w:p>
              </w:tc>
              <w:tc>
                <w:tcPr>
                  <w:tcW w:w="269" w:type="pct"/>
                  <w:noWrap w:val="0"/>
                  <w:vAlign w:val="center"/>
                </w:tcPr>
                <w:p w14:paraId="19CA071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85</w:t>
                  </w:r>
                </w:p>
              </w:tc>
              <w:tc>
                <w:tcPr>
                  <w:tcW w:w="269" w:type="pct"/>
                  <w:noWrap w:val="0"/>
                  <w:vAlign w:val="center"/>
                </w:tcPr>
                <w:p w14:paraId="528466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17C1A2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3D3074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5C0A7E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0C0A63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北：15</w:t>
                  </w:r>
                </w:p>
              </w:tc>
              <w:tc>
                <w:tcPr>
                  <w:tcW w:w="422" w:type="pct"/>
                  <w:noWrap w:val="0"/>
                  <w:vAlign w:val="center"/>
                </w:tcPr>
                <w:p w14:paraId="2ED99D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3404A7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523322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西：26.9</w:t>
                  </w:r>
                </w:p>
                <w:p w14:paraId="7E9790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北：36.5</w:t>
                  </w:r>
                </w:p>
              </w:tc>
              <w:tc>
                <w:tcPr>
                  <w:tcW w:w="455" w:type="pct"/>
                  <w:vMerge w:val="continue"/>
                  <w:noWrap w:val="0"/>
                  <w:vAlign w:val="center"/>
                </w:tcPr>
                <w:p w14:paraId="744635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pacing w:val="-1"/>
                      <w:sz w:val="18"/>
                      <w:szCs w:val="18"/>
                      <w:highlight w:val="none"/>
                    </w:rPr>
                  </w:pPr>
                </w:p>
              </w:tc>
              <w:tc>
                <w:tcPr>
                  <w:tcW w:w="292" w:type="pct"/>
                  <w:noWrap w:val="0"/>
                  <w:vAlign w:val="center"/>
                </w:tcPr>
                <w:p w14:paraId="3BFC81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04213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0D17D3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5AE5E3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西：6.9</w:t>
                  </w:r>
                </w:p>
                <w:p w14:paraId="528CF5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5BA732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B7D1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252E39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w:t>
                  </w:r>
                </w:p>
              </w:tc>
              <w:tc>
                <w:tcPr>
                  <w:tcW w:w="212" w:type="pct"/>
                  <w:vMerge w:val="continue"/>
                  <w:noWrap w:val="0"/>
                  <w:vAlign w:val="center"/>
                </w:tcPr>
                <w:p w14:paraId="625B8D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F0A4239">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卷板机</w:t>
                  </w:r>
                </w:p>
              </w:tc>
              <w:tc>
                <w:tcPr>
                  <w:tcW w:w="247" w:type="pct"/>
                  <w:noWrap w:val="0"/>
                  <w:vAlign w:val="center"/>
                </w:tcPr>
                <w:p w14:paraId="0EBE5B2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4DD6C7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00C2F017">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166127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E1BB5B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43</w:t>
                  </w:r>
                </w:p>
              </w:tc>
              <w:tc>
                <w:tcPr>
                  <w:tcW w:w="269" w:type="pct"/>
                  <w:noWrap w:val="0"/>
                  <w:vAlign w:val="center"/>
                </w:tcPr>
                <w:p w14:paraId="2BA2540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85</w:t>
                  </w:r>
                </w:p>
              </w:tc>
              <w:tc>
                <w:tcPr>
                  <w:tcW w:w="269" w:type="pct"/>
                  <w:noWrap w:val="0"/>
                  <w:vAlign w:val="center"/>
                </w:tcPr>
                <w:p w14:paraId="1862E7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05F37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东：12</w:t>
                  </w:r>
                </w:p>
                <w:p w14:paraId="79D8F3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3F475E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西：43</w:t>
                  </w:r>
                </w:p>
                <w:p w14:paraId="1B98D9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noWrap w:val="0"/>
                  <w:vAlign w:val="center"/>
                </w:tcPr>
                <w:p w14:paraId="0F1905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东：38.4</w:t>
                  </w:r>
                </w:p>
                <w:p w14:paraId="7895E7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766AB7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西：27.3</w:t>
                  </w:r>
                </w:p>
                <w:p w14:paraId="6E4040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65B21F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49E472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FBB30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东：18.4</w:t>
                  </w:r>
                </w:p>
                <w:p w14:paraId="02544D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38B914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西：7.3</w:t>
                  </w:r>
                </w:p>
                <w:p w14:paraId="4613AC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440504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72FC0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F58D776">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0C617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8C668D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卷板机</w:t>
                  </w:r>
                </w:p>
              </w:tc>
              <w:tc>
                <w:tcPr>
                  <w:tcW w:w="247" w:type="pct"/>
                  <w:noWrap w:val="0"/>
                  <w:vAlign w:val="center"/>
                </w:tcPr>
                <w:p w14:paraId="26CFFCAB">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66E768C">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5446C15">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42B76E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E76579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41</w:t>
                  </w:r>
                </w:p>
              </w:tc>
              <w:tc>
                <w:tcPr>
                  <w:tcW w:w="269" w:type="pct"/>
                  <w:noWrap w:val="0"/>
                  <w:vAlign w:val="center"/>
                </w:tcPr>
                <w:p w14:paraId="03A14B5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85</w:t>
                  </w:r>
                </w:p>
              </w:tc>
              <w:tc>
                <w:tcPr>
                  <w:tcW w:w="269" w:type="pct"/>
                  <w:noWrap w:val="0"/>
                  <w:vAlign w:val="center"/>
                </w:tcPr>
                <w:p w14:paraId="0B34EE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1B6D86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w:t>
                  </w:r>
                </w:p>
                <w:p w14:paraId="20888A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741C3B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西：41</w:t>
                  </w:r>
                </w:p>
                <w:p w14:paraId="72CE93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noWrap w:val="0"/>
                  <w:vAlign w:val="center"/>
                </w:tcPr>
                <w:p w14:paraId="599BD2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东：37.1</w:t>
                  </w:r>
                </w:p>
                <w:p w14:paraId="1FF937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70BDD4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西：27.7</w:t>
                  </w:r>
                </w:p>
                <w:p w14:paraId="69FB94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5D8F41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24A1D8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D6A26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东：17.1</w:t>
                  </w:r>
                </w:p>
                <w:p w14:paraId="062486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43AB3D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西：7.7</w:t>
                  </w:r>
                </w:p>
                <w:p w14:paraId="6CA36B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534179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66776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EECA48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w:t>
                  </w:r>
                </w:p>
              </w:tc>
              <w:tc>
                <w:tcPr>
                  <w:tcW w:w="212" w:type="pct"/>
                  <w:vMerge w:val="continue"/>
                  <w:noWrap w:val="0"/>
                  <w:vAlign w:val="center"/>
                </w:tcPr>
                <w:p w14:paraId="436181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DF42070">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卷板机</w:t>
                  </w:r>
                </w:p>
              </w:tc>
              <w:tc>
                <w:tcPr>
                  <w:tcW w:w="247" w:type="pct"/>
                  <w:noWrap w:val="0"/>
                  <w:vAlign w:val="center"/>
                </w:tcPr>
                <w:p w14:paraId="7DB1CF7C">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3D3C69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2A37A80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0C8601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C9E560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39</w:t>
                  </w:r>
                </w:p>
              </w:tc>
              <w:tc>
                <w:tcPr>
                  <w:tcW w:w="269" w:type="pct"/>
                  <w:noWrap w:val="0"/>
                  <w:vAlign w:val="center"/>
                </w:tcPr>
                <w:p w14:paraId="004FEC9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85</w:t>
                  </w:r>
                </w:p>
              </w:tc>
              <w:tc>
                <w:tcPr>
                  <w:tcW w:w="269" w:type="pct"/>
                  <w:noWrap w:val="0"/>
                  <w:vAlign w:val="center"/>
                </w:tcPr>
                <w:p w14:paraId="20B8B4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1C6893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w:t>
                  </w:r>
                </w:p>
                <w:p w14:paraId="2ABE7F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0A17FA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西：39</w:t>
                  </w:r>
                </w:p>
                <w:p w14:paraId="7ED442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北：15</w:t>
                  </w:r>
                </w:p>
              </w:tc>
              <w:tc>
                <w:tcPr>
                  <w:tcW w:w="422" w:type="pct"/>
                  <w:noWrap w:val="0"/>
                  <w:vAlign w:val="center"/>
                </w:tcPr>
                <w:p w14:paraId="59C507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东：35.9</w:t>
                  </w:r>
                </w:p>
                <w:p w14:paraId="4D31C3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3825FD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西：28.2</w:t>
                  </w:r>
                </w:p>
                <w:p w14:paraId="246427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北：36.5</w:t>
                  </w:r>
                </w:p>
              </w:tc>
              <w:tc>
                <w:tcPr>
                  <w:tcW w:w="455" w:type="pct"/>
                  <w:vMerge w:val="continue"/>
                  <w:noWrap w:val="0"/>
                  <w:vAlign w:val="center"/>
                </w:tcPr>
                <w:p w14:paraId="028919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3C9C0E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3FC152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东：15.9</w:t>
                  </w:r>
                </w:p>
                <w:p w14:paraId="75FB68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67008E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西：8.2</w:t>
                  </w:r>
                </w:p>
                <w:p w14:paraId="617333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4652D1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7617EC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8134A7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8F5DF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3E8EF2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卷板机</w:t>
                  </w:r>
                </w:p>
              </w:tc>
              <w:tc>
                <w:tcPr>
                  <w:tcW w:w="247" w:type="pct"/>
                  <w:noWrap w:val="0"/>
                  <w:vAlign w:val="center"/>
                </w:tcPr>
                <w:p w14:paraId="116CF4A1">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B8117FB">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492AA02">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4D421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DBF929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37</w:t>
                  </w:r>
                </w:p>
              </w:tc>
              <w:tc>
                <w:tcPr>
                  <w:tcW w:w="269" w:type="pct"/>
                  <w:noWrap w:val="0"/>
                  <w:vAlign w:val="center"/>
                </w:tcPr>
                <w:p w14:paraId="4CB12C9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85</w:t>
                  </w:r>
                </w:p>
              </w:tc>
              <w:tc>
                <w:tcPr>
                  <w:tcW w:w="269" w:type="pct"/>
                  <w:noWrap w:val="0"/>
                  <w:vAlign w:val="center"/>
                </w:tcPr>
                <w:p w14:paraId="146E6D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4A8482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782FAD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05F46D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6CB6AA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noWrap w:val="0"/>
                  <w:vAlign w:val="center"/>
                </w:tcPr>
                <w:p w14:paraId="5E0FD5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东：34.9</w:t>
                  </w:r>
                </w:p>
                <w:p w14:paraId="3903E5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349B4A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西：28.6</w:t>
                  </w:r>
                </w:p>
                <w:p w14:paraId="79DC92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020C92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2783CD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96326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东：14.9</w:t>
                  </w:r>
                </w:p>
                <w:p w14:paraId="162B45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7257D2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西：8.6</w:t>
                  </w:r>
                </w:p>
                <w:p w14:paraId="286D28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765C8C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1446E4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AEAEE6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5</w:t>
                  </w:r>
                </w:p>
              </w:tc>
              <w:tc>
                <w:tcPr>
                  <w:tcW w:w="212" w:type="pct"/>
                  <w:vMerge w:val="continue"/>
                  <w:noWrap w:val="0"/>
                  <w:vAlign w:val="center"/>
                </w:tcPr>
                <w:p w14:paraId="223F61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452A80D">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卷板机</w:t>
                  </w:r>
                </w:p>
              </w:tc>
              <w:tc>
                <w:tcPr>
                  <w:tcW w:w="247" w:type="pct"/>
                  <w:noWrap w:val="0"/>
                  <w:vAlign w:val="center"/>
                </w:tcPr>
                <w:p w14:paraId="3B6CFE03">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0C3E39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30173FDE">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C062C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CE879C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37</w:t>
                  </w:r>
                </w:p>
              </w:tc>
              <w:tc>
                <w:tcPr>
                  <w:tcW w:w="269" w:type="pct"/>
                  <w:noWrap w:val="0"/>
                  <w:vAlign w:val="center"/>
                </w:tcPr>
                <w:p w14:paraId="2095E80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90</w:t>
                  </w:r>
                </w:p>
              </w:tc>
              <w:tc>
                <w:tcPr>
                  <w:tcW w:w="269" w:type="pct"/>
                  <w:noWrap w:val="0"/>
                  <w:vAlign w:val="center"/>
                </w:tcPr>
                <w:p w14:paraId="5E5D8F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797FDD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3ADA50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145ECD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34CD89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北：10</w:t>
                  </w:r>
                </w:p>
              </w:tc>
              <w:tc>
                <w:tcPr>
                  <w:tcW w:w="422" w:type="pct"/>
                  <w:noWrap w:val="0"/>
                  <w:vAlign w:val="center"/>
                </w:tcPr>
                <w:p w14:paraId="170966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东：34.9</w:t>
                  </w:r>
                </w:p>
                <w:p w14:paraId="007F5A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南：20.9</w:t>
                  </w:r>
                </w:p>
                <w:p w14:paraId="303DF6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西：28.6</w:t>
                  </w:r>
                </w:p>
                <w:p w14:paraId="485F80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北：40</w:t>
                  </w:r>
                </w:p>
              </w:tc>
              <w:tc>
                <w:tcPr>
                  <w:tcW w:w="455" w:type="pct"/>
                  <w:vMerge w:val="continue"/>
                  <w:noWrap w:val="0"/>
                  <w:vAlign w:val="center"/>
                </w:tcPr>
                <w:p w14:paraId="4E60DC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118A45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4C356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东：14.9</w:t>
                  </w:r>
                </w:p>
                <w:p w14:paraId="12E135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南：0.9</w:t>
                  </w:r>
                </w:p>
                <w:p w14:paraId="39995C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西：8.6</w:t>
                  </w:r>
                </w:p>
                <w:p w14:paraId="647240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北：20</w:t>
                  </w:r>
                </w:p>
              </w:tc>
              <w:tc>
                <w:tcPr>
                  <w:tcW w:w="206" w:type="pct"/>
                  <w:noWrap w:val="0"/>
                  <w:vAlign w:val="center"/>
                </w:tcPr>
                <w:p w14:paraId="2061E2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0E07E9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525088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8B085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26E2A7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卷板机</w:t>
                  </w:r>
                </w:p>
              </w:tc>
              <w:tc>
                <w:tcPr>
                  <w:tcW w:w="247" w:type="pct"/>
                  <w:noWrap w:val="0"/>
                  <w:vAlign w:val="center"/>
                </w:tcPr>
                <w:p w14:paraId="0D53328D">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C6C1921">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A4D7C36">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03E875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853120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39</w:t>
                  </w:r>
                </w:p>
              </w:tc>
              <w:tc>
                <w:tcPr>
                  <w:tcW w:w="269" w:type="pct"/>
                  <w:noWrap w:val="0"/>
                  <w:vAlign w:val="center"/>
                </w:tcPr>
                <w:p w14:paraId="645E232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90</w:t>
                  </w:r>
                </w:p>
              </w:tc>
              <w:tc>
                <w:tcPr>
                  <w:tcW w:w="269" w:type="pct"/>
                  <w:noWrap w:val="0"/>
                  <w:vAlign w:val="center"/>
                </w:tcPr>
                <w:p w14:paraId="4E3452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6A3C79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w:t>
                  </w:r>
                </w:p>
                <w:p w14:paraId="3E46AA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5AA62E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西：39</w:t>
                  </w:r>
                </w:p>
                <w:p w14:paraId="7C2AE2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noWrap w:val="0"/>
                  <w:vAlign w:val="center"/>
                </w:tcPr>
                <w:p w14:paraId="0A2876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东：35.9</w:t>
                  </w:r>
                </w:p>
                <w:p w14:paraId="56B01B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3CA122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西：28.2</w:t>
                  </w:r>
                </w:p>
                <w:p w14:paraId="0BBEF0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51635A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5B54DA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04025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东：16.9</w:t>
                  </w:r>
                </w:p>
                <w:p w14:paraId="322C3F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2DA2DA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西：8.2</w:t>
                  </w:r>
                </w:p>
                <w:p w14:paraId="154961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5A45F4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559E8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A63F7C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6</w:t>
                  </w:r>
                </w:p>
              </w:tc>
              <w:tc>
                <w:tcPr>
                  <w:tcW w:w="212" w:type="pct"/>
                  <w:vMerge w:val="continue"/>
                  <w:noWrap w:val="0"/>
                  <w:vAlign w:val="center"/>
                </w:tcPr>
                <w:p w14:paraId="73EECF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F4F7A5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四柱油压机</w:t>
                  </w:r>
                </w:p>
              </w:tc>
              <w:tc>
                <w:tcPr>
                  <w:tcW w:w="247" w:type="pct"/>
                  <w:noWrap w:val="0"/>
                  <w:vAlign w:val="center"/>
                </w:tcPr>
                <w:p w14:paraId="1B88EB0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500T</w:t>
                  </w:r>
                </w:p>
              </w:tc>
              <w:tc>
                <w:tcPr>
                  <w:tcW w:w="284" w:type="pct"/>
                  <w:noWrap w:val="0"/>
                  <w:vAlign w:val="center"/>
                </w:tcPr>
                <w:p w14:paraId="22B80950">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328" w:type="pct"/>
                  <w:noWrap w:val="0"/>
                  <w:vAlign w:val="center"/>
                </w:tcPr>
                <w:p w14:paraId="17C38878">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DA050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E868AA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5311EA8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0AB474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7828F1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6AD9ED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33B24E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03290D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noWrap w:val="0"/>
                  <w:vAlign w:val="center"/>
                </w:tcPr>
                <w:p w14:paraId="5F5109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4FCB4A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440927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494849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北：34</w:t>
                  </w:r>
                </w:p>
              </w:tc>
              <w:tc>
                <w:tcPr>
                  <w:tcW w:w="455" w:type="pct"/>
                  <w:vMerge w:val="continue"/>
                  <w:noWrap w:val="0"/>
                  <w:vAlign w:val="center"/>
                </w:tcPr>
                <w:p w14:paraId="5FF127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p>
              </w:tc>
              <w:tc>
                <w:tcPr>
                  <w:tcW w:w="292" w:type="pct"/>
                  <w:noWrap w:val="0"/>
                  <w:vAlign w:val="center"/>
                </w:tcPr>
                <w:p w14:paraId="271994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FEE41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0647F6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4AA8FA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3662E9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北：14</w:t>
                  </w:r>
                </w:p>
              </w:tc>
              <w:tc>
                <w:tcPr>
                  <w:tcW w:w="206" w:type="pct"/>
                  <w:noWrap w:val="0"/>
                  <w:vAlign w:val="center"/>
                </w:tcPr>
                <w:p w14:paraId="1304A7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461501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5A4E13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B2A4D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FDDDDA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四柱油压机</w:t>
                  </w:r>
                </w:p>
              </w:tc>
              <w:tc>
                <w:tcPr>
                  <w:tcW w:w="247" w:type="pct"/>
                  <w:noWrap w:val="0"/>
                  <w:vAlign w:val="center"/>
                </w:tcPr>
                <w:p w14:paraId="742808D0">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500T</w:t>
                  </w:r>
                </w:p>
              </w:tc>
              <w:tc>
                <w:tcPr>
                  <w:tcW w:w="284" w:type="pct"/>
                  <w:noWrap w:val="0"/>
                  <w:vAlign w:val="center"/>
                </w:tcPr>
                <w:p w14:paraId="47837AE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736B01DB">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restart"/>
                  <w:noWrap w:val="0"/>
                  <w:vAlign w:val="center"/>
                </w:tcPr>
                <w:p w14:paraId="20B784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8EA91A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45</w:t>
                  </w:r>
                </w:p>
              </w:tc>
              <w:tc>
                <w:tcPr>
                  <w:tcW w:w="269" w:type="pct"/>
                  <w:noWrap w:val="0"/>
                  <w:vAlign w:val="center"/>
                </w:tcPr>
                <w:p w14:paraId="00B036A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87</w:t>
                  </w:r>
                </w:p>
              </w:tc>
              <w:tc>
                <w:tcPr>
                  <w:tcW w:w="269" w:type="pct"/>
                  <w:noWrap w:val="0"/>
                  <w:vAlign w:val="center"/>
                </w:tcPr>
                <w:p w14:paraId="50310C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656697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1704E9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南：87</w:t>
                  </w:r>
                </w:p>
                <w:p w14:paraId="560177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2123E4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北：13</w:t>
                  </w:r>
                </w:p>
              </w:tc>
              <w:tc>
                <w:tcPr>
                  <w:tcW w:w="422" w:type="pct"/>
                  <w:noWrap w:val="0"/>
                  <w:vAlign w:val="center"/>
                </w:tcPr>
                <w:p w14:paraId="61E240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111D72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南：21.1</w:t>
                  </w:r>
                </w:p>
                <w:p w14:paraId="73523F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西：26.9</w:t>
                  </w:r>
                </w:p>
                <w:p w14:paraId="596038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北：36.9</w:t>
                  </w:r>
                </w:p>
              </w:tc>
              <w:tc>
                <w:tcPr>
                  <w:tcW w:w="455" w:type="pct"/>
                  <w:vMerge w:val="restart"/>
                  <w:noWrap w:val="0"/>
                  <w:vAlign w:val="center"/>
                </w:tcPr>
                <w:p w14:paraId="6B3B05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p>
              </w:tc>
              <w:tc>
                <w:tcPr>
                  <w:tcW w:w="292" w:type="pct"/>
                  <w:noWrap w:val="0"/>
                  <w:vAlign w:val="center"/>
                </w:tcPr>
                <w:p w14:paraId="6A51E7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C9C21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250B0B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w:t>
                  </w:r>
                </w:p>
                <w:p w14:paraId="3EF6FD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西：6.9</w:t>
                  </w:r>
                </w:p>
                <w:p w14:paraId="1647F8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北：16.9</w:t>
                  </w:r>
                </w:p>
              </w:tc>
              <w:tc>
                <w:tcPr>
                  <w:tcW w:w="206" w:type="pct"/>
                  <w:noWrap w:val="0"/>
                  <w:vAlign w:val="center"/>
                </w:tcPr>
                <w:p w14:paraId="5DB2E9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eastAsia" w:eastAsia="宋体" w:cs="Times New Roman"/>
                      <w:color w:val="auto"/>
                      <w:sz w:val="18"/>
                      <w:szCs w:val="18"/>
                      <w:highlight w:val="none"/>
                      <w:lang w:val="en-US" w:eastAsia="zh-CN"/>
                    </w:rPr>
                    <w:t>1</w:t>
                  </w:r>
                </w:p>
              </w:tc>
            </w:tr>
            <w:tr w14:paraId="3E7C9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8608B6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AF15D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FC4FB9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四柱油压机</w:t>
                  </w:r>
                </w:p>
              </w:tc>
              <w:tc>
                <w:tcPr>
                  <w:tcW w:w="247" w:type="pct"/>
                  <w:noWrap w:val="0"/>
                  <w:vAlign w:val="center"/>
                </w:tcPr>
                <w:p w14:paraId="5020CDF9">
                  <w:pPr>
                    <w:jc w:val="center"/>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1250T</w:t>
                  </w:r>
                </w:p>
              </w:tc>
              <w:tc>
                <w:tcPr>
                  <w:tcW w:w="284" w:type="pct"/>
                  <w:noWrap w:val="0"/>
                  <w:vAlign w:val="center"/>
                </w:tcPr>
                <w:p w14:paraId="7505978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0EB320E1">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05A634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2CCCCC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7768269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87</w:t>
                  </w:r>
                </w:p>
              </w:tc>
              <w:tc>
                <w:tcPr>
                  <w:tcW w:w="269" w:type="pct"/>
                  <w:noWrap w:val="0"/>
                  <w:vAlign w:val="center"/>
                </w:tcPr>
                <w:p w14:paraId="75E170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3CA51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663225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南：87</w:t>
                  </w:r>
                </w:p>
                <w:p w14:paraId="561AD6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289BD6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北：13</w:t>
                  </w:r>
                </w:p>
              </w:tc>
              <w:tc>
                <w:tcPr>
                  <w:tcW w:w="422" w:type="pct"/>
                  <w:noWrap w:val="0"/>
                  <w:vAlign w:val="center"/>
                </w:tcPr>
                <w:p w14:paraId="322596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546DB3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南：21.1</w:t>
                  </w:r>
                </w:p>
                <w:p w14:paraId="3E809B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443FB2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北：36.9</w:t>
                  </w:r>
                </w:p>
              </w:tc>
              <w:tc>
                <w:tcPr>
                  <w:tcW w:w="455" w:type="pct"/>
                  <w:vMerge w:val="continue"/>
                  <w:noWrap w:val="0"/>
                  <w:vAlign w:val="center"/>
                </w:tcPr>
                <w:p w14:paraId="6F9633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p>
              </w:tc>
              <w:tc>
                <w:tcPr>
                  <w:tcW w:w="292" w:type="pct"/>
                  <w:noWrap w:val="0"/>
                  <w:vAlign w:val="center"/>
                </w:tcPr>
                <w:p w14:paraId="1B239D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5D4AD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4F2ED9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w:t>
                  </w:r>
                </w:p>
                <w:p w14:paraId="0AE580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7030BF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北：16.9</w:t>
                  </w:r>
                </w:p>
              </w:tc>
              <w:tc>
                <w:tcPr>
                  <w:tcW w:w="206" w:type="pct"/>
                  <w:noWrap w:val="0"/>
                  <w:vAlign w:val="center"/>
                </w:tcPr>
                <w:p w14:paraId="55D9B5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eastAsia" w:eastAsia="宋体" w:cs="Times New Roman"/>
                      <w:color w:val="auto"/>
                      <w:sz w:val="18"/>
                      <w:szCs w:val="18"/>
                      <w:highlight w:val="none"/>
                      <w:lang w:val="en-US" w:eastAsia="zh-CN"/>
                    </w:rPr>
                    <w:t>1</w:t>
                  </w:r>
                </w:p>
              </w:tc>
            </w:tr>
            <w:tr w14:paraId="7C1B38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0B26F0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w:t>
                  </w:r>
                </w:p>
              </w:tc>
              <w:tc>
                <w:tcPr>
                  <w:tcW w:w="212" w:type="pct"/>
                  <w:vMerge w:val="continue"/>
                  <w:noWrap w:val="0"/>
                  <w:vAlign w:val="center"/>
                </w:tcPr>
                <w:p w14:paraId="0215C5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eastAsia="zh-CN"/>
                    </w:rPr>
                  </w:pPr>
                </w:p>
              </w:tc>
              <w:tc>
                <w:tcPr>
                  <w:tcW w:w="372" w:type="pct"/>
                  <w:noWrap w:val="0"/>
                  <w:vAlign w:val="center"/>
                </w:tcPr>
                <w:p w14:paraId="233784C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折弯机</w:t>
                  </w:r>
                </w:p>
              </w:tc>
              <w:tc>
                <w:tcPr>
                  <w:tcW w:w="247" w:type="pct"/>
                  <w:noWrap w:val="0"/>
                  <w:vAlign w:val="center"/>
                </w:tcPr>
                <w:p w14:paraId="707BB9C0">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100T</w:t>
                  </w:r>
                </w:p>
              </w:tc>
              <w:tc>
                <w:tcPr>
                  <w:tcW w:w="284" w:type="pct"/>
                  <w:noWrap w:val="0"/>
                  <w:vAlign w:val="center"/>
                </w:tcPr>
                <w:p w14:paraId="57419BF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7158DBF2">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2A7E01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5F5EF9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38</w:t>
                  </w:r>
                </w:p>
              </w:tc>
              <w:tc>
                <w:tcPr>
                  <w:tcW w:w="269" w:type="pct"/>
                  <w:noWrap w:val="0"/>
                  <w:vAlign w:val="center"/>
                </w:tcPr>
                <w:p w14:paraId="6F699C1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3063B3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07" w:type="pct"/>
                  <w:noWrap w:val="0"/>
                  <w:vAlign w:val="center"/>
                </w:tcPr>
                <w:p w14:paraId="037843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东：17</w:t>
                  </w:r>
                </w:p>
                <w:p w14:paraId="6E0C5A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6C7879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西：38</w:t>
                  </w:r>
                </w:p>
                <w:p w14:paraId="3533AB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w:t>
                  </w:r>
                </w:p>
              </w:tc>
              <w:tc>
                <w:tcPr>
                  <w:tcW w:w="422" w:type="pct"/>
                  <w:noWrap w:val="0"/>
                  <w:vAlign w:val="center"/>
                </w:tcPr>
                <w:p w14:paraId="7FB7E8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东：35.4</w:t>
                  </w:r>
                </w:p>
                <w:p w14:paraId="32E597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6F144E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西：28.4</w:t>
                  </w:r>
                </w:p>
                <w:p w14:paraId="5C19CB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北：34</w:t>
                  </w:r>
                </w:p>
              </w:tc>
              <w:tc>
                <w:tcPr>
                  <w:tcW w:w="455" w:type="pct"/>
                  <w:vMerge w:val="continue"/>
                  <w:noWrap w:val="0"/>
                  <w:vAlign w:val="center"/>
                </w:tcPr>
                <w:p w14:paraId="5641DB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4ED3D2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4C517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东：15.4</w:t>
                  </w:r>
                </w:p>
                <w:p w14:paraId="2C9BE8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35FC8F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西：8.4</w:t>
                  </w:r>
                </w:p>
                <w:p w14:paraId="35A31A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北：14</w:t>
                  </w:r>
                </w:p>
              </w:tc>
              <w:tc>
                <w:tcPr>
                  <w:tcW w:w="206" w:type="pct"/>
                  <w:noWrap w:val="0"/>
                  <w:vAlign w:val="center"/>
                </w:tcPr>
                <w:p w14:paraId="7DEC7A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FA422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D95668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C3D65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eastAsia="zh-CN"/>
                    </w:rPr>
                  </w:pPr>
                </w:p>
              </w:tc>
              <w:tc>
                <w:tcPr>
                  <w:tcW w:w="372" w:type="pct"/>
                  <w:noWrap w:val="0"/>
                  <w:vAlign w:val="center"/>
                </w:tcPr>
                <w:p w14:paraId="142AF77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折弯机</w:t>
                  </w:r>
                </w:p>
              </w:tc>
              <w:tc>
                <w:tcPr>
                  <w:tcW w:w="247" w:type="pct"/>
                  <w:noWrap w:val="0"/>
                  <w:vAlign w:val="center"/>
                </w:tcPr>
                <w:p w14:paraId="05F36FC3">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100T</w:t>
                  </w:r>
                </w:p>
              </w:tc>
              <w:tc>
                <w:tcPr>
                  <w:tcW w:w="284" w:type="pct"/>
                  <w:noWrap w:val="0"/>
                  <w:vAlign w:val="center"/>
                </w:tcPr>
                <w:p w14:paraId="0778847E">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3BC17227">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1AD2D2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1F8DFF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36</w:t>
                  </w:r>
                </w:p>
              </w:tc>
              <w:tc>
                <w:tcPr>
                  <w:tcW w:w="269" w:type="pct"/>
                  <w:noWrap w:val="0"/>
                  <w:vAlign w:val="center"/>
                </w:tcPr>
                <w:p w14:paraId="31E97DF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68EF35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07" w:type="pct"/>
                  <w:noWrap w:val="0"/>
                  <w:vAlign w:val="center"/>
                </w:tcPr>
                <w:p w14:paraId="1EC802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w:t>
                  </w:r>
                </w:p>
                <w:p w14:paraId="30CB76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01BCBE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w:t>
                  </w:r>
                </w:p>
                <w:p w14:paraId="7AFF73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noWrap w:val="0"/>
                  <w:vAlign w:val="center"/>
                </w:tcPr>
                <w:p w14:paraId="410879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东：34.4</w:t>
                  </w:r>
                </w:p>
                <w:p w14:paraId="44C09F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5C3DD8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西：28.9</w:t>
                  </w:r>
                </w:p>
                <w:p w14:paraId="473EA6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北：34</w:t>
                  </w:r>
                </w:p>
              </w:tc>
              <w:tc>
                <w:tcPr>
                  <w:tcW w:w="455" w:type="pct"/>
                  <w:vMerge w:val="continue"/>
                  <w:noWrap w:val="0"/>
                  <w:vAlign w:val="center"/>
                </w:tcPr>
                <w:p w14:paraId="115D2B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660F14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31E8D9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东：14.4</w:t>
                  </w:r>
                </w:p>
                <w:p w14:paraId="2D946B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3A3763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西：8.9</w:t>
                  </w:r>
                </w:p>
                <w:p w14:paraId="33E3CC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北：14</w:t>
                  </w:r>
                </w:p>
              </w:tc>
              <w:tc>
                <w:tcPr>
                  <w:tcW w:w="206" w:type="pct"/>
                  <w:noWrap w:val="0"/>
                  <w:vAlign w:val="center"/>
                </w:tcPr>
                <w:p w14:paraId="1126E5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47F10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341342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F4AC5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eastAsia="zh-CN"/>
                    </w:rPr>
                  </w:pPr>
                </w:p>
              </w:tc>
              <w:tc>
                <w:tcPr>
                  <w:tcW w:w="372" w:type="pct"/>
                  <w:noWrap w:val="0"/>
                  <w:vAlign w:val="center"/>
                </w:tcPr>
                <w:p w14:paraId="2F0A17D3">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折弯机</w:t>
                  </w:r>
                </w:p>
              </w:tc>
              <w:tc>
                <w:tcPr>
                  <w:tcW w:w="247" w:type="pct"/>
                  <w:noWrap w:val="0"/>
                  <w:vAlign w:val="center"/>
                </w:tcPr>
                <w:p w14:paraId="0AD065BB">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100T</w:t>
                  </w:r>
                </w:p>
              </w:tc>
              <w:tc>
                <w:tcPr>
                  <w:tcW w:w="284" w:type="pct"/>
                  <w:noWrap w:val="0"/>
                  <w:vAlign w:val="center"/>
                </w:tcPr>
                <w:p w14:paraId="2E08C999">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9CFD4DB">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693AC4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C023E4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34</w:t>
                  </w:r>
                </w:p>
              </w:tc>
              <w:tc>
                <w:tcPr>
                  <w:tcW w:w="269" w:type="pct"/>
                  <w:noWrap w:val="0"/>
                  <w:vAlign w:val="center"/>
                </w:tcPr>
                <w:p w14:paraId="0BC828E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7EE904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07" w:type="pct"/>
                  <w:noWrap w:val="0"/>
                  <w:vAlign w:val="center"/>
                </w:tcPr>
                <w:p w14:paraId="1C2B12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东：21</w:t>
                  </w:r>
                </w:p>
                <w:p w14:paraId="4ECECD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513F0D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7AE6AB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noWrap w:val="0"/>
                  <w:vAlign w:val="center"/>
                </w:tcPr>
                <w:p w14:paraId="314942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东：33.6</w:t>
                  </w:r>
                </w:p>
                <w:p w14:paraId="44AF6A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132B2A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西：29.4</w:t>
                  </w:r>
                </w:p>
                <w:p w14:paraId="306BCB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北：34</w:t>
                  </w:r>
                </w:p>
              </w:tc>
              <w:tc>
                <w:tcPr>
                  <w:tcW w:w="455" w:type="pct"/>
                  <w:vMerge w:val="continue"/>
                  <w:noWrap w:val="0"/>
                  <w:vAlign w:val="center"/>
                </w:tcPr>
                <w:p w14:paraId="0639A4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1A6801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43111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东：13.6</w:t>
                  </w:r>
                </w:p>
                <w:p w14:paraId="0F594B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1E431E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西：9.4</w:t>
                  </w:r>
                </w:p>
                <w:p w14:paraId="533D25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北：14</w:t>
                  </w:r>
                </w:p>
              </w:tc>
              <w:tc>
                <w:tcPr>
                  <w:tcW w:w="206" w:type="pct"/>
                  <w:noWrap w:val="0"/>
                  <w:vAlign w:val="center"/>
                </w:tcPr>
                <w:p w14:paraId="05A047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EA35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C4F6D4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AE490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eastAsia="zh-CN"/>
                    </w:rPr>
                  </w:pPr>
                </w:p>
              </w:tc>
              <w:tc>
                <w:tcPr>
                  <w:tcW w:w="372" w:type="pct"/>
                  <w:noWrap w:val="0"/>
                  <w:vAlign w:val="center"/>
                </w:tcPr>
                <w:p w14:paraId="594D7B13">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eastAsia="zh-CN"/>
                    </w:rPr>
                    <w:t>水箱板裁角机</w:t>
                  </w:r>
                </w:p>
              </w:tc>
              <w:tc>
                <w:tcPr>
                  <w:tcW w:w="247" w:type="pct"/>
                  <w:noWrap w:val="0"/>
                  <w:vAlign w:val="center"/>
                </w:tcPr>
                <w:p w14:paraId="1226E791">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2A82EFB">
                  <w:pPr>
                    <w:keepNext w:val="0"/>
                    <w:keepLines w:val="0"/>
                    <w:pageBreakBefore w:val="0"/>
                    <w:kinsoku/>
                    <w:wordWrap/>
                    <w:overflowPunct/>
                    <w:topLinePunct w:val="0"/>
                    <w:bidi w:val="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4C46B114">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2DE55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FD12A3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38</w:t>
                  </w:r>
                </w:p>
              </w:tc>
              <w:tc>
                <w:tcPr>
                  <w:tcW w:w="269" w:type="pct"/>
                  <w:noWrap w:val="0"/>
                  <w:vAlign w:val="center"/>
                </w:tcPr>
                <w:p w14:paraId="6BA45ED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83</w:t>
                  </w:r>
                </w:p>
              </w:tc>
              <w:tc>
                <w:tcPr>
                  <w:tcW w:w="269" w:type="pct"/>
                  <w:noWrap w:val="0"/>
                  <w:vAlign w:val="center"/>
                </w:tcPr>
                <w:p w14:paraId="1C9F7E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681" w:type="dxa"/>
                  <w:noWrap w:val="0"/>
                  <w:vAlign w:val="center"/>
                </w:tcPr>
                <w:p w14:paraId="5BD932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东：17</w:t>
                  </w:r>
                </w:p>
                <w:p w14:paraId="72EA34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南：83</w:t>
                  </w:r>
                </w:p>
                <w:p w14:paraId="4CECA6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西：38</w:t>
                  </w:r>
                </w:p>
                <w:p w14:paraId="4C4AAB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北：17</w:t>
                  </w:r>
                </w:p>
              </w:tc>
              <w:tc>
                <w:tcPr>
                  <w:tcW w:w="707" w:type="dxa"/>
                  <w:noWrap w:val="0"/>
                  <w:vAlign w:val="center"/>
                </w:tcPr>
                <w:p w14:paraId="003FF5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东：35.4</w:t>
                  </w:r>
                </w:p>
                <w:p w14:paraId="76DE26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南：21.6</w:t>
                  </w:r>
                </w:p>
                <w:p w14:paraId="28F4CB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西：28.4</w:t>
                  </w:r>
                </w:p>
                <w:p w14:paraId="1F99A2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北：35.4</w:t>
                  </w:r>
                </w:p>
              </w:tc>
              <w:tc>
                <w:tcPr>
                  <w:tcW w:w="455" w:type="pct"/>
                  <w:vMerge w:val="continue"/>
                  <w:noWrap w:val="0"/>
                  <w:vAlign w:val="center"/>
                </w:tcPr>
                <w:p w14:paraId="395830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489" w:type="dxa"/>
                  <w:noWrap w:val="0"/>
                  <w:vAlign w:val="center"/>
                </w:tcPr>
                <w:p w14:paraId="7B7E13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734" w:type="dxa"/>
                  <w:noWrap w:val="0"/>
                  <w:vAlign w:val="center"/>
                </w:tcPr>
                <w:p w14:paraId="7539EB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东：15.4</w:t>
                  </w:r>
                </w:p>
                <w:p w14:paraId="6AAFEC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南：1.6</w:t>
                  </w:r>
                </w:p>
                <w:p w14:paraId="57386D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西：8.4</w:t>
                  </w:r>
                </w:p>
                <w:p w14:paraId="2FCCAB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北：15.4</w:t>
                  </w:r>
                </w:p>
              </w:tc>
              <w:tc>
                <w:tcPr>
                  <w:tcW w:w="345" w:type="dxa"/>
                  <w:noWrap w:val="0"/>
                  <w:vAlign w:val="center"/>
                </w:tcPr>
                <w:p w14:paraId="55DAA2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36FA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C330A3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368D0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eastAsia="zh-CN"/>
                    </w:rPr>
                  </w:pPr>
                </w:p>
              </w:tc>
              <w:tc>
                <w:tcPr>
                  <w:tcW w:w="372" w:type="pct"/>
                  <w:noWrap w:val="0"/>
                  <w:vAlign w:val="center"/>
                </w:tcPr>
                <w:p w14:paraId="160A3433">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eastAsia="zh-CN"/>
                    </w:rPr>
                    <w:t>水箱板裁角机</w:t>
                  </w:r>
                </w:p>
              </w:tc>
              <w:tc>
                <w:tcPr>
                  <w:tcW w:w="247" w:type="pct"/>
                  <w:noWrap w:val="0"/>
                  <w:vAlign w:val="center"/>
                </w:tcPr>
                <w:p w14:paraId="4B75A54F">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5EAEC69">
                  <w:pPr>
                    <w:keepNext w:val="0"/>
                    <w:keepLines w:val="0"/>
                    <w:pageBreakBefore w:val="0"/>
                    <w:kinsoku/>
                    <w:wordWrap/>
                    <w:overflowPunct/>
                    <w:topLinePunct w:val="0"/>
                    <w:bidi w:val="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1A7CAFC">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BA9C9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C3F105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36</w:t>
                  </w:r>
                </w:p>
              </w:tc>
              <w:tc>
                <w:tcPr>
                  <w:tcW w:w="269" w:type="pct"/>
                  <w:noWrap w:val="0"/>
                  <w:vAlign w:val="center"/>
                </w:tcPr>
                <w:p w14:paraId="545ACB6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83</w:t>
                  </w:r>
                </w:p>
              </w:tc>
              <w:tc>
                <w:tcPr>
                  <w:tcW w:w="269" w:type="pct"/>
                  <w:noWrap w:val="0"/>
                  <w:vAlign w:val="center"/>
                </w:tcPr>
                <w:p w14:paraId="2AA298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681" w:type="dxa"/>
                  <w:noWrap w:val="0"/>
                  <w:vAlign w:val="center"/>
                </w:tcPr>
                <w:p w14:paraId="04D72B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w:t>
                  </w:r>
                </w:p>
                <w:p w14:paraId="66D4E0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南：83</w:t>
                  </w:r>
                </w:p>
                <w:p w14:paraId="57CE8B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w:t>
                  </w:r>
                </w:p>
                <w:p w14:paraId="12C710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北：17</w:t>
                  </w:r>
                </w:p>
              </w:tc>
              <w:tc>
                <w:tcPr>
                  <w:tcW w:w="707" w:type="dxa"/>
                  <w:noWrap w:val="0"/>
                  <w:vAlign w:val="center"/>
                </w:tcPr>
                <w:p w14:paraId="220AC0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东：34.4</w:t>
                  </w:r>
                </w:p>
                <w:p w14:paraId="4306C2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南：21.6</w:t>
                  </w:r>
                </w:p>
                <w:p w14:paraId="23B21A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西：28.9</w:t>
                  </w:r>
                </w:p>
                <w:p w14:paraId="140068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北：35.4</w:t>
                  </w:r>
                </w:p>
              </w:tc>
              <w:tc>
                <w:tcPr>
                  <w:tcW w:w="455" w:type="pct"/>
                  <w:vMerge w:val="continue"/>
                  <w:noWrap w:val="0"/>
                  <w:vAlign w:val="center"/>
                </w:tcPr>
                <w:p w14:paraId="031E98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489" w:type="dxa"/>
                  <w:noWrap w:val="0"/>
                  <w:vAlign w:val="center"/>
                </w:tcPr>
                <w:p w14:paraId="08F63A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734" w:type="dxa"/>
                  <w:noWrap w:val="0"/>
                  <w:vAlign w:val="center"/>
                </w:tcPr>
                <w:p w14:paraId="006C2A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东：14.4</w:t>
                  </w:r>
                </w:p>
                <w:p w14:paraId="58A1EF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南：1.6</w:t>
                  </w:r>
                </w:p>
                <w:p w14:paraId="4C0F75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西：8.9</w:t>
                  </w:r>
                </w:p>
                <w:p w14:paraId="486D4A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北：15.4</w:t>
                  </w:r>
                </w:p>
              </w:tc>
              <w:tc>
                <w:tcPr>
                  <w:tcW w:w="345" w:type="dxa"/>
                  <w:noWrap w:val="0"/>
                  <w:vAlign w:val="center"/>
                </w:tcPr>
                <w:p w14:paraId="645978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FCFCE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C364FE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BCD52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eastAsia="zh-CN"/>
                    </w:rPr>
                  </w:pPr>
                </w:p>
              </w:tc>
              <w:tc>
                <w:tcPr>
                  <w:tcW w:w="372" w:type="pct"/>
                  <w:noWrap w:val="0"/>
                  <w:vAlign w:val="center"/>
                </w:tcPr>
                <w:p w14:paraId="58D1B656">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eastAsia="zh-CN"/>
                    </w:rPr>
                    <w:t>水箱板冲孔机</w:t>
                  </w:r>
                </w:p>
              </w:tc>
              <w:tc>
                <w:tcPr>
                  <w:tcW w:w="247" w:type="pct"/>
                  <w:noWrap w:val="0"/>
                  <w:vAlign w:val="center"/>
                </w:tcPr>
                <w:p w14:paraId="0F1E1AB1">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44E74FE">
                  <w:pPr>
                    <w:keepNext w:val="0"/>
                    <w:keepLines w:val="0"/>
                    <w:pageBreakBefore w:val="0"/>
                    <w:kinsoku/>
                    <w:wordWrap/>
                    <w:overflowPunct/>
                    <w:topLinePunct w:val="0"/>
                    <w:bidi w:val="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B9F58DB">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00309C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7611DB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34</w:t>
                  </w:r>
                </w:p>
              </w:tc>
              <w:tc>
                <w:tcPr>
                  <w:tcW w:w="269" w:type="pct"/>
                  <w:noWrap w:val="0"/>
                  <w:vAlign w:val="center"/>
                </w:tcPr>
                <w:p w14:paraId="79E5D05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83</w:t>
                  </w:r>
                </w:p>
              </w:tc>
              <w:tc>
                <w:tcPr>
                  <w:tcW w:w="269" w:type="pct"/>
                  <w:noWrap w:val="0"/>
                  <w:vAlign w:val="center"/>
                </w:tcPr>
                <w:p w14:paraId="7DFFF5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681" w:type="dxa"/>
                  <w:noWrap w:val="0"/>
                  <w:vAlign w:val="center"/>
                </w:tcPr>
                <w:p w14:paraId="3A1C2D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东：21</w:t>
                  </w:r>
                </w:p>
                <w:p w14:paraId="2D7D10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南：83</w:t>
                  </w:r>
                </w:p>
                <w:p w14:paraId="3B1F8B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46A3BC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北：17</w:t>
                  </w:r>
                </w:p>
              </w:tc>
              <w:tc>
                <w:tcPr>
                  <w:tcW w:w="707" w:type="dxa"/>
                  <w:noWrap w:val="0"/>
                  <w:vAlign w:val="center"/>
                </w:tcPr>
                <w:p w14:paraId="1663B7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东：33.6</w:t>
                  </w:r>
                </w:p>
                <w:p w14:paraId="0CED90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南：21.6</w:t>
                  </w:r>
                </w:p>
                <w:p w14:paraId="0ED3ED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西：29.4</w:t>
                  </w:r>
                </w:p>
                <w:p w14:paraId="4DDB4C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北：35.4</w:t>
                  </w:r>
                </w:p>
              </w:tc>
              <w:tc>
                <w:tcPr>
                  <w:tcW w:w="455" w:type="pct"/>
                  <w:vMerge w:val="continue"/>
                  <w:noWrap w:val="0"/>
                  <w:vAlign w:val="center"/>
                </w:tcPr>
                <w:p w14:paraId="142331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489" w:type="dxa"/>
                  <w:noWrap w:val="0"/>
                  <w:vAlign w:val="center"/>
                </w:tcPr>
                <w:p w14:paraId="76A301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734" w:type="dxa"/>
                  <w:noWrap w:val="0"/>
                  <w:vAlign w:val="center"/>
                </w:tcPr>
                <w:p w14:paraId="2503AC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东：13.6</w:t>
                  </w:r>
                </w:p>
                <w:p w14:paraId="233F65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南：1.6</w:t>
                  </w:r>
                </w:p>
                <w:p w14:paraId="3618C4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西：9.4</w:t>
                  </w:r>
                </w:p>
                <w:p w14:paraId="7E7053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北：15.4</w:t>
                  </w:r>
                </w:p>
              </w:tc>
              <w:tc>
                <w:tcPr>
                  <w:tcW w:w="345" w:type="dxa"/>
                  <w:noWrap w:val="0"/>
                  <w:vAlign w:val="center"/>
                </w:tcPr>
                <w:p w14:paraId="12944D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0C95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AC818F2">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0311A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eastAsia="zh-CN"/>
                    </w:rPr>
                  </w:pPr>
                </w:p>
              </w:tc>
              <w:tc>
                <w:tcPr>
                  <w:tcW w:w="372" w:type="pct"/>
                  <w:noWrap w:val="0"/>
                  <w:vAlign w:val="center"/>
                </w:tcPr>
                <w:p w14:paraId="7A42BEC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eastAsia="zh-CN"/>
                    </w:rPr>
                    <w:t>水箱板冲孔机</w:t>
                  </w:r>
                </w:p>
              </w:tc>
              <w:tc>
                <w:tcPr>
                  <w:tcW w:w="247" w:type="pct"/>
                  <w:noWrap w:val="0"/>
                  <w:vAlign w:val="center"/>
                </w:tcPr>
                <w:p w14:paraId="1DF89204">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39054A9">
                  <w:pPr>
                    <w:keepNext w:val="0"/>
                    <w:keepLines w:val="0"/>
                    <w:pageBreakBefore w:val="0"/>
                    <w:kinsoku/>
                    <w:wordWrap/>
                    <w:overflowPunct/>
                    <w:topLinePunct w:val="0"/>
                    <w:bidi w:val="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0D44B76">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299717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16B5D6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32</w:t>
                  </w:r>
                </w:p>
              </w:tc>
              <w:tc>
                <w:tcPr>
                  <w:tcW w:w="269" w:type="pct"/>
                  <w:noWrap w:val="0"/>
                  <w:vAlign w:val="center"/>
                </w:tcPr>
                <w:p w14:paraId="1EADA51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83</w:t>
                  </w:r>
                </w:p>
              </w:tc>
              <w:tc>
                <w:tcPr>
                  <w:tcW w:w="269" w:type="pct"/>
                  <w:noWrap w:val="0"/>
                  <w:vAlign w:val="center"/>
                </w:tcPr>
                <w:p w14:paraId="3EA13D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681" w:type="dxa"/>
                  <w:noWrap w:val="0"/>
                  <w:vAlign w:val="center"/>
                </w:tcPr>
                <w:p w14:paraId="4C7682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东：23</w:t>
                  </w:r>
                </w:p>
                <w:p w14:paraId="2A61FE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南：83</w:t>
                  </w:r>
                </w:p>
                <w:p w14:paraId="08F1C5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w:t>
                  </w:r>
                </w:p>
                <w:p w14:paraId="1DEF28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北：17</w:t>
                  </w:r>
                </w:p>
              </w:tc>
              <w:tc>
                <w:tcPr>
                  <w:tcW w:w="707" w:type="dxa"/>
                  <w:noWrap w:val="0"/>
                  <w:vAlign w:val="center"/>
                </w:tcPr>
                <w:p w14:paraId="484FA7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东：32.8</w:t>
                  </w:r>
                </w:p>
                <w:p w14:paraId="714D74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南：21.6</w:t>
                  </w:r>
                </w:p>
                <w:p w14:paraId="0988CA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西：29.9</w:t>
                  </w:r>
                </w:p>
                <w:p w14:paraId="3C9B9B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北：35.4</w:t>
                  </w:r>
                </w:p>
              </w:tc>
              <w:tc>
                <w:tcPr>
                  <w:tcW w:w="455" w:type="pct"/>
                  <w:vMerge w:val="continue"/>
                  <w:noWrap w:val="0"/>
                  <w:vAlign w:val="center"/>
                </w:tcPr>
                <w:p w14:paraId="6E163A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489" w:type="dxa"/>
                  <w:noWrap w:val="0"/>
                  <w:vAlign w:val="center"/>
                </w:tcPr>
                <w:p w14:paraId="6068CA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734" w:type="dxa"/>
                  <w:noWrap w:val="0"/>
                  <w:vAlign w:val="center"/>
                </w:tcPr>
                <w:p w14:paraId="4AD851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东：12.8</w:t>
                  </w:r>
                </w:p>
                <w:p w14:paraId="28B019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南：1.6</w:t>
                  </w:r>
                </w:p>
                <w:p w14:paraId="010EBD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西：9.9</w:t>
                  </w:r>
                </w:p>
                <w:p w14:paraId="300BA8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北：15.4</w:t>
                  </w:r>
                </w:p>
              </w:tc>
              <w:tc>
                <w:tcPr>
                  <w:tcW w:w="345" w:type="dxa"/>
                  <w:noWrap w:val="0"/>
                  <w:vAlign w:val="center"/>
                </w:tcPr>
                <w:p w14:paraId="6B6FEE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43702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28D41CD">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w:t>
                  </w:r>
                </w:p>
              </w:tc>
              <w:tc>
                <w:tcPr>
                  <w:tcW w:w="212" w:type="pct"/>
                  <w:vMerge w:val="continue"/>
                  <w:noWrap w:val="0"/>
                  <w:vAlign w:val="center"/>
                </w:tcPr>
                <w:p w14:paraId="5E0CA5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B9D8F08">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开式可倾压力机</w:t>
                  </w:r>
                </w:p>
              </w:tc>
              <w:tc>
                <w:tcPr>
                  <w:tcW w:w="247" w:type="pct"/>
                  <w:noWrap w:val="0"/>
                  <w:vAlign w:val="center"/>
                </w:tcPr>
                <w:p w14:paraId="1A95D2FB">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7331219">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786DFB34">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5306ED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CFCC97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38</w:t>
                  </w:r>
                </w:p>
              </w:tc>
              <w:tc>
                <w:tcPr>
                  <w:tcW w:w="269" w:type="pct"/>
                  <w:noWrap w:val="0"/>
                  <w:vAlign w:val="center"/>
                </w:tcPr>
                <w:p w14:paraId="378F5D5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75</w:t>
                  </w:r>
                </w:p>
              </w:tc>
              <w:tc>
                <w:tcPr>
                  <w:tcW w:w="269" w:type="pct"/>
                  <w:noWrap w:val="0"/>
                  <w:vAlign w:val="center"/>
                </w:tcPr>
                <w:p w14:paraId="4FFA9A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07" w:type="pct"/>
                  <w:noWrap w:val="0"/>
                  <w:vAlign w:val="center"/>
                </w:tcPr>
                <w:p w14:paraId="312546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东：17</w:t>
                  </w:r>
                </w:p>
                <w:p w14:paraId="018B28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30848E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西：38</w:t>
                  </w:r>
                </w:p>
                <w:p w14:paraId="65133A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北：25</w:t>
                  </w:r>
                </w:p>
              </w:tc>
              <w:tc>
                <w:tcPr>
                  <w:tcW w:w="422" w:type="pct"/>
                  <w:noWrap w:val="0"/>
                  <w:vAlign w:val="center"/>
                </w:tcPr>
                <w:p w14:paraId="06AFB4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东：35.4</w:t>
                  </w:r>
                </w:p>
                <w:p w14:paraId="59347A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南：22.5</w:t>
                  </w:r>
                </w:p>
                <w:p w14:paraId="361C8E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西：28.4</w:t>
                  </w:r>
                </w:p>
                <w:p w14:paraId="1B65F4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北：32</w:t>
                  </w:r>
                </w:p>
              </w:tc>
              <w:tc>
                <w:tcPr>
                  <w:tcW w:w="455" w:type="pct"/>
                  <w:vMerge w:val="continue"/>
                  <w:noWrap w:val="0"/>
                  <w:vAlign w:val="center"/>
                </w:tcPr>
                <w:p w14:paraId="55EE19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4DE9C0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3E512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东：15.4</w:t>
                  </w:r>
                </w:p>
                <w:p w14:paraId="222B94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19AEC6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西：8.4</w:t>
                  </w:r>
                </w:p>
                <w:p w14:paraId="3C633B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北：12</w:t>
                  </w:r>
                </w:p>
              </w:tc>
              <w:tc>
                <w:tcPr>
                  <w:tcW w:w="206" w:type="pct"/>
                  <w:noWrap w:val="0"/>
                  <w:vAlign w:val="center"/>
                </w:tcPr>
                <w:p w14:paraId="6ABFDB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D72A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15C62C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D0458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2E57CA6">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开式可倾压力机</w:t>
                  </w:r>
                </w:p>
              </w:tc>
              <w:tc>
                <w:tcPr>
                  <w:tcW w:w="247" w:type="pct"/>
                  <w:noWrap w:val="0"/>
                  <w:vAlign w:val="center"/>
                </w:tcPr>
                <w:p w14:paraId="2CF6D9D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B4EC36B">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E2FA21C">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00860B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5F3B10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1BD3289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75</w:t>
                  </w:r>
                </w:p>
              </w:tc>
              <w:tc>
                <w:tcPr>
                  <w:tcW w:w="269" w:type="pct"/>
                  <w:noWrap w:val="0"/>
                  <w:vAlign w:val="center"/>
                </w:tcPr>
                <w:p w14:paraId="46E855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07" w:type="pct"/>
                  <w:noWrap w:val="0"/>
                  <w:vAlign w:val="center"/>
                </w:tcPr>
                <w:p w14:paraId="11A221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6840D8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036EF9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7290F8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北：25</w:t>
                  </w:r>
                </w:p>
              </w:tc>
              <w:tc>
                <w:tcPr>
                  <w:tcW w:w="422" w:type="pct"/>
                  <w:noWrap w:val="0"/>
                  <w:vAlign w:val="center"/>
                </w:tcPr>
                <w:p w14:paraId="6133F1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78B5B2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南：22.5</w:t>
                  </w:r>
                </w:p>
                <w:p w14:paraId="1ABCED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485ABB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北：32</w:t>
                  </w:r>
                </w:p>
              </w:tc>
              <w:tc>
                <w:tcPr>
                  <w:tcW w:w="455" w:type="pct"/>
                  <w:vMerge w:val="continue"/>
                  <w:noWrap w:val="0"/>
                  <w:vAlign w:val="center"/>
                </w:tcPr>
                <w:p w14:paraId="0DA868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1B4E97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C2ABB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4FC3E5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060946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2E6B94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北：12</w:t>
                  </w:r>
                </w:p>
              </w:tc>
              <w:tc>
                <w:tcPr>
                  <w:tcW w:w="206" w:type="pct"/>
                  <w:noWrap w:val="0"/>
                  <w:vAlign w:val="center"/>
                </w:tcPr>
                <w:p w14:paraId="20E2B2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2464D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AE9F5D3">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4D6EE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C2C3D9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开式可倾压力机</w:t>
                  </w:r>
                </w:p>
              </w:tc>
              <w:tc>
                <w:tcPr>
                  <w:tcW w:w="247" w:type="pct"/>
                  <w:noWrap w:val="0"/>
                  <w:vAlign w:val="center"/>
                </w:tcPr>
                <w:p w14:paraId="2743DB8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29F47FA">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862C443">
                  <w:pPr>
                    <w:keepNext w:val="0"/>
                    <w:keepLines w:val="0"/>
                    <w:pageBreakBefore w:val="0"/>
                    <w:kinsoku/>
                    <w:wordWrap/>
                    <w:overflowPunct/>
                    <w:topLinePunct w:val="0"/>
                    <w:bidi w:val="0"/>
                    <w:ind w:left="0" w:leftChars="0" w:right="0" w:right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C0148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238169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42</w:t>
                  </w:r>
                </w:p>
              </w:tc>
              <w:tc>
                <w:tcPr>
                  <w:tcW w:w="269" w:type="pct"/>
                  <w:noWrap w:val="0"/>
                  <w:vAlign w:val="center"/>
                </w:tcPr>
                <w:p w14:paraId="07CD137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75</w:t>
                  </w:r>
                </w:p>
              </w:tc>
              <w:tc>
                <w:tcPr>
                  <w:tcW w:w="269" w:type="pct"/>
                  <w:noWrap w:val="0"/>
                  <w:vAlign w:val="center"/>
                </w:tcPr>
                <w:p w14:paraId="26AD65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407" w:type="pct"/>
                  <w:noWrap w:val="0"/>
                  <w:vAlign w:val="center"/>
                </w:tcPr>
                <w:p w14:paraId="4416CE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东：13</w:t>
                  </w:r>
                </w:p>
                <w:p w14:paraId="108FBB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442CEE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西：42</w:t>
                  </w:r>
                </w:p>
                <w:p w14:paraId="65F5F5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北：25</w:t>
                  </w:r>
                </w:p>
              </w:tc>
              <w:tc>
                <w:tcPr>
                  <w:tcW w:w="422" w:type="pct"/>
                  <w:noWrap w:val="0"/>
                  <w:vAlign w:val="center"/>
                </w:tcPr>
                <w:p w14:paraId="31B9A2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东：37.7</w:t>
                  </w:r>
                </w:p>
                <w:p w14:paraId="777558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南：22.5</w:t>
                  </w:r>
                </w:p>
                <w:p w14:paraId="2D9C3B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西：27.5</w:t>
                  </w:r>
                </w:p>
                <w:p w14:paraId="2F5CA2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北：32</w:t>
                  </w:r>
                </w:p>
              </w:tc>
              <w:tc>
                <w:tcPr>
                  <w:tcW w:w="455" w:type="pct"/>
                  <w:vMerge w:val="continue"/>
                  <w:noWrap w:val="0"/>
                  <w:vAlign w:val="center"/>
                </w:tcPr>
                <w:p w14:paraId="0D876D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4A59D1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E1E6A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东：17.7</w:t>
                  </w:r>
                </w:p>
                <w:p w14:paraId="01EBDF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263EE6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西：7.5</w:t>
                  </w:r>
                </w:p>
                <w:p w14:paraId="10960B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北：12</w:t>
                  </w:r>
                </w:p>
              </w:tc>
              <w:tc>
                <w:tcPr>
                  <w:tcW w:w="206" w:type="pct"/>
                  <w:noWrap w:val="0"/>
                  <w:vAlign w:val="center"/>
                </w:tcPr>
                <w:p w14:paraId="718B49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895A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8E811C9">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9</w:t>
                  </w:r>
                </w:p>
              </w:tc>
              <w:tc>
                <w:tcPr>
                  <w:tcW w:w="212" w:type="pct"/>
                  <w:vMerge w:val="continue"/>
                  <w:noWrap w:val="0"/>
                  <w:vAlign w:val="center"/>
                </w:tcPr>
                <w:p w14:paraId="108B69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CCFFB94">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等离子切割机</w:t>
                  </w:r>
                </w:p>
              </w:tc>
              <w:tc>
                <w:tcPr>
                  <w:tcW w:w="247" w:type="pct"/>
                  <w:noWrap w:val="0"/>
                  <w:vAlign w:val="center"/>
                </w:tcPr>
                <w:p w14:paraId="3396AC61">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BCC6AC8">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6A268A61">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5138C5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8BCB4F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3CB9E21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60</w:t>
                  </w:r>
                </w:p>
              </w:tc>
              <w:tc>
                <w:tcPr>
                  <w:tcW w:w="269" w:type="pct"/>
                  <w:noWrap w:val="0"/>
                  <w:vAlign w:val="center"/>
                </w:tcPr>
                <w:p w14:paraId="4952A7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466187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3EB17F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南：60</w:t>
                  </w:r>
                </w:p>
                <w:p w14:paraId="014B8A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07F5B5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北：40</w:t>
                  </w:r>
                </w:p>
              </w:tc>
              <w:tc>
                <w:tcPr>
                  <w:tcW w:w="422" w:type="pct"/>
                  <w:noWrap w:val="0"/>
                  <w:vAlign w:val="center"/>
                </w:tcPr>
                <w:p w14:paraId="25343B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341E60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南：24.4</w:t>
                  </w:r>
                </w:p>
                <w:p w14:paraId="5D292B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742A38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北：28</w:t>
                  </w:r>
                </w:p>
              </w:tc>
              <w:tc>
                <w:tcPr>
                  <w:tcW w:w="455" w:type="pct"/>
                  <w:vMerge w:val="continue"/>
                  <w:noWrap w:val="0"/>
                  <w:vAlign w:val="center"/>
                </w:tcPr>
                <w:p w14:paraId="6D5F14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53DD94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43B24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148B74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南：4.4</w:t>
                  </w:r>
                </w:p>
                <w:p w14:paraId="54938E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454395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eastAsia="宋体"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北：8</w:t>
                  </w:r>
                </w:p>
              </w:tc>
              <w:tc>
                <w:tcPr>
                  <w:tcW w:w="206" w:type="pct"/>
                  <w:noWrap w:val="0"/>
                  <w:vAlign w:val="center"/>
                </w:tcPr>
                <w:p w14:paraId="399D28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394F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E1217C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7FA0D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B009FE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等离子切割机</w:t>
                  </w:r>
                </w:p>
              </w:tc>
              <w:tc>
                <w:tcPr>
                  <w:tcW w:w="247" w:type="pct"/>
                  <w:noWrap w:val="0"/>
                  <w:vAlign w:val="center"/>
                </w:tcPr>
                <w:p w14:paraId="7BB07E2E">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94F2300">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F13BFEF">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7E5C89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624D0A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45</w:t>
                  </w:r>
                </w:p>
              </w:tc>
              <w:tc>
                <w:tcPr>
                  <w:tcW w:w="269" w:type="pct"/>
                  <w:noWrap w:val="0"/>
                  <w:vAlign w:val="center"/>
                </w:tcPr>
                <w:p w14:paraId="3B3A89C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60</w:t>
                  </w:r>
                </w:p>
              </w:tc>
              <w:tc>
                <w:tcPr>
                  <w:tcW w:w="269" w:type="pct"/>
                  <w:noWrap w:val="0"/>
                  <w:vAlign w:val="center"/>
                </w:tcPr>
                <w:p w14:paraId="7EAB40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09A179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0E98B9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南：60</w:t>
                  </w:r>
                </w:p>
                <w:p w14:paraId="43FC10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078A7A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北：40</w:t>
                  </w:r>
                </w:p>
              </w:tc>
              <w:tc>
                <w:tcPr>
                  <w:tcW w:w="422" w:type="pct"/>
                  <w:noWrap w:val="0"/>
                  <w:vAlign w:val="center"/>
                </w:tcPr>
                <w:p w14:paraId="628371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55BF69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南：24.4</w:t>
                  </w:r>
                </w:p>
                <w:p w14:paraId="57EB26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西：26.9</w:t>
                  </w:r>
                </w:p>
                <w:p w14:paraId="785B46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北：28</w:t>
                  </w:r>
                </w:p>
              </w:tc>
              <w:tc>
                <w:tcPr>
                  <w:tcW w:w="455" w:type="pct"/>
                  <w:vMerge w:val="continue"/>
                  <w:noWrap w:val="0"/>
                  <w:vAlign w:val="center"/>
                </w:tcPr>
                <w:p w14:paraId="759D1D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1077D9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EF7C3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423F59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南：4.4</w:t>
                  </w:r>
                </w:p>
                <w:p w14:paraId="5BB2E7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西：6.9</w:t>
                  </w:r>
                </w:p>
                <w:p w14:paraId="2CD00C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w:t>
                  </w:r>
                </w:p>
              </w:tc>
              <w:tc>
                <w:tcPr>
                  <w:tcW w:w="206" w:type="pct"/>
                  <w:noWrap w:val="0"/>
                  <w:vAlign w:val="center"/>
                </w:tcPr>
                <w:p w14:paraId="16A9F6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17C13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2EF9B3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1C4DE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5F3EE96">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等离子切割机</w:t>
                  </w:r>
                </w:p>
              </w:tc>
              <w:tc>
                <w:tcPr>
                  <w:tcW w:w="247" w:type="pct"/>
                  <w:noWrap w:val="0"/>
                  <w:vAlign w:val="center"/>
                </w:tcPr>
                <w:p w14:paraId="25DB52F1">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336A57B">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3E68AA15">
                  <w:pPr>
                    <w:keepNext w:val="0"/>
                    <w:keepLines w:val="0"/>
                    <w:pageBreakBefore w:val="0"/>
                    <w:kinsoku/>
                    <w:wordWrap/>
                    <w:overflowPunct/>
                    <w:topLinePunct w:val="0"/>
                    <w:bidi w:val="0"/>
                    <w:ind w:left="0" w:leftChars="0" w:right="0" w:right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75</w:t>
                  </w:r>
                </w:p>
              </w:tc>
              <w:tc>
                <w:tcPr>
                  <w:tcW w:w="309" w:type="pct"/>
                  <w:vMerge w:val="continue"/>
                  <w:noWrap w:val="0"/>
                  <w:vAlign w:val="center"/>
                </w:tcPr>
                <w:p w14:paraId="47EAF0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74BB4B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50</w:t>
                  </w:r>
                </w:p>
              </w:tc>
              <w:tc>
                <w:tcPr>
                  <w:tcW w:w="269" w:type="pct"/>
                  <w:noWrap w:val="0"/>
                  <w:vAlign w:val="center"/>
                </w:tcPr>
                <w:p w14:paraId="565BC29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60</w:t>
                  </w:r>
                </w:p>
              </w:tc>
              <w:tc>
                <w:tcPr>
                  <w:tcW w:w="269" w:type="pct"/>
                  <w:noWrap w:val="0"/>
                  <w:vAlign w:val="center"/>
                </w:tcPr>
                <w:p w14:paraId="68E9AE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1127FD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w:t>
                  </w:r>
                </w:p>
                <w:p w14:paraId="57AEE9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南：60</w:t>
                  </w:r>
                </w:p>
                <w:p w14:paraId="68AB9A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西：50</w:t>
                  </w:r>
                </w:p>
                <w:p w14:paraId="49FC0A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北：40</w:t>
                  </w:r>
                </w:p>
              </w:tc>
              <w:tc>
                <w:tcPr>
                  <w:tcW w:w="422" w:type="pct"/>
                  <w:noWrap w:val="0"/>
                  <w:vAlign w:val="center"/>
                </w:tcPr>
                <w:p w14:paraId="462A4D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东：46</w:t>
                  </w:r>
                </w:p>
                <w:p w14:paraId="347916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南：24.4</w:t>
                  </w:r>
                </w:p>
                <w:p w14:paraId="2A8D98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w:t>
                  </w:r>
                </w:p>
                <w:p w14:paraId="5223A5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北：28</w:t>
                  </w:r>
                </w:p>
              </w:tc>
              <w:tc>
                <w:tcPr>
                  <w:tcW w:w="455" w:type="pct"/>
                  <w:vMerge w:val="continue"/>
                  <w:noWrap w:val="0"/>
                  <w:vAlign w:val="center"/>
                </w:tcPr>
                <w:p w14:paraId="6860DE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7F158E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75414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东：26</w:t>
                  </w:r>
                </w:p>
                <w:p w14:paraId="7F46CA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南：4.4</w:t>
                  </w:r>
                </w:p>
                <w:p w14:paraId="7BB7DE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w:t>
                  </w:r>
                </w:p>
                <w:p w14:paraId="3DDFD0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w:t>
                  </w:r>
                </w:p>
              </w:tc>
              <w:tc>
                <w:tcPr>
                  <w:tcW w:w="206" w:type="pct"/>
                  <w:noWrap w:val="0"/>
                  <w:vAlign w:val="center"/>
                </w:tcPr>
                <w:p w14:paraId="34A3A9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FAE10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DCE6712">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212" w:type="pct"/>
                  <w:vMerge w:val="continue"/>
                  <w:noWrap w:val="0"/>
                  <w:vAlign w:val="center"/>
                </w:tcPr>
                <w:p w14:paraId="1351C6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F4F3F12">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半自动切割机</w:t>
                  </w:r>
                </w:p>
              </w:tc>
              <w:tc>
                <w:tcPr>
                  <w:tcW w:w="247" w:type="pct"/>
                  <w:noWrap w:val="0"/>
                  <w:vAlign w:val="center"/>
                </w:tcPr>
                <w:p w14:paraId="51B2FD6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A1FC59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07B00C1D">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48F1B3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951B91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11089A3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65</w:t>
                  </w:r>
                </w:p>
              </w:tc>
              <w:tc>
                <w:tcPr>
                  <w:tcW w:w="269" w:type="pct"/>
                  <w:noWrap w:val="0"/>
                  <w:vAlign w:val="center"/>
                </w:tcPr>
                <w:p w14:paraId="025B5C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7CEBD2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76F481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南：65</w:t>
                  </w:r>
                </w:p>
                <w:p w14:paraId="76A98F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2E7674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北：35</w:t>
                  </w:r>
                </w:p>
              </w:tc>
              <w:tc>
                <w:tcPr>
                  <w:tcW w:w="422" w:type="pct"/>
                  <w:noWrap w:val="0"/>
                  <w:vAlign w:val="center"/>
                </w:tcPr>
                <w:p w14:paraId="2AD454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00C0C9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南：23.7</w:t>
                  </w:r>
                </w:p>
                <w:p w14:paraId="05D0AB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1AA1A6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北：29.1</w:t>
                  </w:r>
                </w:p>
              </w:tc>
              <w:tc>
                <w:tcPr>
                  <w:tcW w:w="455" w:type="pct"/>
                  <w:vMerge w:val="continue"/>
                  <w:noWrap w:val="0"/>
                  <w:vAlign w:val="center"/>
                </w:tcPr>
                <w:p w14:paraId="2FE62A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63413B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3B774F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2C46A7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南：3.7</w:t>
                  </w:r>
                </w:p>
                <w:p w14:paraId="485E1E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139658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北：9.1</w:t>
                  </w:r>
                </w:p>
              </w:tc>
              <w:tc>
                <w:tcPr>
                  <w:tcW w:w="206" w:type="pct"/>
                  <w:noWrap w:val="0"/>
                  <w:vAlign w:val="center"/>
                </w:tcPr>
                <w:p w14:paraId="2F8888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3D69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C346BE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8D405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1CFB15C">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半自动切割机</w:t>
                  </w:r>
                </w:p>
              </w:tc>
              <w:tc>
                <w:tcPr>
                  <w:tcW w:w="247" w:type="pct"/>
                  <w:noWrap w:val="0"/>
                  <w:vAlign w:val="center"/>
                </w:tcPr>
                <w:p w14:paraId="1DBE3B0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6BA690C">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1839280">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183E3F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9DB4D3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45</w:t>
                  </w:r>
                </w:p>
              </w:tc>
              <w:tc>
                <w:tcPr>
                  <w:tcW w:w="269" w:type="pct"/>
                  <w:noWrap w:val="0"/>
                  <w:vAlign w:val="center"/>
                </w:tcPr>
                <w:p w14:paraId="42BC9BA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65</w:t>
                  </w:r>
                </w:p>
              </w:tc>
              <w:tc>
                <w:tcPr>
                  <w:tcW w:w="269" w:type="pct"/>
                  <w:noWrap w:val="0"/>
                  <w:vAlign w:val="center"/>
                </w:tcPr>
                <w:p w14:paraId="29AB47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3EFCFD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1B1B0B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南：65</w:t>
                  </w:r>
                </w:p>
                <w:p w14:paraId="1C2FA8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49E8CA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北：35</w:t>
                  </w:r>
                </w:p>
              </w:tc>
              <w:tc>
                <w:tcPr>
                  <w:tcW w:w="422" w:type="pct"/>
                  <w:noWrap w:val="0"/>
                  <w:vAlign w:val="center"/>
                </w:tcPr>
                <w:p w14:paraId="0F53A2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62A9C2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南：23.7</w:t>
                  </w:r>
                </w:p>
                <w:p w14:paraId="32BAEB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西：26.9</w:t>
                  </w:r>
                </w:p>
                <w:p w14:paraId="2C410A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北：29.</w:t>
                  </w:r>
                </w:p>
              </w:tc>
              <w:tc>
                <w:tcPr>
                  <w:tcW w:w="455" w:type="pct"/>
                  <w:vMerge w:val="continue"/>
                  <w:noWrap w:val="0"/>
                  <w:vAlign w:val="center"/>
                </w:tcPr>
                <w:p w14:paraId="035C1B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7888F1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F18E4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3E26ED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南：3.7</w:t>
                  </w:r>
                </w:p>
                <w:p w14:paraId="27F6EE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西：6.9</w:t>
                  </w:r>
                </w:p>
                <w:p w14:paraId="711AE2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北：9</w:t>
                  </w:r>
                </w:p>
              </w:tc>
              <w:tc>
                <w:tcPr>
                  <w:tcW w:w="206" w:type="pct"/>
                  <w:noWrap w:val="0"/>
                  <w:vAlign w:val="center"/>
                </w:tcPr>
                <w:p w14:paraId="29AA02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97DE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C2B58C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11</w:t>
                  </w:r>
                </w:p>
              </w:tc>
              <w:tc>
                <w:tcPr>
                  <w:tcW w:w="212" w:type="pct"/>
                  <w:vMerge w:val="continue"/>
                  <w:noWrap w:val="0"/>
                  <w:vAlign w:val="center"/>
                </w:tcPr>
                <w:p w14:paraId="5DEAC5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B445048">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激光数控切割机</w:t>
                  </w:r>
                </w:p>
              </w:tc>
              <w:tc>
                <w:tcPr>
                  <w:tcW w:w="247" w:type="pct"/>
                  <w:noWrap w:val="0"/>
                  <w:vAlign w:val="center"/>
                </w:tcPr>
                <w:p w14:paraId="7FDA6ED0">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5DA714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328" w:type="pct"/>
                  <w:noWrap w:val="0"/>
                  <w:vAlign w:val="center"/>
                </w:tcPr>
                <w:p w14:paraId="5BA8DFF1">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6B9919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DE8104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50</w:t>
                  </w:r>
                </w:p>
              </w:tc>
              <w:tc>
                <w:tcPr>
                  <w:tcW w:w="269" w:type="pct"/>
                  <w:noWrap w:val="0"/>
                  <w:vAlign w:val="center"/>
                </w:tcPr>
                <w:p w14:paraId="7049B99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65</w:t>
                  </w:r>
                </w:p>
              </w:tc>
              <w:tc>
                <w:tcPr>
                  <w:tcW w:w="269" w:type="pct"/>
                  <w:noWrap w:val="0"/>
                  <w:vAlign w:val="center"/>
                </w:tcPr>
                <w:p w14:paraId="61E05E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21B575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w:t>
                  </w:r>
                </w:p>
                <w:p w14:paraId="05F46D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南：65</w:t>
                  </w:r>
                </w:p>
                <w:p w14:paraId="5597C5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西：50</w:t>
                  </w:r>
                </w:p>
                <w:p w14:paraId="764B8D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北：35</w:t>
                  </w:r>
                </w:p>
              </w:tc>
              <w:tc>
                <w:tcPr>
                  <w:tcW w:w="422" w:type="pct"/>
                  <w:noWrap w:val="0"/>
                  <w:vAlign w:val="center"/>
                </w:tcPr>
                <w:p w14:paraId="0B83C5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东：46</w:t>
                  </w:r>
                </w:p>
                <w:p w14:paraId="1AC67F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南：23.7</w:t>
                  </w:r>
                </w:p>
                <w:p w14:paraId="6B8F99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w:t>
                  </w:r>
                </w:p>
                <w:p w14:paraId="342446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北：29.</w:t>
                  </w:r>
                </w:p>
              </w:tc>
              <w:tc>
                <w:tcPr>
                  <w:tcW w:w="455" w:type="pct"/>
                  <w:vMerge w:val="continue"/>
                  <w:noWrap w:val="0"/>
                  <w:vAlign w:val="center"/>
                </w:tcPr>
                <w:p w14:paraId="25DEE9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4BF2C9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2C995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东：26</w:t>
                  </w:r>
                </w:p>
                <w:p w14:paraId="4AEF69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南：3.7</w:t>
                  </w:r>
                </w:p>
                <w:p w14:paraId="50642F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w:t>
                  </w:r>
                </w:p>
                <w:p w14:paraId="3B4ED5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北：9</w:t>
                  </w:r>
                </w:p>
              </w:tc>
              <w:tc>
                <w:tcPr>
                  <w:tcW w:w="206" w:type="pct"/>
                  <w:noWrap w:val="0"/>
                  <w:vAlign w:val="center"/>
                </w:tcPr>
                <w:p w14:paraId="28084E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FA40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5C6055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212" w:type="pct"/>
                  <w:vMerge w:val="continue"/>
                  <w:noWrap w:val="0"/>
                  <w:vAlign w:val="center"/>
                </w:tcPr>
                <w:p w14:paraId="004444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D3DC20F">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自动刨边机</w:t>
                  </w:r>
                </w:p>
              </w:tc>
              <w:tc>
                <w:tcPr>
                  <w:tcW w:w="247" w:type="pct"/>
                  <w:noWrap w:val="0"/>
                  <w:vAlign w:val="center"/>
                </w:tcPr>
                <w:p w14:paraId="417CC7F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813C20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328" w:type="pct"/>
                  <w:noWrap w:val="0"/>
                  <w:vAlign w:val="center"/>
                </w:tcPr>
                <w:p w14:paraId="02D77E53">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69D47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B805CC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45</w:t>
                  </w:r>
                </w:p>
              </w:tc>
              <w:tc>
                <w:tcPr>
                  <w:tcW w:w="269" w:type="pct"/>
                  <w:noWrap w:val="0"/>
                  <w:vAlign w:val="center"/>
                </w:tcPr>
                <w:p w14:paraId="3CA03D9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50</w:t>
                  </w:r>
                </w:p>
              </w:tc>
              <w:tc>
                <w:tcPr>
                  <w:tcW w:w="269" w:type="pct"/>
                  <w:noWrap w:val="0"/>
                  <w:vAlign w:val="center"/>
                </w:tcPr>
                <w:p w14:paraId="1F9C79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C63BF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6B4FA4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101499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37F418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北：50</w:t>
                  </w:r>
                </w:p>
              </w:tc>
              <w:tc>
                <w:tcPr>
                  <w:tcW w:w="422" w:type="pct"/>
                  <w:noWrap w:val="0"/>
                  <w:vAlign w:val="center"/>
                </w:tcPr>
                <w:p w14:paraId="3656A2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565EF6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w:t>
                  </w:r>
                </w:p>
                <w:p w14:paraId="0BBD56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西：26.9</w:t>
                  </w:r>
                </w:p>
                <w:p w14:paraId="04E6D8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北：26</w:t>
                  </w:r>
                </w:p>
              </w:tc>
              <w:tc>
                <w:tcPr>
                  <w:tcW w:w="455" w:type="pct"/>
                  <w:vMerge w:val="continue"/>
                  <w:noWrap w:val="0"/>
                  <w:vAlign w:val="center"/>
                </w:tcPr>
                <w:p w14:paraId="3D338A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11BAA6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7F7D4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6BEE3F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7C1029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西：6.9</w:t>
                  </w:r>
                </w:p>
                <w:p w14:paraId="77AFC9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北：6</w:t>
                  </w:r>
                </w:p>
              </w:tc>
              <w:tc>
                <w:tcPr>
                  <w:tcW w:w="206" w:type="pct"/>
                  <w:noWrap w:val="0"/>
                  <w:vAlign w:val="center"/>
                </w:tcPr>
                <w:p w14:paraId="08BA7A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36AD81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693B98D">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13</w:t>
                  </w:r>
                </w:p>
              </w:tc>
              <w:tc>
                <w:tcPr>
                  <w:tcW w:w="212" w:type="pct"/>
                  <w:vMerge w:val="continue"/>
                  <w:noWrap w:val="0"/>
                  <w:vAlign w:val="center"/>
                </w:tcPr>
                <w:p w14:paraId="5D8B41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049B912">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半自动火焰切割机</w:t>
                  </w:r>
                </w:p>
              </w:tc>
              <w:tc>
                <w:tcPr>
                  <w:tcW w:w="247" w:type="pct"/>
                  <w:noWrap w:val="0"/>
                  <w:vAlign w:val="center"/>
                </w:tcPr>
                <w:p w14:paraId="6279DF8D">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A9F4A1E">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1</w:t>
                  </w:r>
                </w:p>
              </w:tc>
              <w:tc>
                <w:tcPr>
                  <w:tcW w:w="328" w:type="pct"/>
                  <w:noWrap w:val="0"/>
                  <w:vAlign w:val="center"/>
                </w:tcPr>
                <w:p w14:paraId="432760A9">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D7205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0BB65C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42</w:t>
                  </w:r>
                </w:p>
              </w:tc>
              <w:tc>
                <w:tcPr>
                  <w:tcW w:w="269" w:type="pct"/>
                  <w:noWrap w:val="0"/>
                  <w:vAlign w:val="center"/>
                </w:tcPr>
                <w:p w14:paraId="7FEF638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50</w:t>
                  </w:r>
                </w:p>
              </w:tc>
              <w:tc>
                <w:tcPr>
                  <w:tcW w:w="269" w:type="pct"/>
                  <w:noWrap w:val="0"/>
                  <w:vAlign w:val="center"/>
                </w:tcPr>
                <w:p w14:paraId="7B6D62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6A8E8F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东：13</w:t>
                  </w:r>
                </w:p>
                <w:p w14:paraId="0C8E4D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77C58F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西：42</w:t>
                  </w:r>
                </w:p>
                <w:p w14:paraId="23E4FF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北：50</w:t>
                  </w:r>
                </w:p>
              </w:tc>
              <w:tc>
                <w:tcPr>
                  <w:tcW w:w="422" w:type="pct"/>
                  <w:noWrap w:val="0"/>
                  <w:vAlign w:val="center"/>
                </w:tcPr>
                <w:p w14:paraId="03E270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东：37.7</w:t>
                  </w:r>
                </w:p>
                <w:p w14:paraId="080CE2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w:t>
                  </w:r>
                </w:p>
                <w:p w14:paraId="11C7EF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西：27.5</w:t>
                  </w:r>
                </w:p>
                <w:p w14:paraId="493914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北：26</w:t>
                  </w:r>
                </w:p>
              </w:tc>
              <w:tc>
                <w:tcPr>
                  <w:tcW w:w="455" w:type="pct"/>
                  <w:vMerge w:val="continue"/>
                  <w:noWrap w:val="0"/>
                  <w:vAlign w:val="center"/>
                </w:tcPr>
                <w:p w14:paraId="76EEC7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784ECD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C3EA7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东：17.7</w:t>
                  </w:r>
                </w:p>
                <w:p w14:paraId="702504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4CDF8D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西：7.5</w:t>
                  </w:r>
                </w:p>
                <w:p w14:paraId="0991DC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北：6</w:t>
                  </w:r>
                </w:p>
              </w:tc>
              <w:tc>
                <w:tcPr>
                  <w:tcW w:w="206" w:type="pct"/>
                  <w:noWrap w:val="0"/>
                  <w:vAlign w:val="center"/>
                </w:tcPr>
                <w:p w14:paraId="4E1D95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D1FF6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65268E9">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CDE0D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524DCEB">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半自动火焰切割机</w:t>
                  </w:r>
                </w:p>
              </w:tc>
              <w:tc>
                <w:tcPr>
                  <w:tcW w:w="247" w:type="pct"/>
                  <w:noWrap w:val="0"/>
                  <w:vAlign w:val="center"/>
                </w:tcPr>
                <w:p w14:paraId="7993DEA6">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D060168">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5564FDB5">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FD738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718DA4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2BA9FCC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50</w:t>
                  </w:r>
                </w:p>
              </w:tc>
              <w:tc>
                <w:tcPr>
                  <w:tcW w:w="269" w:type="pct"/>
                  <w:noWrap w:val="0"/>
                  <w:vAlign w:val="center"/>
                </w:tcPr>
                <w:p w14:paraId="756299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7C8BF0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7BB459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467821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7494B0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北：50</w:t>
                  </w:r>
                </w:p>
              </w:tc>
              <w:tc>
                <w:tcPr>
                  <w:tcW w:w="422" w:type="pct"/>
                  <w:noWrap w:val="0"/>
                  <w:vAlign w:val="center"/>
                </w:tcPr>
                <w:p w14:paraId="50CC8B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6992B3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w:t>
                  </w:r>
                </w:p>
                <w:p w14:paraId="6BFEB6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365918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北：26</w:t>
                  </w:r>
                </w:p>
              </w:tc>
              <w:tc>
                <w:tcPr>
                  <w:tcW w:w="455" w:type="pct"/>
                  <w:vMerge w:val="continue"/>
                  <w:noWrap w:val="0"/>
                  <w:vAlign w:val="center"/>
                </w:tcPr>
                <w:p w14:paraId="330667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314DE8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401FC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71CB7A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34EC42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543F09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w:t>
                  </w:r>
                </w:p>
              </w:tc>
              <w:tc>
                <w:tcPr>
                  <w:tcW w:w="206" w:type="pct"/>
                  <w:noWrap w:val="0"/>
                  <w:vAlign w:val="center"/>
                </w:tcPr>
                <w:p w14:paraId="5775CE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86EFB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159038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14</w:t>
                  </w:r>
                </w:p>
              </w:tc>
              <w:tc>
                <w:tcPr>
                  <w:tcW w:w="212" w:type="pct"/>
                  <w:vMerge w:val="continue"/>
                  <w:noWrap w:val="0"/>
                  <w:vAlign w:val="center"/>
                </w:tcPr>
                <w:p w14:paraId="56095C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745E64A">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半自动火焰切割机</w:t>
                  </w:r>
                </w:p>
              </w:tc>
              <w:tc>
                <w:tcPr>
                  <w:tcW w:w="247" w:type="pct"/>
                  <w:noWrap w:val="0"/>
                  <w:vAlign w:val="center"/>
                </w:tcPr>
                <w:p w14:paraId="2B40B5C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D2E9B87">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4E234CEE">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3A574E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74A421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7784026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48</w:t>
                  </w:r>
                </w:p>
              </w:tc>
              <w:tc>
                <w:tcPr>
                  <w:tcW w:w="269" w:type="pct"/>
                  <w:noWrap w:val="0"/>
                  <w:vAlign w:val="center"/>
                </w:tcPr>
                <w:p w14:paraId="123C9B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092442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3DA32D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南：48</w:t>
                  </w:r>
                </w:p>
                <w:p w14:paraId="3607A8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773E0F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北：52</w:t>
                  </w:r>
                </w:p>
              </w:tc>
              <w:tc>
                <w:tcPr>
                  <w:tcW w:w="422" w:type="pct"/>
                  <w:noWrap w:val="0"/>
                  <w:vAlign w:val="center"/>
                </w:tcPr>
                <w:p w14:paraId="7DB874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1A0D51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南：26.4</w:t>
                  </w:r>
                </w:p>
                <w:p w14:paraId="59D650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7C7ED8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北：25.7</w:t>
                  </w:r>
                </w:p>
              </w:tc>
              <w:tc>
                <w:tcPr>
                  <w:tcW w:w="455" w:type="pct"/>
                  <w:vMerge w:val="continue"/>
                  <w:noWrap w:val="0"/>
                  <w:vAlign w:val="center"/>
                </w:tcPr>
                <w:p w14:paraId="6BE821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1B4E37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0B671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0C5B70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南：6.4</w:t>
                  </w:r>
                </w:p>
                <w:p w14:paraId="7E34FE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70D7D1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北：5.7</w:t>
                  </w:r>
                </w:p>
              </w:tc>
              <w:tc>
                <w:tcPr>
                  <w:tcW w:w="206" w:type="pct"/>
                  <w:noWrap w:val="0"/>
                  <w:vAlign w:val="center"/>
                </w:tcPr>
                <w:p w14:paraId="5A71DB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F5329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1BE9A8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212" w:type="pct"/>
                  <w:vMerge w:val="continue"/>
                  <w:noWrap w:val="0"/>
                  <w:vAlign w:val="center"/>
                </w:tcPr>
                <w:p w14:paraId="644113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F3496FB">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金属带锯床</w:t>
                  </w:r>
                </w:p>
              </w:tc>
              <w:tc>
                <w:tcPr>
                  <w:tcW w:w="247" w:type="pct"/>
                  <w:noWrap w:val="0"/>
                  <w:vAlign w:val="center"/>
                </w:tcPr>
                <w:p w14:paraId="264ACC85">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0037BA7">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6D1F6065">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noWrap w:val="0"/>
                  <w:vAlign w:val="center"/>
                </w:tcPr>
                <w:p w14:paraId="0F8880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54B716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w:t>
                  </w:r>
                </w:p>
              </w:tc>
              <w:tc>
                <w:tcPr>
                  <w:tcW w:w="269" w:type="pct"/>
                  <w:noWrap w:val="0"/>
                  <w:vAlign w:val="center"/>
                </w:tcPr>
                <w:p w14:paraId="257659C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95</w:t>
                  </w:r>
                </w:p>
              </w:tc>
              <w:tc>
                <w:tcPr>
                  <w:tcW w:w="269" w:type="pct"/>
                  <w:noWrap w:val="0"/>
                  <w:vAlign w:val="center"/>
                </w:tcPr>
                <w:p w14:paraId="1ECD9F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225256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东：50</w:t>
                  </w:r>
                </w:p>
                <w:p w14:paraId="6FAFBC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南：95</w:t>
                  </w:r>
                </w:p>
                <w:p w14:paraId="6A01AC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w:t>
                  </w:r>
                </w:p>
                <w:p w14:paraId="78C258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w:t>
                  </w:r>
                </w:p>
              </w:tc>
              <w:tc>
                <w:tcPr>
                  <w:tcW w:w="422" w:type="pct"/>
                  <w:noWrap w:val="0"/>
                  <w:vAlign w:val="center"/>
                </w:tcPr>
                <w:p w14:paraId="16879E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w:t>
                  </w:r>
                </w:p>
                <w:p w14:paraId="3328A1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南：30.4</w:t>
                  </w:r>
                </w:p>
                <w:p w14:paraId="7AFC39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西：56</w:t>
                  </w:r>
                </w:p>
                <w:p w14:paraId="27001C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北：56</w:t>
                  </w:r>
                </w:p>
              </w:tc>
              <w:tc>
                <w:tcPr>
                  <w:tcW w:w="455" w:type="pct"/>
                  <w:vMerge w:val="continue"/>
                  <w:noWrap w:val="0"/>
                  <w:vAlign w:val="center"/>
                </w:tcPr>
                <w:p w14:paraId="14D09D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51B442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03750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w:t>
                  </w:r>
                </w:p>
                <w:p w14:paraId="0F0CC1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南：10.4</w:t>
                  </w:r>
                </w:p>
                <w:p w14:paraId="284989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w:t>
                  </w:r>
                </w:p>
                <w:p w14:paraId="3A07E9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北：36</w:t>
                  </w:r>
                </w:p>
              </w:tc>
              <w:tc>
                <w:tcPr>
                  <w:tcW w:w="206" w:type="pct"/>
                  <w:noWrap w:val="0"/>
                  <w:vAlign w:val="center"/>
                </w:tcPr>
                <w:p w14:paraId="6F6620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FDF8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23BA92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BA3F4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52FBCDB">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金属带锯床</w:t>
                  </w:r>
                </w:p>
              </w:tc>
              <w:tc>
                <w:tcPr>
                  <w:tcW w:w="247" w:type="pct"/>
                  <w:noWrap w:val="0"/>
                  <w:vAlign w:val="center"/>
                </w:tcPr>
                <w:p w14:paraId="42B2B8F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39231B6">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90580D6">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noWrap w:val="0"/>
                  <w:vAlign w:val="center"/>
                </w:tcPr>
                <w:p w14:paraId="291544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2E2CAC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w:t>
                  </w:r>
                </w:p>
              </w:tc>
              <w:tc>
                <w:tcPr>
                  <w:tcW w:w="269" w:type="pct"/>
                  <w:noWrap w:val="0"/>
                  <w:vAlign w:val="center"/>
                </w:tcPr>
                <w:p w14:paraId="71D91E4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92</w:t>
                  </w:r>
                </w:p>
              </w:tc>
              <w:tc>
                <w:tcPr>
                  <w:tcW w:w="269" w:type="pct"/>
                  <w:noWrap w:val="0"/>
                  <w:vAlign w:val="center"/>
                </w:tcPr>
                <w:p w14:paraId="4D83A6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429852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东：50</w:t>
                  </w:r>
                </w:p>
                <w:p w14:paraId="2D8B72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南：92</w:t>
                  </w:r>
                </w:p>
                <w:p w14:paraId="3C7007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w:t>
                  </w:r>
                </w:p>
                <w:p w14:paraId="6944C3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w:t>
                  </w:r>
                </w:p>
              </w:tc>
              <w:tc>
                <w:tcPr>
                  <w:tcW w:w="422" w:type="pct"/>
                  <w:noWrap w:val="0"/>
                  <w:vAlign w:val="center"/>
                </w:tcPr>
                <w:p w14:paraId="670B1B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w:t>
                  </w:r>
                </w:p>
                <w:p w14:paraId="258926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南：30.7</w:t>
                  </w:r>
                </w:p>
                <w:p w14:paraId="64B246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西：56</w:t>
                  </w:r>
                </w:p>
                <w:p w14:paraId="3BA0F1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北：51.9</w:t>
                  </w:r>
                </w:p>
              </w:tc>
              <w:tc>
                <w:tcPr>
                  <w:tcW w:w="455" w:type="pct"/>
                  <w:vMerge w:val="continue"/>
                  <w:noWrap w:val="0"/>
                  <w:vAlign w:val="center"/>
                </w:tcPr>
                <w:p w14:paraId="314818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159FC2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51F72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w:t>
                  </w:r>
                </w:p>
                <w:p w14:paraId="48172C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南：10.7</w:t>
                  </w:r>
                </w:p>
                <w:p w14:paraId="6E3D77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w:t>
                  </w:r>
                </w:p>
                <w:p w14:paraId="49B2B5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北：31.9</w:t>
                  </w:r>
                </w:p>
              </w:tc>
              <w:tc>
                <w:tcPr>
                  <w:tcW w:w="206" w:type="pct"/>
                  <w:noWrap w:val="0"/>
                  <w:vAlign w:val="center"/>
                </w:tcPr>
                <w:p w14:paraId="1877CF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8AA5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B54DF1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4586F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AB5231B">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金属带锯床</w:t>
                  </w:r>
                </w:p>
              </w:tc>
              <w:tc>
                <w:tcPr>
                  <w:tcW w:w="247" w:type="pct"/>
                  <w:noWrap w:val="0"/>
                  <w:vAlign w:val="center"/>
                </w:tcPr>
                <w:p w14:paraId="6DBB7649">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6A260B6">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DB687FB">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noWrap w:val="0"/>
                  <w:vAlign w:val="center"/>
                </w:tcPr>
                <w:p w14:paraId="29F4FB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B6E42E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w:t>
                  </w:r>
                </w:p>
              </w:tc>
              <w:tc>
                <w:tcPr>
                  <w:tcW w:w="269" w:type="pct"/>
                  <w:noWrap w:val="0"/>
                  <w:vAlign w:val="center"/>
                </w:tcPr>
                <w:p w14:paraId="5BC859A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89</w:t>
                  </w:r>
                </w:p>
              </w:tc>
              <w:tc>
                <w:tcPr>
                  <w:tcW w:w="269" w:type="pct"/>
                  <w:noWrap w:val="0"/>
                  <w:vAlign w:val="center"/>
                </w:tcPr>
                <w:p w14:paraId="302174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22D991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东：50</w:t>
                  </w:r>
                </w:p>
                <w:p w14:paraId="332B57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南：89</w:t>
                  </w:r>
                </w:p>
                <w:p w14:paraId="20ECDA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w:t>
                  </w:r>
                </w:p>
                <w:p w14:paraId="2C55B7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北：11</w:t>
                  </w:r>
                </w:p>
              </w:tc>
              <w:tc>
                <w:tcPr>
                  <w:tcW w:w="422" w:type="pct"/>
                  <w:noWrap w:val="0"/>
                  <w:vAlign w:val="center"/>
                </w:tcPr>
                <w:p w14:paraId="7C8EF3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w:t>
                  </w:r>
                </w:p>
                <w:p w14:paraId="29EC69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w:t>
                  </w:r>
                </w:p>
                <w:p w14:paraId="1B839C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西：56</w:t>
                  </w:r>
                </w:p>
                <w:p w14:paraId="4C94F1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北：49.2</w:t>
                  </w:r>
                </w:p>
              </w:tc>
              <w:tc>
                <w:tcPr>
                  <w:tcW w:w="455" w:type="pct"/>
                  <w:vMerge w:val="continue"/>
                  <w:noWrap w:val="0"/>
                  <w:vAlign w:val="center"/>
                </w:tcPr>
                <w:p w14:paraId="5748DB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425EE2E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7ADFE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w:t>
                  </w:r>
                </w:p>
                <w:p w14:paraId="0E9C4F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w:t>
                  </w:r>
                </w:p>
                <w:p w14:paraId="0C541C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w:t>
                  </w:r>
                </w:p>
                <w:p w14:paraId="507C64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北：29.2</w:t>
                  </w:r>
                </w:p>
              </w:tc>
              <w:tc>
                <w:tcPr>
                  <w:tcW w:w="206" w:type="pct"/>
                  <w:noWrap w:val="0"/>
                  <w:vAlign w:val="center"/>
                </w:tcPr>
                <w:p w14:paraId="1D0257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4BF9C6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6EE112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2A11D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F9D608B">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金属带锯床</w:t>
                  </w:r>
                </w:p>
              </w:tc>
              <w:tc>
                <w:tcPr>
                  <w:tcW w:w="247" w:type="pct"/>
                  <w:noWrap w:val="0"/>
                  <w:vAlign w:val="center"/>
                </w:tcPr>
                <w:p w14:paraId="0D9B714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46B9265">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290F5C6">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noWrap w:val="0"/>
                  <w:vAlign w:val="center"/>
                </w:tcPr>
                <w:p w14:paraId="6877CE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0889D1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w:t>
                  </w:r>
                </w:p>
              </w:tc>
              <w:tc>
                <w:tcPr>
                  <w:tcW w:w="269" w:type="pct"/>
                  <w:noWrap w:val="0"/>
                  <w:vAlign w:val="center"/>
                </w:tcPr>
                <w:p w14:paraId="1C25CA1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86</w:t>
                  </w:r>
                </w:p>
              </w:tc>
              <w:tc>
                <w:tcPr>
                  <w:tcW w:w="269" w:type="pct"/>
                  <w:noWrap w:val="0"/>
                  <w:vAlign w:val="center"/>
                </w:tcPr>
                <w:p w14:paraId="66E19B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0CD6B3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东：50</w:t>
                  </w:r>
                </w:p>
                <w:p w14:paraId="2F9EDC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南：86</w:t>
                  </w:r>
                </w:p>
                <w:p w14:paraId="17A7AA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w:t>
                  </w:r>
                </w:p>
                <w:p w14:paraId="1B301F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北：14</w:t>
                  </w:r>
                </w:p>
              </w:tc>
              <w:tc>
                <w:tcPr>
                  <w:tcW w:w="422" w:type="pct"/>
                  <w:noWrap w:val="0"/>
                  <w:vAlign w:val="center"/>
                </w:tcPr>
                <w:p w14:paraId="7169AA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w:t>
                  </w:r>
                </w:p>
                <w:p w14:paraId="73ADAE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南：31.3</w:t>
                  </w:r>
                </w:p>
                <w:p w14:paraId="4A5E72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西：56</w:t>
                  </w:r>
                </w:p>
                <w:p w14:paraId="3697EE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北：47.1</w:t>
                  </w:r>
                </w:p>
              </w:tc>
              <w:tc>
                <w:tcPr>
                  <w:tcW w:w="455" w:type="pct"/>
                  <w:vMerge w:val="continue"/>
                  <w:noWrap w:val="0"/>
                  <w:vAlign w:val="center"/>
                </w:tcPr>
                <w:p w14:paraId="77E0E3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p>
              </w:tc>
              <w:tc>
                <w:tcPr>
                  <w:tcW w:w="292" w:type="pct"/>
                  <w:noWrap w:val="0"/>
                  <w:vAlign w:val="center"/>
                </w:tcPr>
                <w:p w14:paraId="25CDC7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3EF671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w:t>
                  </w:r>
                </w:p>
                <w:p w14:paraId="18BD0C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南：11.3</w:t>
                  </w:r>
                </w:p>
                <w:p w14:paraId="2EAB89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w:t>
                  </w:r>
                </w:p>
                <w:p w14:paraId="7432E5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北：27.1</w:t>
                  </w:r>
                </w:p>
              </w:tc>
              <w:tc>
                <w:tcPr>
                  <w:tcW w:w="206" w:type="pct"/>
                  <w:noWrap w:val="0"/>
                  <w:vAlign w:val="center"/>
                </w:tcPr>
                <w:p w14:paraId="476703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F598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4D23FC2">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28</w:t>
                  </w:r>
                </w:p>
              </w:tc>
              <w:tc>
                <w:tcPr>
                  <w:tcW w:w="212" w:type="pct"/>
                  <w:vMerge w:val="continue"/>
                  <w:noWrap w:val="0"/>
                  <w:vAlign w:val="center"/>
                </w:tcPr>
                <w:p w14:paraId="5A6367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p>
              </w:tc>
              <w:tc>
                <w:tcPr>
                  <w:tcW w:w="372" w:type="pct"/>
                  <w:noWrap w:val="0"/>
                  <w:vAlign w:val="center"/>
                </w:tcPr>
                <w:p w14:paraId="47FD047B">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电动试压泵</w:t>
                  </w:r>
                </w:p>
              </w:tc>
              <w:tc>
                <w:tcPr>
                  <w:tcW w:w="247" w:type="pct"/>
                  <w:noWrap w:val="0"/>
                  <w:vAlign w:val="center"/>
                </w:tcPr>
                <w:p w14:paraId="7C22CDE5">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3E707F6">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4B243E7B">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6175D2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6EAEF1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26</w:t>
                  </w:r>
                </w:p>
              </w:tc>
              <w:tc>
                <w:tcPr>
                  <w:tcW w:w="269" w:type="pct"/>
                  <w:noWrap w:val="0"/>
                  <w:vAlign w:val="center"/>
                </w:tcPr>
                <w:p w14:paraId="5BB7AF6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35</w:t>
                  </w:r>
                </w:p>
              </w:tc>
              <w:tc>
                <w:tcPr>
                  <w:tcW w:w="269" w:type="pct"/>
                  <w:noWrap w:val="0"/>
                  <w:vAlign w:val="center"/>
                </w:tcPr>
                <w:p w14:paraId="582C9C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791084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w:t>
                  </w:r>
                </w:p>
                <w:p w14:paraId="10D209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w:t>
                  </w:r>
                </w:p>
                <w:p w14:paraId="0F5337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w:t>
                  </w:r>
                </w:p>
                <w:p w14:paraId="17303D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北：65</w:t>
                  </w:r>
                </w:p>
              </w:tc>
              <w:tc>
                <w:tcPr>
                  <w:tcW w:w="422" w:type="pct"/>
                  <w:noWrap w:val="0"/>
                  <w:vAlign w:val="center"/>
                </w:tcPr>
                <w:p w14:paraId="3C5F08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东：35.8</w:t>
                  </w:r>
                </w:p>
                <w:p w14:paraId="11F746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南：34.1</w:t>
                  </w:r>
                </w:p>
                <w:p w14:paraId="21AEF2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西：36.7</w:t>
                  </w:r>
                </w:p>
                <w:p w14:paraId="7930A6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北：28.7</w:t>
                  </w:r>
                </w:p>
              </w:tc>
              <w:tc>
                <w:tcPr>
                  <w:tcW w:w="455" w:type="pct"/>
                  <w:vMerge w:val="continue"/>
                  <w:noWrap w:val="0"/>
                  <w:vAlign w:val="center"/>
                </w:tcPr>
                <w:p w14:paraId="1D68CE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p>
              </w:tc>
              <w:tc>
                <w:tcPr>
                  <w:tcW w:w="292" w:type="pct"/>
                  <w:noWrap w:val="0"/>
                  <w:vAlign w:val="center"/>
                </w:tcPr>
                <w:p w14:paraId="4CC8A6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B3802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东：15.8</w:t>
                  </w:r>
                </w:p>
                <w:p w14:paraId="52C979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南：14.1</w:t>
                  </w:r>
                </w:p>
                <w:p w14:paraId="2AC87A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西：16.7</w:t>
                  </w:r>
                </w:p>
                <w:p w14:paraId="4A1881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z w:val="18"/>
                      <w:szCs w:val="18"/>
                      <w:highlight w:val="none"/>
                      <w:lang w:val="en-US" w:eastAsia="zh-CN"/>
                    </w:rPr>
                    <w:t>北：8.7</w:t>
                  </w:r>
                </w:p>
              </w:tc>
              <w:tc>
                <w:tcPr>
                  <w:tcW w:w="206" w:type="pct"/>
                  <w:noWrap w:val="0"/>
                  <w:vAlign w:val="center"/>
                </w:tcPr>
                <w:p w14:paraId="03748F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3D525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FA97E6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CC4B6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p>
              </w:tc>
              <w:tc>
                <w:tcPr>
                  <w:tcW w:w="372" w:type="pct"/>
                  <w:noWrap w:val="0"/>
                  <w:vAlign w:val="center"/>
                </w:tcPr>
                <w:p w14:paraId="6FFDACB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电动试压泵</w:t>
                  </w:r>
                </w:p>
              </w:tc>
              <w:tc>
                <w:tcPr>
                  <w:tcW w:w="247" w:type="pct"/>
                  <w:noWrap w:val="0"/>
                  <w:vAlign w:val="center"/>
                </w:tcPr>
                <w:p w14:paraId="50B6537E">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A83EB99">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5A9AA1A">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40C1D0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E581AA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26</w:t>
                  </w:r>
                </w:p>
              </w:tc>
              <w:tc>
                <w:tcPr>
                  <w:tcW w:w="269" w:type="pct"/>
                  <w:noWrap w:val="0"/>
                  <w:vAlign w:val="center"/>
                </w:tcPr>
                <w:p w14:paraId="1E06FF4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33</w:t>
                  </w:r>
                </w:p>
              </w:tc>
              <w:tc>
                <w:tcPr>
                  <w:tcW w:w="269" w:type="pct"/>
                  <w:noWrap w:val="0"/>
                  <w:vAlign w:val="center"/>
                </w:tcPr>
                <w:p w14:paraId="4899DC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1A60BD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w:t>
                  </w:r>
                </w:p>
                <w:p w14:paraId="15C336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南：33</w:t>
                  </w:r>
                </w:p>
                <w:p w14:paraId="63B8AC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w:t>
                  </w:r>
                </w:p>
                <w:p w14:paraId="360ADC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北：67</w:t>
                  </w:r>
                </w:p>
              </w:tc>
              <w:tc>
                <w:tcPr>
                  <w:tcW w:w="422" w:type="pct"/>
                  <w:noWrap w:val="0"/>
                  <w:vAlign w:val="center"/>
                </w:tcPr>
                <w:p w14:paraId="28CD66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东：35.8</w:t>
                  </w:r>
                </w:p>
                <w:p w14:paraId="528E19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南：34.6</w:t>
                  </w:r>
                </w:p>
                <w:p w14:paraId="4DFE90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西：36.7</w:t>
                  </w:r>
                </w:p>
                <w:p w14:paraId="4F9AA8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北：28.5</w:t>
                  </w:r>
                </w:p>
              </w:tc>
              <w:tc>
                <w:tcPr>
                  <w:tcW w:w="455" w:type="pct"/>
                  <w:vMerge w:val="continue"/>
                  <w:noWrap w:val="0"/>
                  <w:vAlign w:val="center"/>
                </w:tcPr>
                <w:p w14:paraId="74DCF8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p>
              </w:tc>
              <w:tc>
                <w:tcPr>
                  <w:tcW w:w="292" w:type="pct"/>
                  <w:noWrap w:val="0"/>
                  <w:vAlign w:val="center"/>
                </w:tcPr>
                <w:p w14:paraId="6FFF43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6126D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东：15.8</w:t>
                  </w:r>
                </w:p>
                <w:p w14:paraId="76C098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南：14.6</w:t>
                  </w:r>
                </w:p>
                <w:p w14:paraId="35D395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西：16.7</w:t>
                  </w:r>
                </w:p>
                <w:p w14:paraId="3832EC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北：8.5</w:t>
                  </w:r>
                </w:p>
              </w:tc>
              <w:tc>
                <w:tcPr>
                  <w:tcW w:w="206" w:type="pct"/>
                  <w:noWrap w:val="0"/>
                  <w:vAlign w:val="center"/>
                </w:tcPr>
                <w:p w14:paraId="1B7253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1802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A9DD99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DF73C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p>
              </w:tc>
              <w:tc>
                <w:tcPr>
                  <w:tcW w:w="372" w:type="pct"/>
                  <w:noWrap w:val="0"/>
                  <w:vAlign w:val="center"/>
                </w:tcPr>
                <w:p w14:paraId="002BABE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电动试压泵</w:t>
                  </w:r>
                </w:p>
              </w:tc>
              <w:tc>
                <w:tcPr>
                  <w:tcW w:w="247" w:type="pct"/>
                  <w:noWrap w:val="0"/>
                  <w:vAlign w:val="center"/>
                </w:tcPr>
                <w:p w14:paraId="323DD40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6FA846A">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59DDAA4">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27BD57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1DFF10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26</w:t>
                  </w:r>
                </w:p>
              </w:tc>
              <w:tc>
                <w:tcPr>
                  <w:tcW w:w="269" w:type="pct"/>
                  <w:noWrap w:val="0"/>
                  <w:vAlign w:val="center"/>
                </w:tcPr>
                <w:p w14:paraId="36422AC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31</w:t>
                  </w:r>
                </w:p>
              </w:tc>
              <w:tc>
                <w:tcPr>
                  <w:tcW w:w="269" w:type="pct"/>
                  <w:noWrap w:val="0"/>
                  <w:vAlign w:val="center"/>
                </w:tcPr>
                <w:p w14:paraId="2222B7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6F0E8A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w:t>
                  </w:r>
                </w:p>
                <w:p w14:paraId="64CC68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w:t>
                  </w:r>
                </w:p>
                <w:p w14:paraId="7BA6F5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w:t>
                  </w:r>
                </w:p>
                <w:p w14:paraId="2C8644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北：69</w:t>
                  </w:r>
                </w:p>
              </w:tc>
              <w:tc>
                <w:tcPr>
                  <w:tcW w:w="422" w:type="pct"/>
                  <w:noWrap w:val="0"/>
                  <w:vAlign w:val="center"/>
                </w:tcPr>
                <w:p w14:paraId="055272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东：35.8</w:t>
                  </w:r>
                </w:p>
                <w:p w14:paraId="367A63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南：35.2</w:t>
                  </w:r>
                </w:p>
                <w:p w14:paraId="00CAA5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西：36.7</w:t>
                  </w:r>
                </w:p>
                <w:p w14:paraId="3C71A0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北：28.2</w:t>
                  </w:r>
                </w:p>
              </w:tc>
              <w:tc>
                <w:tcPr>
                  <w:tcW w:w="455" w:type="pct"/>
                  <w:vMerge w:val="continue"/>
                  <w:noWrap w:val="0"/>
                  <w:vAlign w:val="center"/>
                </w:tcPr>
                <w:p w14:paraId="29C5DD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p>
              </w:tc>
              <w:tc>
                <w:tcPr>
                  <w:tcW w:w="292" w:type="pct"/>
                  <w:noWrap w:val="0"/>
                  <w:vAlign w:val="center"/>
                </w:tcPr>
                <w:p w14:paraId="698E44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4BBD1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东：15.8</w:t>
                  </w:r>
                </w:p>
                <w:p w14:paraId="7DF9CB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南：15.2</w:t>
                  </w:r>
                </w:p>
                <w:p w14:paraId="523751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西：16.7</w:t>
                  </w:r>
                </w:p>
                <w:p w14:paraId="11B0BF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北：8.2</w:t>
                  </w:r>
                </w:p>
              </w:tc>
              <w:tc>
                <w:tcPr>
                  <w:tcW w:w="206" w:type="pct"/>
                  <w:noWrap w:val="0"/>
                  <w:vAlign w:val="center"/>
                </w:tcPr>
                <w:p w14:paraId="77158A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8170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FCE2BE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2DB5A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p>
              </w:tc>
              <w:tc>
                <w:tcPr>
                  <w:tcW w:w="372" w:type="pct"/>
                  <w:noWrap w:val="0"/>
                  <w:vAlign w:val="center"/>
                </w:tcPr>
                <w:p w14:paraId="64E4AD8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电动试压泵</w:t>
                  </w:r>
                </w:p>
              </w:tc>
              <w:tc>
                <w:tcPr>
                  <w:tcW w:w="247" w:type="pct"/>
                  <w:noWrap w:val="0"/>
                  <w:vAlign w:val="center"/>
                </w:tcPr>
                <w:p w14:paraId="393FF390">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EDE2A86">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3923D12">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14C2EA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B40524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28</w:t>
                  </w:r>
                </w:p>
              </w:tc>
              <w:tc>
                <w:tcPr>
                  <w:tcW w:w="269" w:type="pct"/>
                  <w:noWrap w:val="0"/>
                  <w:vAlign w:val="center"/>
                </w:tcPr>
                <w:p w14:paraId="5DC133B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35</w:t>
                  </w:r>
                </w:p>
              </w:tc>
              <w:tc>
                <w:tcPr>
                  <w:tcW w:w="269" w:type="pct"/>
                  <w:noWrap w:val="0"/>
                  <w:vAlign w:val="center"/>
                </w:tcPr>
                <w:p w14:paraId="47A434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596B0C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东：27</w:t>
                  </w:r>
                </w:p>
                <w:p w14:paraId="273056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w:t>
                  </w:r>
                </w:p>
                <w:p w14:paraId="6394B0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759E5A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北：65</w:t>
                  </w:r>
                </w:p>
              </w:tc>
              <w:tc>
                <w:tcPr>
                  <w:tcW w:w="422" w:type="pct"/>
                  <w:noWrap w:val="0"/>
                  <w:vAlign w:val="center"/>
                </w:tcPr>
                <w:p w14:paraId="2BAFAD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东：36.4</w:t>
                  </w:r>
                </w:p>
                <w:p w14:paraId="4602D5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南：34.1</w:t>
                  </w:r>
                </w:p>
                <w:p w14:paraId="6BC5A6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西：36.1</w:t>
                  </w:r>
                </w:p>
                <w:p w14:paraId="59249A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北：28.7</w:t>
                  </w:r>
                </w:p>
              </w:tc>
              <w:tc>
                <w:tcPr>
                  <w:tcW w:w="455" w:type="pct"/>
                  <w:vMerge w:val="continue"/>
                  <w:noWrap w:val="0"/>
                  <w:vAlign w:val="center"/>
                </w:tcPr>
                <w:p w14:paraId="279E3C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p>
              </w:tc>
              <w:tc>
                <w:tcPr>
                  <w:tcW w:w="292" w:type="pct"/>
                  <w:noWrap w:val="0"/>
                  <w:vAlign w:val="center"/>
                </w:tcPr>
                <w:p w14:paraId="536919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1A2E8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东：16.4</w:t>
                  </w:r>
                </w:p>
                <w:p w14:paraId="528668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南：14.1</w:t>
                  </w:r>
                </w:p>
                <w:p w14:paraId="4950E8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西：16.1</w:t>
                  </w:r>
                </w:p>
                <w:p w14:paraId="1204A4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北：8.7</w:t>
                  </w:r>
                </w:p>
              </w:tc>
              <w:tc>
                <w:tcPr>
                  <w:tcW w:w="206" w:type="pct"/>
                  <w:noWrap w:val="0"/>
                  <w:vAlign w:val="center"/>
                </w:tcPr>
                <w:p w14:paraId="5D11B4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B6BD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76D8883">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1D041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z w:val="18"/>
                      <w:szCs w:val="18"/>
                      <w:highlight w:val="none"/>
                      <w:lang w:val="en-US" w:eastAsia="zh-CN"/>
                    </w:rPr>
                  </w:pPr>
                </w:p>
              </w:tc>
              <w:tc>
                <w:tcPr>
                  <w:tcW w:w="372" w:type="pct"/>
                  <w:noWrap w:val="0"/>
                  <w:vAlign w:val="center"/>
                </w:tcPr>
                <w:p w14:paraId="401B1FF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电动试压泵</w:t>
                  </w:r>
                </w:p>
              </w:tc>
              <w:tc>
                <w:tcPr>
                  <w:tcW w:w="247" w:type="pct"/>
                  <w:noWrap w:val="0"/>
                  <w:vAlign w:val="center"/>
                </w:tcPr>
                <w:p w14:paraId="7077FFC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A16134D">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FAB07E2">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2EC1B7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2542BA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28</w:t>
                  </w:r>
                </w:p>
              </w:tc>
              <w:tc>
                <w:tcPr>
                  <w:tcW w:w="269" w:type="pct"/>
                  <w:noWrap w:val="0"/>
                  <w:vAlign w:val="center"/>
                </w:tcPr>
                <w:p w14:paraId="2D88452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33</w:t>
                  </w:r>
                </w:p>
              </w:tc>
              <w:tc>
                <w:tcPr>
                  <w:tcW w:w="269" w:type="pct"/>
                  <w:noWrap w:val="0"/>
                  <w:vAlign w:val="center"/>
                </w:tcPr>
                <w:p w14:paraId="5675F7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232E63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东：27</w:t>
                  </w:r>
                </w:p>
                <w:p w14:paraId="67FCA6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南：33</w:t>
                  </w:r>
                </w:p>
                <w:p w14:paraId="3A14CE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4A2BC1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北：67</w:t>
                  </w:r>
                </w:p>
              </w:tc>
              <w:tc>
                <w:tcPr>
                  <w:tcW w:w="422" w:type="pct"/>
                  <w:noWrap w:val="0"/>
                  <w:vAlign w:val="center"/>
                </w:tcPr>
                <w:p w14:paraId="6FF2BD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东：36.4</w:t>
                  </w:r>
                </w:p>
                <w:p w14:paraId="038390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南：34.6</w:t>
                  </w:r>
                </w:p>
                <w:p w14:paraId="112F21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西：36.1</w:t>
                  </w:r>
                </w:p>
                <w:p w14:paraId="5DC706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2"/>
                      <w:sz w:val="18"/>
                      <w:szCs w:val="18"/>
                      <w:highlight w:val="none"/>
                      <w:lang w:val="en-US" w:eastAsia="zh-CN"/>
                    </w:rPr>
                  </w:pPr>
                  <w:r>
                    <w:rPr>
                      <w:rFonts w:hint="eastAsia" w:cs="Times New Roman"/>
                      <w:color w:val="auto"/>
                      <w:sz w:val="18"/>
                      <w:szCs w:val="18"/>
                      <w:highlight w:val="none"/>
                      <w:lang w:val="en-US" w:eastAsia="zh-CN"/>
                    </w:rPr>
                    <w:t>北：28.5</w:t>
                  </w:r>
                </w:p>
              </w:tc>
              <w:tc>
                <w:tcPr>
                  <w:tcW w:w="455" w:type="pct"/>
                  <w:vMerge w:val="continue"/>
                  <w:noWrap w:val="0"/>
                  <w:vAlign w:val="center"/>
                </w:tcPr>
                <w:p w14:paraId="05EA8D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p>
              </w:tc>
              <w:tc>
                <w:tcPr>
                  <w:tcW w:w="292" w:type="pct"/>
                  <w:noWrap w:val="0"/>
                  <w:vAlign w:val="center"/>
                </w:tcPr>
                <w:p w14:paraId="65AD3C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74814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东：16.4</w:t>
                  </w:r>
                </w:p>
                <w:p w14:paraId="591B54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南：14.6</w:t>
                  </w:r>
                </w:p>
                <w:p w14:paraId="5D66C6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西：16.1</w:t>
                  </w:r>
                </w:p>
                <w:p w14:paraId="06CE12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北：8.5</w:t>
                  </w:r>
                </w:p>
              </w:tc>
              <w:tc>
                <w:tcPr>
                  <w:tcW w:w="206" w:type="pct"/>
                  <w:noWrap w:val="0"/>
                  <w:vAlign w:val="center"/>
                </w:tcPr>
                <w:p w14:paraId="14E34F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E839E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2A224E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29</w:t>
                  </w:r>
                </w:p>
              </w:tc>
              <w:tc>
                <w:tcPr>
                  <w:tcW w:w="212" w:type="pct"/>
                  <w:vMerge w:val="continue"/>
                  <w:noWrap w:val="0"/>
                  <w:vAlign w:val="center"/>
                </w:tcPr>
                <w:p w14:paraId="17740D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6A9F9D95">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电动试压泵</w:t>
                  </w:r>
                </w:p>
              </w:tc>
              <w:tc>
                <w:tcPr>
                  <w:tcW w:w="247" w:type="pct"/>
                  <w:noWrap w:val="0"/>
                  <w:vAlign w:val="center"/>
                </w:tcPr>
                <w:p w14:paraId="7FFB607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7AC650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4CA50603">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410B5C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5A4B44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28</w:t>
                  </w:r>
                </w:p>
              </w:tc>
              <w:tc>
                <w:tcPr>
                  <w:tcW w:w="269" w:type="pct"/>
                  <w:noWrap w:val="0"/>
                  <w:vAlign w:val="center"/>
                </w:tcPr>
                <w:p w14:paraId="734C20C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31</w:t>
                  </w:r>
                </w:p>
              </w:tc>
              <w:tc>
                <w:tcPr>
                  <w:tcW w:w="269" w:type="pct"/>
                  <w:noWrap w:val="0"/>
                  <w:vAlign w:val="center"/>
                </w:tcPr>
                <w:p w14:paraId="182A44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536F1A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东：27</w:t>
                  </w:r>
                </w:p>
                <w:p w14:paraId="33FA36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w:t>
                  </w:r>
                </w:p>
                <w:p w14:paraId="6A6F9C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0360E0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北：69</w:t>
                  </w:r>
                </w:p>
              </w:tc>
              <w:tc>
                <w:tcPr>
                  <w:tcW w:w="422" w:type="pct"/>
                  <w:noWrap w:val="0"/>
                  <w:vAlign w:val="center"/>
                </w:tcPr>
                <w:p w14:paraId="0FC39B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东：36.4</w:t>
                  </w:r>
                </w:p>
                <w:p w14:paraId="09A626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南：35.2</w:t>
                  </w:r>
                </w:p>
                <w:p w14:paraId="0BCC64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西：36.1</w:t>
                  </w:r>
                </w:p>
                <w:p w14:paraId="69B61E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北：28.2</w:t>
                  </w:r>
                </w:p>
              </w:tc>
              <w:tc>
                <w:tcPr>
                  <w:tcW w:w="455" w:type="pct"/>
                  <w:vMerge w:val="continue"/>
                  <w:noWrap w:val="0"/>
                  <w:vAlign w:val="center"/>
                </w:tcPr>
                <w:p w14:paraId="2DD887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p>
              </w:tc>
              <w:tc>
                <w:tcPr>
                  <w:tcW w:w="292" w:type="pct"/>
                  <w:noWrap w:val="0"/>
                  <w:vAlign w:val="center"/>
                </w:tcPr>
                <w:p w14:paraId="3D92C3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37B491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东：16.4</w:t>
                  </w:r>
                </w:p>
                <w:p w14:paraId="02FDFC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南：15.2</w:t>
                  </w:r>
                </w:p>
                <w:p w14:paraId="58A34E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西：15.1</w:t>
                  </w:r>
                </w:p>
                <w:p w14:paraId="289136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北：8.2</w:t>
                  </w:r>
                </w:p>
              </w:tc>
              <w:tc>
                <w:tcPr>
                  <w:tcW w:w="206" w:type="pct"/>
                  <w:noWrap w:val="0"/>
                  <w:vAlign w:val="center"/>
                </w:tcPr>
                <w:p w14:paraId="4BA760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C3022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F64F52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30</w:t>
                  </w:r>
                </w:p>
              </w:tc>
              <w:tc>
                <w:tcPr>
                  <w:tcW w:w="212" w:type="pct"/>
                  <w:vMerge w:val="continue"/>
                  <w:noWrap w:val="0"/>
                  <w:vAlign w:val="center"/>
                </w:tcPr>
                <w:p w14:paraId="79CDF2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6BC3FEA0">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eastAsia="zh-CN"/>
                    </w:rPr>
                    <w:t>油压机</w:t>
                  </w:r>
                </w:p>
              </w:tc>
              <w:tc>
                <w:tcPr>
                  <w:tcW w:w="247" w:type="pct"/>
                  <w:noWrap w:val="0"/>
                  <w:vAlign w:val="center"/>
                </w:tcPr>
                <w:p w14:paraId="2313E09C">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9F8B56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7FC41340">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E3BC9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CB847F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42</w:t>
                  </w:r>
                </w:p>
              </w:tc>
              <w:tc>
                <w:tcPr>
                  <w:tcW w:w="269" w:type="pct"/>
                  <w:noWrap w:val="0"/>
                  <w:vAlign w:val="center"/>
                </w:tcPr>
                <w:p w14:paraId="021BD59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35</w:t>
                  </w:r>
                </w:p>
              </w:tc>
              <w:tc>
                <w:tcPr>
                  <w:tcW w:w="269" w:type="pct"/>
                  <w:noWrap w:val="0"/>
                  <w:vAlign w:val="center"/>
                </w:tcPr>
                <w:p w14:paraId="1C2B7B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025302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东：13</w:t>
                  </w:r>
                </w:p>
                <w:p w14:paraId="2BF864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w:t>
                  </w:r>
                </w:p>
                <w:p w14:paraId="012B90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西：42</w:t>
                  </w:r>
                </w:p>
                <w:p w14:paraId="17499D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北：65</w:t>
                  </w:r>
                </w:p>
              </w:tc>
              <w:tc>
                <w:tcPr>
                  <w:tcW w:w="422" w:type="pct"/>
                  <w:noWrap w:val="0"/>
                  <w:vAlign w:val="center"/>
                </w:tcPr>
                <w:p w14:paraId="13B3E4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东：37.7</w:t>
                  </w:r>
                </w:p>
                <w:p w14:paraId="5C5546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南：29.1</w:t>
                  </w:r>
                </w:p>
                <w:p w14:paraId="1135CE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西：27.5</w:t>
                  </w:r>
                </w:p>
                <w:p w14:paraId="1BC86C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北：23.7</w:t>
                  </w:r>
                </w:p>
              </w:tc>
              <w:tc>
                <w:tcPr>
                  <w:tcW w:w="455" w:type="pct"/>
                  <w:vMerge w:val="continue"/>
                  <w:noWrap w:val="0"/>
                  <w:vAlign w:val="center"/>
                </w:tcPr>
                <w:p w14:paraId="60A37E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p>
              </w:tc>
              <w:tc>
                <w:tcPr>
                  <w:tcW w:w="292" w:type="pct"/>
                  <w:noWrap w:val="0"/>
                  <w:vAlign w:val="center"/>
                </w:tcPr>
                <w:p w14:paraId="0A891D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D40AF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东：17.7</w:t>
                  </w:r>
                </w:p>
                <w:p w14:paraId="4A3170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南：9.1</w:t>
                  </w:r>
                </w:p>
                <w:p w14:paraId="714DC1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西：7.5</w:t>
                  </w:r>
                </w:p>
                <w:p w14:paraId="06C744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北：3.7</w:t>
                  </w:r>
                </w:p>
              </w:tc>
              <w:tc>
                <w:tcPr>
                  <w:tcW w:w="206" w:type="pct"/>
                  <w:noWrap w:val="0"/>
                  <w:vAlign w:val="center"/>
                </w:tcPr>
                <w:p w14:paraId="264D1D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4BC2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C63863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31</w:t>
                  </w:r>
                </w:p>
              </w:tc>
              <w:tc>
                <w:tcPr>
                  <w:tcW w:w="212" w:type="pct"/>
                  <w:vMerge w:val="continue"/>
                  <w:noWrap w:val="0"/>
                  <w:vAlign w:val="center"/>
                </w:tcPr>
                <w:p w14:paraId="46BD9D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cs="Times New Roman"/>
                      <w:color w:val="auto"/>
                      <w:sz w:val="18"/>
                      <w:szCs w:val="18"/>
                      <w:highlight w:val="none"/>
                      <w:lang w:val="en-US" w:eastAsia="zh-CN"/>
                    </w:rPr>
                  </w:pPr>
                </w:p>
              </w:tc>
              <w:tc>
                <w:tcPr>
                  <w:tcW w:w="372" w:type="pct"/>
                  <w:noWrap w:val="0"/>
                  <w:vAlign w:val="center"/>
                </w:tcPr>
                <w:p w14:paraId="5369EBA3">
                  <w:pPr>
                    <w:keepNext w:val="0"/>
                    <w:keepLines w:val="0"/>
                    <w:pageBreakBefore w:val="0"/>
                    <w:kinsoku/>
                    <w:wordWrap/>
                    <w:overflowPunct/>
                    <w:topLinePunct w:val="0"/>
                    <w:bidi w:val="0"/>
                    <w:ind w:left="0" w:leftChars="0" w:right="0" w:rightChars="0"/>
                    <w:jc w:val="center"/>
                    <w:textAlignment w:val="auto"/>
                    <w:rPr>
                      <w:rFonts w:hint="eastAsia" w:ascii="宋体" w:hAnsi="宋体" w:eastAsia="宋体" w:cs="Times New Roman"/>
                      <w:color w:val="auto"/>
                      <w:kern w:val="2"/>
                      <w:sz w:val="18"/>
                      <w:szCs w:val="18"/>
                      <w:lang w:val="en-US" w:eastAsia="zh-CN" w:bidi="ar-SA"/>
                    </w:rPr>
                  </w:pPr>
                  <w:r>
                    <w:rPr>
                      <w:rFonts w:hint="eastAsia"/>
                      <w:color w:val="auto"/>
                      <w:sz w:val="18"/>
                      <w:szCs w:val="18"/>
                      <w:lang w:eastAsia="zh-CN"/>
                    </w:rPr>
                    <w:t>油压机</w:t>
                  </w:r>
                </w:p>
              </w:tc>
              <w:tc>
                <w:tcPr>
                  <w:tcW w:w="247" w:type="pct"/>
                  <w:noWrap w:val="0"/>
                  <w:vAlign w:val="center"/>
                </w:tcPr>
                <w:p w14:paraId="0FBD1760">
                  <w:pPr>
                    <w:keepNext w:val="0"/>
                    <w:keepLines w:val="0"/>
                    <w:pageBreakBefore w:val="0"/>
                    <w:kinsoku/>
                    <w:wordWrap/>
                    <w:overflowPunct/>
                    <w:topLinePunct w:val="0"/>
                    <w:bidi w:val="0"/>
                    <w:ind w:left="0" w:leftChars="0" w:right="0" w:rightChars="0"/>
                    <w:jc w:val="center"/>
                    <w:textAlignment w:val="auto"/>
                    <w:rPr>
                      <w:rFonts w:hint="default" w:ascii="宋体" w:hAnsi="宋体"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7C3FCBF">
                  <w:pPr>
                    <w:keepNext w:val="0"/>
                    <w:keepLines w:val="0"/>
                    <w:pageBreakBefore w:val="0"/>
                    <w:kinsoku/>
                    <w:wordWrap/>
                    <w:overflowPunct/>
                    <w:topLinePunct w:val="0"/>
                    <w:bidi w:val="0"/>
                    <w:ind w:left="0" w:leftChars="0" w:right="0" w:rightChars="0"/>
                    <w:jc w:val="center"/>
                    <w:textAlignment w:val="auto"/>
                    <w:rPr>
                      <w:rFonts w:hint="default" w:ascii="宋体" w:hAnsi="宋体"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33500697">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63931A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55B464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45</w:t>
                  </w:r>
                </w:p>
              </w:tc>
              <w:tc>
                <w:tcPr>
                  <w:tcW w:w="269" w:type="pct"/>
                  <w:noWrap w:val="0"/>
                  <w:vAlign w:val="center"/>
                </w:tcPr>
                <w:p w14:paraId="58075A9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35</w:t>
                  </w:r>
                </w:p>
              </w:tc>
              <w:tc>
                <w:tcPr>
                  <w:tcW w:w="269" w:type="pct"/>
                  <w:noWrap w:val="0"/>
                  <w:vAlign w:val="center"/>
                </w:tcPr>
                <w:p w14:paraId="4B0C3D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58938A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6FDDD4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w:t>
                  </w:r>
                </w:p>
                <w:p w14:paraId="717903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26353B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北：65</w:t>
                  </w:r>
                </w:p>
              </w:tc>
              <w:tc>
                <w:tcPr>
                  <w:tcW w:w="422" w:type="pct"/>
                  <w:noWrap w:val="0"/>
                  <w:vAlign w:val="center"/>
                </w:tcPr>
                <w:p w14:paraId="51254D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67D68A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南：29.1</w:t>
                  </w:r>
                </w:p>
                <w:p w14:paraId="0CB4AB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西：26.9</w:t>
                  </w:r>
                </w:p>
                <w:p w14:paraId="3D7C52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北：23.7</w:t>
                  </w:r>
                </w:p>
              </w:tc>
              <w:tc>
                <w:tcPr>
                  <w:tcW w:w="455" w:type="pct"/>
                  <w:vMerge w:val="continue"/>
                  <w:noWrap w:val="0"/>
                  <w:vAlign w:val="center"/>
                </w:tcPr>
                <w:p w14:paraId="1E96D8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p>
              </w:tc>
              <w:tc>
                <w:tcPr>
                  <w:tcW w:w="292" w:type="pct"/>
                  <w:noWrap w:val="0"/>
                  <w:vAlign w:val="center"/>
                </w:tcPr>
                <w:p w14:paraId="1F948F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11771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324C99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南：9.1</w:t>
                  </w:r>
                </w:p>
                <w:p w14:paraId="6C5B01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西：6.9</w:t>
                  </w:r>
                </w:p>
                <w:p w14:paraId="30BE96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北：3.7</w:t>
                  </w:r>
                </w:p>
              </w:tc>
              <w:tc>
                <w:tcPr>
                  <w:tcW w:w="206" w:type="pct"/>
                  <w:noWrap w:val="0"/>
                  <w:vAlign w:val="center"/>
                </w:tcPr>
                <w:p w14:paraId="3A8BDA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33B58A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CF54936">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945A0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E509287">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喷涂机</w:t>
                  </w:r>
                </w:p>
              </w:tc>
              <w:tc>
                <w:tcPr>
                  <w:tcW w:w="247" w:type="pct"/>
                  <w:noWrap w:val="0"/>
                  <w:vAlign w:val="center"/>
                </w:tcPr>
                <w:p w14:paraId="5ABED9A7">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DE527E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188A48E2">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04377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25FABF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30</w:t>
                  </w:r>
                </w:p>
              </w:tc>
              <w:tc>
                <w:tcPr>
                  <w:tcW w:w="269" w:type="pct"/>
                  <w:noWrap w:val="0"/>
                  <w:vAlign w:val="center"/>
                </w:tcPr>
                <w:p w14:paraId="4116088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w:t>
                  </w:r>
                </w:p>
              </w:tc>
              <w:tc>
                <w:tcPr>
                  <w:tcW w:w="269" w:type="pct"/>
                  <w:noWrap w:val="0"/>
                  <w:vAlign w:val="center"/>
                </w:tcPr>
                <w:p w14:paraId="4EE4B4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379EF7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3D74ED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w:t>
                  </w:r>
                </w:p>
                <w:p w14:paraId="5B2649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w:t>
                  </w:r>
                </w:p>
                <w:p w14:paraId="5A9485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北：92</w:t>
                  </w:r>
                </w:p>
              </w:tc>
              <w:tc>
                <w:tcPr>
                  <w:tcW w:w="422" w:type="pct"/>
                  <w:noWrap w:val="0"/>
                  <w:vAlign w:val="center"/>
                </w:tcPr>
                <w:p w14:paraId="4FFBE3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东：32</w:t>
                  </w:r>
                </w:p>
                <w:p w14:paraId="02FD70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南：41.9</w:t>
                  </w:r>
                </w:p>
                <w:p w14:paraId="6DEBF0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17747B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北：20.7</w:t>
                  </w:r>
                </w:p>
              </w:tc>
              <w:tc>
                <w:tcPr>
                  <w:tcW w:w="455" w:type="pct"/>
                  <w:vMerge w:val="continue"/>
                  <w:noWrap w:val="0"/>
                  <w:vAlign w:val="center"/>
                </w:tcPr>
                <w:p w14:paraId="702067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CEA7E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5D8A38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东：12</w:t>
                  </w:r>
                </w:p>
                <w:p w14:paraId="689CD6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1952FF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1C37F0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北：0.7</w:t>
                  </w:r>
                </w:p>
              </w:tc>
              <w:tc>
                <w:tcPr>
                  <w:tcW w:w="206" w:type="pct"/>
                  <w:noWrap w:val="0"/>
                  <w:vAlign w:val="center"/>
                </w:tcPr>
                <w:p w14:paraId="02266E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30D6D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B3D141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F7AAF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D57B36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喷涂机</w:t>
                  </w:r>
                </w:p>
              </w:tc>
              <w:tc>
                <w:tcPr>
                  <w:tcW w:w="247" w:type="pct"/>
                  <w:noWrap w:val="0"/>
                  <w:vAlign w:val="center"/>
                </w:tcPr>
                <w:p w14:paraId="5972C2D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E42ED83">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3C2F7717">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EDF69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186D09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12043A6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w:t>
                  </w:r>
                </w:p>
              </w:tc>
              <w:tc>
                <w:tcPr>
                  <w:tcW w:w="269" w:type="pct"/>
                  <w:noWrap w:val="0"/>
                  <w:vAlign w:val="center"/>
                </w:tcPr>
                <w:p w14:paraId="0A3D54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0FE5D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0C184D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w:t>
                  </w:r>
                </w:p>
                <w:p w14:paraId="32FF49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262B7B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北：92</w:t>
                  </w:r>
                </w:p>
              </w:tc>
              <w:tc>
                <w:tcPr>
                  <w:tcW w:w="422" w:type="pct"/>
                  <w:noWrap w:val="0"/>
                  <w:vAlign w:val="center"/>
                </w:tcPr>
                <w:p w14:paraId="5528D2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2B7FDB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南：41.9</w:t>
                  </w:r>
                </w:p>
                <w:p w14:paraId="4A7D9A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3484FC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北：20.7</w:t>
                  </w:r>
                </w:p>
              </w:tc>
              <w:tc>
                <w:tcPr>
                  <w:tcW w:w="455" w:type="pct"/>
                  <w:vMerge w:val="continue"/>
                  <w:noWrap w:val="0"/>
                  <w:vAlign w:val="center"/>
                </w:tcPr>
                <w:p w14:paraId="019625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79FF4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A64B3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123405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2FE2A8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4585F1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北：0.7</w:t>
                  </w:r>
                </w:p>
              </w:tc>
              <w:tc>
                <w:tcPr>
                  <w:tcW w:w="206" w:type="pct"/>
                  <w:noWrap w:val="0"/>
                  <w:vAlign w:val="center"/>
                </w:tcPr>
                <w:p w14:paraId="64D577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98A5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890EBF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A290B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226892D">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空压机</w:t>
                  </w:r>
                </w:p>
              </w:tc>
              <w:tc>
                <w:tcPr>
                  <w:tcW w:w="247" w:type="pct"/>
                  <w:noWrap w:val="0"/>
                  <w:vAlign w:val="center"/>
                </w:tcPr>
                <w:p w14:paraId="2F944B0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80913BC">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5CD6D840">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0B0ECE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3F80C5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53</w:t>
                  </w:r>
                </w:p>
              </w:tc>
              <w:tc>
                <w:tcPr>
                  <w:tcW w:w="269" w:type="pct"/>
                  <w:noWrap w:val="0"/>
                  <w:vAlign w:val="center"/>
                </w:tcPr>
                <w:p w14:paraId="3130846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63</w:t>
                  </w:r>
                </w:p>
              </w:tc>
              <w:tc>
                <w:tcPr>
                  <w:tcW w:w="269" w:type="pct"/>
                  <w:noWrap w:val="0"/>
                  <w:vAlign w:val="center"/>
                </w:tcPr>
                <w:p w14:paraId="2CCF98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1C165C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264250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南：63</w:t>
                  </w:r>
                </w:p>
                <w:p w14:paraId="3BD8FF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西：53</w:t>
                  </w:r>
                </w:p>
                <w:p w14:paraId="2B57AD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北：92</w:t>
                  </w:r>
                </w:p>
              </w:tc>
              <w:tc>
                <w:tcPr>
                  <w:tcW w:w="422" w:type="pct"/>
                  <w:noWrap w:val="0"/>
                  <w:vAlign w:val="center"/>
                </w:tcPr>
                <w:p w14:paraId="77F4CF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东：59</w:t>
                  </w:r>
                </w:p>
                <w:p w14:paraId="236259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南：29</w:t>
                  </w:r>
                </w:p>
                <w:p w14:paraId="0D09C3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2495BA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北：25.7</w:t>
                  </w:r>
                </w:p>
              </w:tc>
              <w:tc>
                <w:tcPr>
                  <w:tcW w:w="455" w:type="pct"/>
                  <w:vMerge w:val="continue"/>
                  <w:noWrap w:val="0"/>
                  <w:vAlign w:val="center"/>
                </w:tcPr>
                <w:p w14:paraId="0D597B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C8675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47265D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w:t>
                  </w:r>
                </w:p>
                <w:p w14:paraId="5FACB2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w:t>
                  </w:r>
                </w:p>
                <w:p w14:paraId="65A0B9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6A0855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北：5.7</w:t>
                  </w:r>
                </w:p>
              </w:tc>
              <w:tc>
                <w:tcPr>
                  <w:tcW w:w="206" w:type="pct"/>
                  <w:noWrap w:val="0"/>
                  <w:vAlign w:val="center"/>
                </w:tcPr>
                <w:p w14:paraId="367E35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07C5F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A63FEC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ED089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F3B0EE0">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299CDD91">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0956CBD">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6B0E9F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4BB3E4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591E2C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53</w:t>
                  </w:r>
                </w:p>
              </w:tc>
              <w:tc>
                <w:tcPr>
                  <w:tcW w:w="269" w:type="pct"/>
                  <w:noWrap w:val="0"/>
                  <w:vAlign w:val="center"/>
                </w:tcPr>
                <w:p w14:paraId="2209B4B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35</w:t>
                  </w:r>
                </w:p>
              </w:tc>
              <w:tc>
                <w:tcPr>
                  <w:tcW w:w="269" w:type="pct"/>
                  <w:noWrap w:val="0"/>
                  <w:vAlign w:val="center"/>
                </w:tcPr>
                <w:p w14:paraId="41F87B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1800B6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0DEF97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w:t>
                  </w:r>
                </w:p>
                <w:p w14:paraId="15BC17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西：53</w:t>
                  </w:r>
                </w:p>
                <w:p w14:paraId="5FCC38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北：65</w:t>
                  </w:r>
                </w:p>
              </w:tc>
              <w:tc>
                <w:tcPr>
                  <w:tcW w:w="422" w:type="pct"/>
                  <w:noWrap w:val="0"/>
                  <w:vAlign w:val="center"/>
                </w:tcPr>
                <w:p w14:paraId="099932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东：59</w:t>
                  </w:r>
                </w:p>
                <w:p w14:paraId="728155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南：34.1</w:t>
                  </w:r>
                </w:p>
                <w:p w14:paraId="4CB6AF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75168F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北：28.7</w:t>
                  </w:r>
                </w:p>
              </w:tc>
              <w:tc>
                <w:tcPr>
                  <w:tcW w:w="455" w:type="pct"/>
                  <w:vMerge w:val="continue"/>
                  <w:noWrap w:val="0"/>
                  <w:vAlign w:val="center"/>
                </w:tcPr>
                <w:p w14:paraId="27271D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52905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2D21E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w:t>
                  </w:r>
                </w:p>
                <w:p w14:paraId="1F6B64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南：14.1</w:t>
                  </w:r>
                </w:p>
                <w:p w14:paraId="2631F3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6D040B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北：8.7</w:t>
                  </w:r>
                </w:p>
              </w:tc>
              <w:tc>
                <w:tcPr>
                  <w:tcW w:w="206" w:type="pct"/>
                  <w:noWrap w:val="0"/>
                  <w:vAlign w:val="center"/>
                </w:tcPr>
                <w:p w14:paraId="4FCD42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1FA33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569D3E9">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AF272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F1569EB">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20A445E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A453A1C">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C819795">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01E36A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911AE7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53</w:t>
                  </w:r>
                </w:p>
              </w:tc>
              <w:tc>
                <w:tcPr>
                  <w:tcW w:w="269" w:type="pct"/>
                  <w:noWrap w:val="0"/>
                  <w:vAlign w:val="center"/>
                </w:tcPr>
                <w:p w14:paraId="2D4A4EA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45</w:t>
                  </w:r>
                </w:p>
              </w:tc>
              <w:tc>
                <w:tcPr>
                  <w:tcW w:w="269" w:type="pct"/>
                  <w:noWrap w:val="0"/>
                  <w:vAlign w:val="center"/>
                </w:tcPr>
                <w:p w14:paraId="2AB26E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3A6C5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713A91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南：45</w:t>
                  </w:r>
                </w:p>
                <w:p w14:paraId="3D8A9B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西：53</w:t>
                  </w:r>
                </w:p>
                <w:p w14:paraId="00CAFF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北：55</w:t>
                  </w:r>
                </w:p>
              </w:tc>
              <w:tc>
                <w:tcPr>
                  <w:tcW w:w="422" w:type="pct"/>
                  <w:noWrap w:val="0"/>
                  <w:vAlign w:val="center"/>
                </w:tcPr>
                <w:p w14:paraId="226B6F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东：59</w:t>
                  </w:r>
                </w:p>
                <w:p w14:paraId="2EB542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南：31.9</w:t>
                  </w:r>
                </w:p>
                <w:p w14:paraId="3A9121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4C81B4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北：30.2</w:t>
                  </w:r>
                </w:p>
              </w:tc>
              <w:tc>
                <w:tcPr>
                  <w:tcW w:w="455" w:type="pct"/>
                  <w:vMerge w:val="continue"/>
                  <w:noWrap w:val="0"/>
                  <w:vAlign w:val="center"/>
                </w:tcPr>
                <w:p w14:paraId="196F74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271C9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AE17C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w:t>
                  </w:r>
                </w:p>
                <w:p w14:paraId="6EF56C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南：11.9</w:t>
                  </w:r>
                </w:p>
                <w:p w14:paraId="2BB419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2697AC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北：10.2</w:t>
                  </w:r>
                </w:p>
              </w:tc>
              <w:tc>
                <w:tcPr>
                  <w:tcW w:w="206" w:type="pct"/>
                  <w:noWrap w:val="0"/>
                  <w:vAlign w:val="center"/>
                </w:tcPr>
                <w:p w14:paraId="1941D3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4C9FD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2B7A49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36E52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D2B483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0D03D821">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D3273DA">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3D0179B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379718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077D63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53</w:t>
                  </w:r>
                </w:p>
              </w:tc>
              <w:tc>
                <w:tcPr>
                  <w:tcW w:w="269" w:type="pct"/>
                  <w:noWrap w:val="0"/>
                  <w:vAlign w:val="center"/>
                </w:tcPr>
                <w:p w14:paraId="4DA4E1F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55</w:t>
                  </w:r>
                </w:p>
              </w:tc>
              <w:tc>
                <w:tcPr>
                  <w:tcW w:w="269" w:type="pct"/>
                  <w:noWrap w:val="0"/>
                  <w:vAlign w:val="center"/>
                </w:tcPr>
                <w:p w14:paraId="79CB24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6BCC1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233916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南：55</w:t>
                  </w:r>
                </w:p>
                <w:p w14:paraId="07E9FE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西：53</w:t>
                  </w:r>
                </w:p>
                <w:p w14:paraId="1413C4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北：45</w:t>
                  </w:r>
                </w:p>
              </w:tc>
              <w:tc>
                <w:tcPr>
                  <w:tcW w:w="422" w:type="pct"/>
                  <w:noWrap w:val="0"/>
                  <w:vAlign w:val="center"/>
                </w:tcPr>
                <w:p w14:paraId="6156D7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东：59</w:t>
                  </w:r>
                </w:p>
                <w:p w14:paraId="6CA4FC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南：30.2</w:t>
                  </w:r>
                </w:p>
                <w:p w14:paraId="531D08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3D8844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北：31.9</w:t>
                  </w:r>
                </w:p>
              </w:tc>
              <w:tc>
                <w:tcPr>
                  <w:tcW w:w="455" w:type="pct"/>
                  <w:vMerge w:val="continue"/>
                  <w:noWrap w:val="0"/>
                  <w:vAlign w:val="center"/>
                </w:tcPr>
                <w:p w14:paraId="70B3AA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5D9258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B5612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w:t>
                  </w:r>
                </w:p>
                <w:p w14:paraId="671EC8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南：10.2</w:t>
                  </w:r>
                </w:p>
                <w:p w14:paraId="4E10BE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18CFA1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北：11.9</w:t>
                  </w:r>
                </w:p>
              </w:tc>
              <w:tc>
                <w:tcPr>
                  <w:tcW w:w="206" w:type="pct"/>
                  <w:noWrap w:val="0"/>
                  <w:vAlign w:val="center"/>
                </w:tcPr>
                <w:p w14:paraId="181B88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05193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4512DBD">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F2346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6F664A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52DF2E96">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0CBA943">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C4F74EB">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0D84F3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BB5782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53</w:t>
                  </w:r>
                </w:p>
              </w:tc>
              <w:tc>
                <w:tcPr>
                  <w:tcW w:w="269" w:type="pct"/>
                  <w:noWrap w:val="0"/>
                  <w:vAlign w:val="center"/>
                </w:tcPr>
                <w:p w14:paraId="54B5F38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70</w:t>
                  </w:r>
                </w:p>
              </w:tc>
              <w:tc>
                <w:tcPr>
                  <w:tcW w:w="269" w:type="pct"/>
                  <w:noWrap w:val="0"/>
                  <w:vAlign w:val="center"/>
                </w:tcPr>
                <w:p w14:paraId="219114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136D01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199C4B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南：70</w:t>
                  </w:r>
                </w:p>
                <w:p w14:paraId="7A50B8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西：53</w:t>
                  </w:r>
                </w:p>
                <w:p w14:paraId="61884E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北：30</w:t>
                  </w:r>
                </w:p>
              </w:tc>
              <w:tc>
                <w:tcPr>
                  <w:tcW w:w="422" w:type="pct"/>
                  <w:noWrap w:val="0"/>
                  <w:vAlign w:val="center"/>
                </w:tcPr>
                <w:p w14:paraId="48CF36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东：59</w:t>
                  </w:r>
                </w:p>
                <w:p w14:paraId="4FA481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南：28.1</w:t>
                  </w:r>
                </w:p>
                <w:p w14:paraId="7318E3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6CDB48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北：35.5</w:t>
                  </w:r>
                </w:p>
              </w:tc>
              <w:tc>
                <w:tcPr>
                  <w:tcW w:w="455" w:type="pct"/>
                  <w:vMerge w:val="continue"/>
                  <w:noWrap w:val="0"/>
                  <w:vAlign w:val="center"/>
                </w:tcPr>
                <w:p w14:paraId="34E2F7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970C9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844AC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w:t>
                  </w:r>
                </w:p>
                <w:p w14:paraId="4C9ED1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南：8.1</w:t>
                  </w:r>
                </w:p>
                <w:p w14:paraId="7A661E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282ABB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北：15.5</w:t>
                  </w:r>
                </w:p>
              </w:tc>
              <w:tc>
                <w:tcPr>
                  <w:tcW w:w="206" w:type="pct"/>
                  <w:noWrap w:val="0"/>
                  <w:vAlign w:val="center"/>
                </w:tcPr>
                <w:p w14:paraId="78B65D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6918D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E5D861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898A0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B564CB3">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127CE91D">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ADBEAC6">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31228CD">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3C9272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4BA0E7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41</w:t>
                  </w:r>
                </w:p>
              </w:tc>
              <w:tc>
                <w:tcPr>
                  <w:tcW w:w="269" w:type="pct"/>
                  <w:noWrap w:val="0"/>
                  <w:vAlign w:val="center"/>
                </w:tcPr>
                <w:p w14:paraId="1F4C54D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10</w:t>
                  </w:r>
                </w:p>
              </w:tc>
              <w:tc>
                <w:tcPr>
                  <w:tcW w:w="269" w:type="pct"/>
                  <w:noWrap w:val="0"/>
                  <w:vAlign w:val="center"/>
                </w:tcPr>
                <w:p w14:paraId="5BF489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B88BD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w:t>
                  </w:r>
                </w:p>
                <w:p w14:paraId="79ABE9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w:t>
                  </w:r>
                </w:p>
                <w:p w14:paraId="0413A6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西：41</w:t>
                  </w:r>
                </w:p>
                <w:p w14:paraId="267755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北：90</w:t>
                  </w:r>
                </w:p>
              </w:tc>
              <w:tc>
                <w:tcPr>
                  <w:tcW w:w="422" w:type="pct"/>
                  <w:noWrap w:val="0"/>
                  <w:vAlign w:val="center"/>
                </w:tcPr>
                <w:p w14:paraId="2A9E36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东：42.1</w:t>
                  </w:r>
                </w:p>
                <w:p w14:paraId="4BC571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南：45</w:t>
                  </w:r>
                </w:p>
                <w:p w14:paraId="3A3BE9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西：32.7</w:t>
                  </w:r>
                </w:p>
                <w:p w14:paraId="5AD3C6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北：25.9</w:t>
                  </w:r>
                </w:p>
              </w:tc>
              <w:tc>
                <w:tcPr>
                  <w:tcW w:w="455" w:type="pct"/>
                  <w:vMerge w:val="continue"/>
                  <w:noWrap w:val="0"/>
                  <w:vAlign w:val="center"/>
                </w:tcPr>
                <w:p w14:paraId="3C6F2D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7D239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32CDD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东：22.1</w:t>
                  </w:r>
                </w:p>
                <w:p w14:paraId="06566F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171628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西：12.7</w:t>
                  </w:r>
                </w:p>
                <w:p w14:paraId="50090C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北：5.9</w:t>
                  </w:r>
                </w:p>
              </w:tc>
              <w:tc>
                <w:tcPr>
                  <w:tcW w:w="206" w:type="pct"/>
                  <w:noWrap w:val="0"/>
                  <w:vAlign w:val="center"/>
                </w:tcPr>
                <w:p w14:paraId="1E8968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3FA18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1F4588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06169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6027943">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1B4E13A1">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F064110">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B6A4CD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3EE60E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48944B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41</w:t>
                  </w:r>
                </w:p>
              </w:tc>
              <w:tc>
                <w:tcPr>
                  <w:tcW w:w="269" w:type="pct"/>
                  <w:noWrap w:val="0"/>
                  <w:vAlign w:val="center"/>
                </w:tcPr>
                <w:p w14:paraId="67D9312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18</w:t>
                  </w:r>
                </w:p>
              </w:tc>
              <w:tc>
                <w:tcPr>
                  <w:tcW w:w="269" w:type="pct"/>
                  <w:noWrap w:val="0"/>
                  <w:vAlign w:val="center"/>
                </w:tcPr>
                <w:p w14:paraId="7A3C45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8C97E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w:t>
                  </w:r>
                </w:p>
                <w:p w14:paraId="2CF31F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南：18</w:t>
                  </w:r>
                </w:p>
                <w:p w14:paraId="4E974E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西：41</w:t>
                  </w:r>
                </w:p>
                <w:p w14:paraId="5BEA98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北：82</w:t>
                  </w:r>
                </w:p>
              </w:tc>
              <w:tc>
                <w:tcPr>
                  <w:tcW w:w="422" w:type="pct"/>
                  <w:noWrap w:val="0"/>
                  <w:vAlign w:val="center"/>
                </w:tcPr>
                <w:p w14:paraId="4A516A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东：42.1</w:t>
                  </w:r>
                </w:p>
                <w:p w14:paraId="221DF5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南：39.9</w:t>
                  </w:r>
                </w:p>
                <w:p w14:paraId="769174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西：32.7</w:t>
                  </w:r>
                </w:p>
                <w:p w14:paraId="22C586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北：26.7</w:t>
                  </w:r>
                </w:p>
              </w:tc>
              <w:tc>
                <w:tcPr>
                  <w:tcW w:w="455" w:type="pct"/>
                  <w:vMerge w:val="continue"/>
                  <w:noWrap w:val="0"/>
                  <w:vAlign w:val="center"/>
                </w:tcPr>
                <w:p w14:paraId="45F446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FA156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2344C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东：22.1</w:t>
                  </w:r>
                </w:p>
                <w:p w14:paraId="565EF2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南：19.9</w:t>
                  </w:r>
                </w:p>
                <w:p w14:paraId="1A94F4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西：12.7</w:t>
                  </w:r>
                </w:p>
                <w:p w14:paraId="3B2F17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北：6.7</w:t>
                  </w:r>
                </w:p>
              </w:tc>
              <w:tc>
                <w:tcPr>
                  <w:tcW w:w="206" w:type="pct"/>
                  <w:noWrap w:val="0"/>
                  <w:vAlign w:val="center"/>
                </w:tcPr>
                <w:p w14:paraId="278404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5E7D38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14D4B5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89A24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08A43A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161301F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52B6438">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D9F5AE2">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425289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9EA855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41</w:t>
                  </w:r>
                </w:p>
              </w:tc>
              <w:tc>
                <w:tcPr>
                  <w:tcW w:w="269" w:type="pct"/>
                  <w:noWrap w:val="0"/>
                  <w:vAlign w:val="center"/>
                </w:tcPr>
                <w:p w14:paraId="400FAB8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35</w:t>
                  </w:r>
                </w:p>
              </w:tc>
              <w:tc>
                <w:tcPr>
                  <w:tcW w:w="269" w:type="pct"/>
                  <w:noWrap w:val="0"/>
                  <w:vAlign w:val="center"/>
                </w:tcPr>
                <w:p w14:paraId="6BCA2E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BACE1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w:t>
                  </w:r>
                </w:p>
                <w:p w14:paraId="79E760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w:t>
                  </w:r>
                </w:p>
                <w:p w14:paraId="737F89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西：41</w:t>
                  </w:r>
                </w:p>
                <w:p w14:paraId="5F7AAE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北：65</w:t>
                  </w:r>
                </w:p>
              </w:tc>
              <w:tc>
                <w:tcPr>
                  <w:tcW w:w="422" w:type="pct"/>
                  <w:noWrap w:val="0"/>
                  <w:vAlign w:val="center"/>
                </w:tcPr>
                <w:p w14:paraId="6BCA3D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东：42.1</w:t>
                  </w:r>
                </w:p>
                <w:p w14:paraId="68CB7D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南：34.1</w:t>
                  </w:r>
                </w:p>
                <w:p w14:paraId="447DF2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西：32.7</w:t>
                  </w:r>
                </w:p>
                <w:p w14:paraId="660D99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北：28.7</w:t>
                  </w:r>
                </w:p>
              </w:tc>
              <w:tc>
                <w:tcPr>
                  <w:tcW w:w="455" w:type="pct"/>
                  <w:vMerge w:val="continue"/>
                  <w:noWrap w:val="0"/>
                  <w:vAlign w:val="center"/>
                </w:tcPr>
                <w:p w14:paraId="1FC7F4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2F7F6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1A989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东：22.1</w:t>
                  </w:r>
                </w:p>
                <w:p w14:paraId="11C4DF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南：14.1</w:t>
                  </w:r>
                </w:p>
                <w:p w14:paraId="494EAE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西：12.7</w:t>
                  </w:r>
                </w:p>
                <w:p w14:paraId="4A2FD2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北：8.7</w:t>
                  </w:r>
                </w:p>
              </w:tc>
              <w:tc>
                <w:tcPr>
                  <w:tcW w:w="206" w:type="pct"/>
                  <w:noWrap w:val="0"/>
                  <w:vAlign w:val="center"/>
                </w:tcPr>
                <w:p w14:paraId="028E1A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39C55B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63DD4A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78061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2B8FF4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7B461D78">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C902B8C">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57EB8D05">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2B19F5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460B63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41</w:t>
                  </w:r>
                </w:p>
              </w:tc>
              <w:tc>
                <w:tcPr>
                  <w:tcW w:w="269" w:type="pct"/>
                  <w:noWrap w:val="0"/>
                  <w:vAlign w:val="center"/>
                </w:tcPr>
                <w:p w14:paraId="43E6EFA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48</w:t>
                  </w:r>
                </w:p>
              </w:tc>
              <w:tc>
                <w:tcPr>
                  <w:tcW w:w="269" w:type="pct"/>
                  <w:noWrap w:val="0"/>
                  <w:vAlign w:val="center"/>
                </w:tcPr>
                <w:p w14:paraId="0A1697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78AD78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w:t>
                  </w:r>
                </w:p>
                <w:p w14:paraId="13B8A5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南：48</w:t>
                  </w:r>
                </w:p>
                <w:p w14:paraId="2F5FB6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西：41</w:t>
                  </w:r>
                </w:p>
                <w:p w14:paraId="560245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北：52</w:t>
                  </w:r>
                </w:p>
              </w:tc>
              <w:tc>
                <w:tcPr>
                  <w:tcW w:w="422" w:type="pct"/>
                  <w:noWrap w:val="0"/>
                  <w:vAlign w:val="center"/>
                </w:tcPr>
                <w:p w14:paraId="7BDB7D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东：42.1</w:t>
                  </w:r>
                </w:p>
                <w:p w14:paraId="50B57C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南：31.4</w:t>
                  </w:r>
                </w:p>
                <w:p w14:paraId="4EA4C2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西：32.7</w:t>
                  </w:r>
                </w:p>
                <w:p w14:paraId="09A90C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北：30.7</w:t>
                  </w:r>
                </w:p>
              </w:tc>
              <w:tc>
                <w:tcPr>
                  <w:tcW w:w="455" w:type="pct"/>
                  <w:vMerge w:val="continue"/>
                  <w:noWrap w:val="0"/>
                  <w:vAlign w:val="center"/>
                </w:tcPr>
                <w:p w14:paraId="664807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39B94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9E105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东：22.1</w:t>
                  </w:r>
                </w:p>
                <w:p w14:paraId="4D0F6B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南：11.4</w:t>
                  </w:r>
                </w:p>
                <w:p w14:paraId="3C1926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西：12.7</w:t>
                  </w:r>
                </w:p>
                <w:p w14:paraId="25FA88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北：10.7</w:t>
                  </w:r>
                </w:p>
              </w:tc>
              <w:tc>
                <w:tcPr>
                  <w:tcW w:w="206" w:type="pct"/>
                  <w:noWrap w:val="0"/>
                  <w:vAlign w:val="center"/>
                </w:tcPr>
                <w:p w14:paraId="273241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2C564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7AA6D8B">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7518C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15A8E0A">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6F90A28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111D225">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B03FF8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1BC3DD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DFE57A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37</w:t>
                  </w:r>
                </w:p>
              </w:tc>
              <w:tc>
                <w:tcPr>
                  <w:tcW w:w="269" w:type="pct"/>
                  <w:noWrap w:val="0"/>
                  <w:vAlign w:val="center"/>
                </w:tcPr>
                <w:p w14:paraId="2378A04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62</w:t>
                  </w:r>
                </w:p>
              </w:tc>
              <w:tc>
                <w:tcPr>
                  <w:tcW w:w="269" w:type="pct"/>
                  <w:noWrap w:val="0"/>
                  <w:vAlign w:val="center"/>
                </w:tcPr>
                <w:p w14:paraId="2A9653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55E7AF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18246B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南：62</w:t>
                  </w:r>
                </w:p>
                <w:p w14:paraId="52F2FF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0BC73B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北：38</w:t>
                  </w:r>
                </w:p>
              </w:tc>
              <w:tc>
                <w:tcPr>
                  <w:tcW w:w="422" w:type="pct"/>
                  <w:noWrap w:val="0"/>
                  <w:vAlign w:val="center"/>
                </w:tcPr>
                <w:p w14:paraId="15D050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东：39.9</w:t>
                  </w:r>
                </w:p>
                <w:p w14:paraId="37D434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南：29.2</w:t>
                  </w:r>
                </w:p>
                <w:p w14:paraId="2E8383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西：33.6</w:t>
                  </w:r>
                </w:p>
                <w:p w14:paraId="5CAAC7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北：33.4</w:t>
                  </w:r>
                </w:p>
              </w:tc>
              <w:tc>
                <w:tcPr>
                  <w:tcW w:w="455" w:type="pct"/>
                  <w:vMerge w:val="continue"/>
                  <w:noWrap w:val="0"/>
                  <w:vAlign w:val="center"/>
                </w:tcPr>
                <w:p w14:paraId="6EB87B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FA746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70A71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东：19.9</w:t>
                  </w:r>
                </w:p>
                <w:p w14:paraId="755748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南：9.2</w:t>
                  </w:r>
                </w:p>
                <w:p w14:paraId="6A8F5F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西：13.6</w:t>
                  </w:r>
                </w:p>
                <w:p w14:paraId="2B121E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北：13.4</w:t>
                  </w:r>
                </w:p>
              </w:tc>
              <w:tc>
                <w:tcPr>
                  <w:tcW w:w="206" w:type="pct"/>
                  <w:noWrap w:val="0"/>
                  <w:vAlign w:val="center"/>
                </w:tcPr>
                <w:p w14:paraId="6EBFDE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5105E5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C366032">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9E6AE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055266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380A410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2C07746">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7045CC6">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129FA3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503A11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37</w:t>
                  </w:r>
                </w:p>
              </w:tc>
              <w:tc>
                <w:tcPr>
                  <w:tcW w:w="269" w:type="pct"/>
                  <w:noWrap w:val="0"/>
                  <w:vAlign w:val="center"/>
                </w:tcPr>
                <w:p w14:paraId="15847FC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35</w:t>
                  </w:r>
                </w:p>
              </w:tc>
              <w:tc>
                <w:tcPr>
                  <w:tcW w:w="269" w:type="pct"/>
                  <w:noWrap w:val="0"/>
                  <w:vAlign w:val="center"/>
                </w:tcPr>
                <w:p w14:paraId="434056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569A6C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0163DE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w:t>
                  </w:r>
                </w:p>
                <w:p w14:paraId="3EE1C4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72E4DF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北：65</w:t>
                  </w:r>
                </w:p>
              </w:tc>
              <w:tc>
                <w:tcPr>
                  <w:tcW w:w="422" w:type="pct"/>
                  <w:noWrap w:val="0"/>
                  <w:vAlign w:val="center"/>
                </w:tcPr>
                <w:p w14:paraId="6E0914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东：39.9</w:t>
                  </w:r>
                </w:p>
                <w:p w14:paraId="50C745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南：34.1</w:t>
                  </w:r>
                </w:p>
                <w:p w14:paraId="431357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西：33.6</w:t>
                  </w:r>
                </w:p>
                <w:p w14:paraId="0E65EC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北：28.7</w:t>
                  </w:r>
                </w:p>
              </w:tc>
              <w:tc>
                <w:tcPr>
                  <w:tcW w:w="455" w:type="pct"/>
                  <w:vMerge w:val="continue"/>
                  <w:noWrap w:val="0"/>
                  <w:vAlign w:val="center"/>
                </w:tcPr>
                <w:p w14:paraId="747A50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6BE31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E75B2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东：19.9</w:t>
                  </w:r>
                </w:p>
                <w:p w14:paraId="1701DF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南：14.1</w:t>
                  </w:r>
                </w:p>
                <w:p w14:paraId="40EA5A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西：13.6</w:t>
                  </w:r>
                </w:p>
                <w:p w14:paraId="4D4E1B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北：8.7</w:t>
                  </w:r>
                </w:p>
              </w:tc>
              <w:tc>
                <w:tcPr>
                  <w:tcW w:w="206" w:type="pct"/>
                  <w:noWrap w:val="0"/>
                  <w:vAlign w:val="center"/>
                </w:tcPr>
                <w:p w14:paraId="467D1E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302CFC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9C81F8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273CD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C126905">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79FF9ED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0B572F7">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A69EB2D">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515C3A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BF778D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37</w:t>
                  </w:r>
                </w:p>
              </w:tc>
              <w:tc>
                <w:tcPr>
                  <w:tcW w:w="269" w:type="pct"/>
                  <w:noWrap w:val="0"/>
                  <w:vAlign w:val="center"/>
                </w:tcPr>
                <w:p w14:paraId="228AB64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48</w:t>
                  </w:r>
                </w:p>
              </w:tc>
              <w:tc>
                <w:tcPr>
                  <w:tcW w:w="269" w:type="pct"/>
                  <w:noWrap w:val="0"/>
                  <w:vAlign w:val="center"/>
                </w:tcPr>
                <w:p w14:paraId="283180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766003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426657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南：48</w:t>
                  </w:r>
                </w:p>
                <w:p w14:paraId="214A5D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75F070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北：52</w:t>
                  </w:r>
                </w:p>
              </w:tc>
              <w:tc>
                <w:tcPr>
                  <w:tcW w:w="422" w:type="pct"/>
                  <w:noWrap w:val="0"/>
                  <w:vAlign w:val="center"/>
                </w:tcPr>
                <w:p w14:paraId="111F4F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东：39.9</w:t>
                  </w:r>
                </w:p>
                <w:p w14:paraId="60D7D2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南：31.4</w:t>
                  </w:r>
                </w:p>
                <w:p w14:paraId="789491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西：33.6</w:t>
                  </w:r>
                </w:p>
                <w:p w14:paraId="410CE5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北：30.7</w:t>
                  </w:r>
                </w:p>
              </w:tc>
              <w:tc>
                <w:tcPr>
                  <w:tcW w:w="455" w:type="pct"/>
                  <w:vMerge w:val="continue"/>
                  <w:noWrap w:val="0"/>
                  <w:vAlign w:val="center"/>
                </w:tcPr>
                <w:p w14:paraId="7BAE3F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3B344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25A94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东：19.9</w:t>
                  </w:r>
                </w:p>
                <w:p w14:paraId="713FBF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南：11.4</w:t>
                  </w:r>
                </w:p>
                <w:p w14:paraId="367BEE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西：13.6</w:t>
                  </w:r>
                </w:p>
                <w:p w14:paraId="27CF0E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北：10.7</w:t>
                  </w:r>
                </w:p>
              </w:tc>
              <w:tc>
                <w:tcPr>
                  <w:tcW w:w="206" w:type="pct"/>
                  <w:noWrap w:val="0"/>
                  <w:vAlign w:val="center"/>
                </w:tcPr>
                <w:p w14:paraId="553FE7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39727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D2D3C7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E6E96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8FEC628">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26A2F98B">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DC8E9BF">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5D5360C9">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699D0D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CE150E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37</w:t>
                  </w:r>
                </w:p>
              </w:tc>
              <w:tc>
                <w:tcPr>
                  <w:tcW w:w="269" w:type="pct"/>
                  <w:noWrap w:val="0"/>
                  <w:vAlign w:val="center"/>
                </w:tcPr>
                <w:p w14:paraId="658062E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26</w:t>
                  </w:r>
                </w:p>
              </w:tc>
              <w:tc>
                <w:tcPr>
                  <w:tcW w:w="269" w:type="pct"/>
                  <w:noWrap w:val="0"/>
                  <w:vAlign w:val="center"/>
                </w:tcPr>
                <w:p w14:paraId="59C4DC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71B48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49F446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w:t>
                  </w:r>
                </w:p>
                <w:p w14:paraId="2EE85E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772F3E2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北：74</w:t>
                  </w:r>
                </w:p>
              </w:tc>
              <w:tc>
                <w:tcPr>
                  <w:tcW w:w="422" w:type="pct"/>
                  <w:noWrap w:val="0"/>
                  <w:vAlign w:val="center"/>
                </w:tcPr>
                <w:p w14:paraId="3AC8C8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东：39.9</w:t>
                  </w:r>
                </w:p>
                <w:p w14:paraId="26AA7C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南：36.7</w:t>
                  </w:r>
                </w:p>
                <w:p w14:paraId="649B18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西：33.6</w:t>
                  </w:r>
                </w:p>
                <w:p w14:paraId="54E419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北：27.6</w:t>
                  </w:r>
                </w:p>
              </w:tc>
              <w:tc>
                <w:tcPr>
                  <w:tcW w:w="455" w:type="pct"/>
                  <w:vMerge w:val="continue"/>
                  <w:noWrap w:val="0"/>
                  <w:vAlign w:val="center"/>
                </w:tcPr>
                <w:p w14:paraId="67F8F3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222232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69F84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东：19.9</w:t>
                  </w:r>
                </w:p>
                <w:p w14:paraId="51CB8C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南：16.7</w:t>
                  </w:r>
                </w:p>
                <w:p w14:paraId="05BE45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西：13.6</w:t>
                  </w:r>
                </w:p>
                <w:p w14:paraId="462403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北：7.6</w:t>
                  </w:r>
                </w:p>
              </w:tc>
              <w:tc>
                <w:tcPr>
                  <w:tcW w:w="206" w:type="pct"/>
                  <w:noWrap w:val="0"/>
                  <w:vAlign w:val="center"/>
                </w:tcPr>
                <w:p w14:paraId="31D049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6342A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06AA35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4FD43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DC8677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1EC6DA98">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E9362B8">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A2D9921">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0F5227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4A6A26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37</w:t>
                  </w:r>
                </w:p>
              </w:tc>
              <w:tc>
                <w:tcPr>
                  <w:tcW w:w="269" w:type="pct"/>
                  <w:noWrap w:val="0"/>
                  <w:vAlign w:val="center"/>
                </w:tcPr>
                <w:p w14:paraId="5AC3008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22</w:t>
                  </w:r>
                </w:p>
              </w:tc>
              <w:tc>
                <w:tcPr>
                  <w:tcW w:w="269" w:type="pct"/>
                  <w:noWrap w:val="0"/>
                  <w:vAlign w:val="center"/>
                </w:tcPr>
                <w:p w14:paraId="44C132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34BC3C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13DE50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w:t>
                  </w:r>
                </w:p>
                <w:p w14:paraId="0C3E52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665701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北：78</w:t>
                  </w:r>
                </w:p>
              </w:tc>
              <w:tc>
                <w:tcPr>
                  <w:tcW w:w="422" w:type="pct"/>
                  <w:noWrap w:val="0"/>
                  <w:vAlign w:val="center"/>
                </w:tcPr>
                <w:p w14:paraId="2019B5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东：39.9</w:t>
                  </w:r>
                </w:p>
                <w:p w14:paraId="77BD9A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南：38.2</w:t>
                  </w:r>
                </w:p>
                <w:p w14:paraId="226841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西：33.6</w:t>
                  </w:r>
                </w:p>
                <w:p w14:paraId="2FBC50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北：27.2</w:t>
                  </w:r>
                </w:p>
              </w:tc>
              <w:tc>
                <w:tcPr>
                  <w:tcW w:w="455" w:type="pct"/>
                  <w:vMerge w:val="continue"/>
                  <w:noWrap w:val="0"/>
                  <w:vAlign w:val="center"/>
                </w:tcPr>
                <w:p w14:paraId="48F9EC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A408C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957FD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东：19.9</w:t>
                  </w:r>
                </w:p>
                <w:p w14:paraId="19650F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南：18.2</w:t>
                  </w:r>
                </w:p>
                <w:p w14:paraId="66E6E6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西：13.6</w:t>
                  </w:r>
                </w:p>
                <w:p w14:paraId="389E1F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北：7.2</w:t>
                  </w:r>
                </w:p>
              </w:tc>
              <w:tc>
                <w:tcPr>
                  <w:tcW w:w="206" w:type="pct"/>
                  <w:noWrap w:val="0"/>
                  <w:vAlign w:val="center"/>
                </w:tcPr>
                <w:p w14:paraId="18A3B2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75D35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468EDB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0409E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BA467C3">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空压机</w:t>
                  </w:r>
                </w:p>
              </w:tc>
              <w:tc>
                <w:tcPr>
                  <w:tcW w:w="247" w:type="pct"/>
                  <w:noWrap w:val="0"/>
                  <w:vAlign w:val="center"/>
                </w:tcPr>
                <w:p w14:paraId="11882419">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31C3FF1">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D1D1D9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4C45C9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A1E631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37</w:t>
                  </w:r>
                </w:p>
              </w:tc>
              <w:tc>
                <w:tcPr>
                  <w:tcW w:w="269" w:type="pct"/>
                  <w:noWrap w:val="0"/>
                  <w:vAlign w:val="center"/>
                </w:tcPr>
                <w:p w14:paraId="0829738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18</w:t>
                  </w:r>
                </w:p>
              </w:tc>
              <w:tc>
                <w:tcPr>
                  <w:tcW w:w="269" w:type="pct"/>
                  <w:noWrap w:val="0"/>
                  <w:vAlign w:val="center"/>
                </w:tcPr>
                <w:p w14:paraId="231C68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38CF6B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3B7D7A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南：18</w:t>
                  </w:r>
                </w:p>
                <w:p w14:paraId="40C778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10196B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北：82</w:t>
                  </w:r>
                </w:p>
              </w:tc>
              <w:tc>
                <w:tcPr>
                  <w:tcW w:w="422" w:type="pct"/>
                  <w:noWrap w:val="0"/>
                  <w:vAlign w:val="center"/>
                </w:tcPr>
                <w:p w14:paraId="74EB52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东：39.9</w:t>
                  </w:r>
                </w:p>
                <w:p w14:paraId="07AEAA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南：39.9</w:t>
                  </w:r>
                </w:p>
                <w:p w14:paraId="1892E8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西：33.6</w:t>
                  </w:r>
                </w:p>
                <w:p w14:paraId="662693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北：26.7</w:t>
                  </w:r>
                </w:p>
              </w:tc>
              <w:tc>
                <w:tcPr>
                  <w:tcW w:w="455" w:type="pct"/>
                  <w:vMerge w:val="continue"/>
                  <w:noWrap w:val="0"/>
                  <w:vAlign w:val="center"/>
                </w:tcPr>
                <w:p w14:paraId="173F97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5B192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86CE6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东：19.9</w:t>
                  </w:r>
                </w:p>
                <w:p w14:paraId="3AF300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南：19.9</w:t>
                  </w:r>
                </w:p>
                <w:p w14:paraId="587782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西：13.6</w:t>
                  </w:r>
                </w:p>
                <w:p w14:paraId="597F17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北：6.7</w:t>
                  </w:r>
                </w:p>
              </w:tc>
              <w:tc>
                <w:tcPr>
                  <w:tcW w:w="206" w:type="pct"/>
                  <w:noWrap w:val="0"/>
                  <w:vAlign w:val="center"/>
                </w:tcPr>
                <w:p w14:paraId="25D40A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4EEC20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E5ABEC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D68DF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C0F33D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空压机</w:t>
                  </w:r>
                </w:p>
              </w:tc>
              <w:tc>
                <w:tcPr>
                  <w:tcW w:w="247" w:type="pct"/>
                  <w:noWrap w:val="0"/>
                  <w:vAlign w:val="center"/>
                </w:tcPr>
                <w:p w14:paraId="69408037">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80F149D">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color w:val="auto"/>
                      <w:sz w:val="18"/>
                      <w:szCs w:val="18"/>
                    </w:rPr>
                    <w:t>1</w:t>
                  </w:r>
                </w:p>
              </w:tc>
              <w:tc>
                <w:tcPr>
                  <w:tcW w:w="328" w:type="pct"/>
                  <w:noWrap w:val="0"/>
                  <w:vAlign w:val="center"/>
                </w:tcPr>
                <w:p w14:paraId="3CFF3E6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095245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E4D3B9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kern w:val="2"/>
                      <w:sz w:val="18"/>
                      <w:szCs w:val="18"/>
                      <w:highlight w:val="none"/>
                      <w:lang w:val="en-US" w:eastAsia="zh-CN" w:bidi="ar-SA"/>
                    </w:rPr>
                    <w:t>37</w:t>
                  </w:r>
                </w:p>
              </w:tc>
              <w:tc>
                <w:tcPr>
                  <w:tcW w:w="269" w:type="pct"/>
                  <w:noWrap w:val="0"/>
                  <w:vAlign w:val="center"/>
                </w:tcPr>
                <w:p w14:paraId="3E495C1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kern w:val="2"/>
                      <w:sz w:val="18"/>
                      <w:szCs w:val="18"/>
                      <w:highlight w:val="none"/>
                      <w:lang w:val="en-US" w:eastAsia="zh-CN" w:bidi="ar-SA"/>
                    </w:rPr>
                    <w:t>10</w:t>
                  </w:r>
                </w:p>
              </w:tc>
              <w:tc>
                <w:tcPr>
                  <w:tcW w:w="269" w:type="pct"/>
                  <w:noWrap w:val="0"/>
                  <w:vAlign w:val="center"/>
                </w:tcPr>
                <w:p w14:paraId="2C4B48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5B063D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东：18</w:t>
                  </w:r>
                </w:p>
                <w:p w14:paraId="27C710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w:t>
                  </w:r>
                </w:p>
                <w:p w14:paraId="6A46E4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0A2739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北：90</w:t>
                  </w:r>
                </w:p>
              </w:tc>
              <w:tc>
                <w:tcPr>
                  <w:tcW w:w="422" w:type="pct"/>
                  <w:noWrap w:val="0"/>
                  <w:vAlign w:val="center"/>
                </w:tcPr>
                <w:p w14:paraId="6E6DE7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东：39.9</w:t>
                  </w:r>
                </w:p>
                <w:p w14:paraId="14F814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南：45</w:t>
                  </w:r>
                </w:p>
                <w:p w14:paraId="102330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西：33.6</w:t>
                  </w:r>
                </w:p>
                <w:p w14:paraId="6B595D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北：25.9</w:t>
                  </w:r>
                </w:p>
              </w:tc>
              <w:tc>
                <w:tcPr>
                  <w:tcW w:w="455" w:type="pct"/>
                  <w:vMerge w:val="continue"/>
                  <w:noWrap w:val="0"/>
                  <w:vAlign w:val="center"/>
                </w:tcPr>
                <w:p w14:paraId="1ECBD6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255D0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052508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东：19.9</w:t>
                  </w:r>
                </w:p>
                <w:p w14:paraId="504340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0542A4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西：13.6</w:t>
                  </w:r>
                </w:p>
                <w:p w14:paraId="2ED25F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北：5.9</w:t>
                  </w:r>
                </w:p>
              </w:tc>
              <w:tc>
                <w:tcPr>
                  <w:tcW w:w="206" w:type="pct"/>
                  <w:noWrap w:val="0"/>
                  <w:vAlign w:val="center"/>
                </w:tcPr>
                <w:p w14:paraId="3A772F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22D7F6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CA4C9C3">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FC1F7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91A6C7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495F826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E706B26">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67CF5BE4">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63C700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1A3038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50</w:t>
                  </w:r>
                </w:p>
              </w:tc>
              <w:tc>
                <w:tcPr>
                  <w:tcW w:w="269" w:type="pct"/>
                  <w:noWrap w:val="0"/>
                  <w:vAlign w:val="center"/>
                </w:tcPr>
                <w:p w14:paraId="0CA1CC8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10</w:t>
                  </w:r>
                </w:p>
              </w:tc>
              <w:tc>
                <w:tcPr>
                  <w:tcW w:w="269" w:type="pct"/>
                  <w:noWrap w:val="0"/>
                  <w:vAlign w:val="center"/>
                </w:tcPr>
                <w:p w14:paraId="4CC866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57D0F4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w:t>
                  </w:r>
                </w:p>
                <w:p w14:paraId="2EA39B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w:t>
                  </w:r>
                </w:p>
                <w:p w14:paraId="099FE6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西：50</w:t>
                  </w:r>
                </w:p>
                <w:p w14:paraId="57B5D3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北：90</w:t>
                  </w:r>
                </w:p>
              </w:tc>
              <w:tc>
                <w:tcPr>
                  <w:tcW w:w="422" w:type="pct"/>
                  <w:noWrap w:val="0"/>
                  <w:vAlign w:val="center"/>
                </w:tcPr>
                <w:p w14:paraId="3EEEF8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东：51</w:t>
                  </w:r>
                </w:p>
                <w:p w14:paraId="349993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南：45</w:t>
                  </w:r>
                </w:p>
                <w:p w14:paraId="0EC83E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西：31</w:t>
                  </w:r>
                </w:p>
                <w:p w14:paraId="41CA92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北：25.9</w:t>
                  </w:r>
                </w:p>
              </w:tc>
              <w:tc>
                <w:tcPr>
                  <w:tcW w:w="455" w:type="pct"/>
                  <w:vMerge w:val="continue"/>
                  <w:noWrap w:val="0"/>
                  <w:vAlign w:val="center"/>
                </w:tcPr>
                <w:p w14:paraId="612BDD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DB61C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D6F8E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w:t>
                  </w:r>
                </w:p>
                <w:p w14:paraId="344C63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63FA2D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西：11</w:t>
                  </w:r>
                </w:p>
                <w:p w14:paraId="57ECBB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北：5.9</w:t>
                  </w:r>
                </w:p>
              </w:tc>
              <w:tc>
                <w:tcPr>
                  <w:tcW w:w="206" w:type="pct"/>
                  <w:noWrap w:val="0"/>
                  <w:vAlign w:val="center"/>
                </w:tcPr>
                <w:p w14:paraId="7297EC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1A3AA4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1F0CBD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0F569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B9F157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0C22393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854C98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02BDC69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3BB9FA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DCB95E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50</w:t>
                  </w:r>
                </w:p>
              </w:tc>
              <w:tc>
                <w:tcPr>
                  <w:tcW w:w="269" w:type="pct"/>
                  <w:noWrap w:val="0"/>
                  <w:vAlign w:val="center"/>
                </w:tcPr>
                <w:p w14:paraId="199D5D8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30</w:t>
                  </w:r>
                </w:p>
              </w:tc>
              <w:tc>
                <w:tcPr>
                  <w:tcW w:w="269" w:type="pct"/>
                  <w:noWrap w:val="0"/>
                  <w:vAlign w:val="center"/>
                </w:tcPr>
                <w:p w14:paraId="22FFFC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04DF4B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w:t>
                  </w:r>
                </w:p>
                <w:p w14:paraId="75DBB2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南：30</w:t>
                  </w:r>
                </w:p>
                <w:p w14:paraId="59C6D7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西：50</w:t>
                  </w:r>
                </w:p>
                <w:p w14:paraId="6C227C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北：70</w:t>
                  </w:r>
                </w:p>
              </w:tc>
              <w:tc>
                <w:tcPr>
                  <w:tcW w:w="422" w:type="pct"/>
                  <w:noWrap w:val="0"/>
                  <w:vAlign w:val="center"/>
                </w:tcPr>
                <w:p w14:paraId="406004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东：51</w:t>
                  </w:r>
                </w:p>
                <w:p w14:paraId="186681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南：35.5</w:t>
                  </w:r>
                </w:p>
                <w:p w14:paraId="5F2AA0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西：31</w:t>
                  </w:r>
                </w:p>
                <w:p w14:paraId="23F277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北：28.1</w:t>
                  </w:r>
                </w:p>
              </w:tc>
              <w:tc>
                <w:tcPr>
                  <w:tcW w:w="455" w:type="pct"/>
                  <w:vMerge w:val="continue"/>
                  <w:noWrap w:val="0"/>
                  <w:vAlign w:val="center"/>
                </w:tcPr>
                <w:p w14:paraId="5A49EB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58B00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23575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w:t>
                  </w:r>
                </w:p>
                <w:p w14:paraId="1EB2B3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南：15.5</w:t>
                  </w:r>
                </w:p>
                <w:p w14:paraId="60FF39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西：11</w:t>
                  </w:r>
                </w:p>
                <w:p w14:paraId="6C790F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北：8.1</w:t>
                  </w:r>
                </w:p>
              </w:tc>
              <w:tc>
                <w:tcPr>
                  <w:tcW w:w="206" w:type="pct"/>
                  <w:noWrap w:val="0"/>
                  <w:vAlign w:val="center"/>
                </w:tcPr>
                <w:p w14:paraId="293921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2A6F3E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B046CB6">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F3B08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52BCFD8">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08D14E8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A42988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2A60676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234944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0AED51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50</w:t>
                  </w:r>
                </w:p>
              </w:tc>
              <w:tc>
                <w:tcPr>
                  <w:tcW w:w="269" w:type="pct"/>
                  <w:noWrap w:val="0"/>
                  <w:vAlign w:val="center"/>
                </w:tcPr>
                <w:p w14:paraId="2CD8795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50</w:t>
                  </w:r>
                </w:p>
              </w:tc>
              <w:tc>
                <w:tcPr>
                  <w:tcW w:w="269" w:type="pct"/>
                  <w:noWrap w:val="0"/>
                  <w:vAlign w:val="center"/>
                </w:tcPr>
                <w:p w14:paraId="09702C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4EFACB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w:t>
                  </w:r>
                </w:p>
                <w:p w14:paraId="768E1D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499ECC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西：50</w:t>
                  </w:r>
                </w:p>
                <w:p w14:paraId="152156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北：50</w:t>
                  </w:r>
                </w:p>
              </w:tc>
              <w:tc>
                <w:tcPr>
                  <w:tcW w:w="422" w:type="pct"/>
                  <w:noWrap w:val="0"/>
                  <w:vAlign w:val="center"/>
                </w:tcPr>
                <w:p w14:paraId="0DE932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东：51</w:t>
                  </w:r>
                </w:p>
                <w:p w14:paraId="448AAC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w:t>
                  </w:r>
                </w:p>
                <w:p w14:paraId="4155F2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西：31</w:t>
                  </w:r>
                </w:p>
                <w:p w14:paraId="378F0A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北：31</w:t>
                  </w:r>
                </w:p>
              </w:tc>
              <w:tc>
                <w:tcPr>
                  <w:tcW w:w="455" w:type="pct"/>
                  <w:vMerge w:val="continue"/>
                  <w:noWrap w:val="0"/>
                  <w:vAlign w:val="center"/>
                </w:tcPr>
                <w:p w14:paraId="72CA36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2CDC7A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38F6A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w:t>
                  </w:r>
                </w:p>
                <w:p w14:paraId="743DEA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w:t>
                  </w:r>
                </w:p>
                <w:p w14:paraId="25E204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西：11</w:t>
                  </w:r>
                </w:p>
                <w:p w14:paraId="09E53AC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北：11</w:t>
                  </w:r>
                </w:p>
              </w:tc>
              <w:tc>
                <w:tcPr>
                  <w:tcW w:w="206" w:type="pct"/>
                  <w:noWrap w:val="0"/>
                  <w:vAlign w:val="center"/>
                </w:tcPr>
                <w:p w14:paraId="6CBC47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3C63AC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2EC81A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F89C3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1CDD86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3B9CA1DB">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9ABDF1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51CCD553">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004B1E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525223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50</w:t>
                  </w:r>
                </w:p>
              </w:tc>
              <w:tc>
                <w:tcPr>
                  <w:tcW w:w="269" w:type="pct"/>
                  <w:noWrap w:val="0"/>
                  <w:vAlign w:val="center"/>
                </w:tcPr>
                <w:p w14:paraId="646AB69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70</w:t>
                  </w:r>
                </w:p>
              </w:tc>
              <w:tc>
                <w:tcPr>
                  <w:tcW w:w="269" w:type="pct"/>
                  <w:noWrap w:val="0"/>
                  <w:vAlign w:val="center"/>
                </w:tcPr>
                <w:p w14:paraId="534DFE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17DE16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w:t>
                  </w:r>
                </w:p>
                <w:p w14:paraId="54C286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南：70</w:t>
                  </w:r>
                </w:p>
                <w:p w14:paraId="2067BC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西：50</w:t>
                  </w:r>
                </w:p>
                <w:p w14:paraId="6E90AF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北：30</w:t>
                  </w:r>
                </w:p>
              </w:tc>
              <w:tc>
                <w:tcPr>
                  <w:tcW w:w="422" w:type="pct"/>
                  <w:noWrap w:val="0"/>
                  <w:vAlign w:val="center"/>
                </w:tcPr>
                <w:p w14:paraId="77F642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东：51</w:t>
                  </w:r>
                </w:p>
                <w:p w14:paraId="4729AA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南：28.1</w:t>
                  </w:r>
                </w:p>
                <w:p w14:paraId="0DD8BD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西：31</w:t>
                  </w:r>
                </w:p>
                <w:p w14:paraId="31261C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北：35.5</w:t>
                  </w:r>
                </w:p>
              </w:tc>
              <w:tc>
                <w:tcPr>
                  <w:tcW w:w="455" w:type="pct"/>
                  <w:vMerge w:val="continue"/>
                  <w:noWrap w:val="0"/>
                  <w:vAlign w:val="center"/>
                </w:tcPr>
                <w:p w14:paraId="667504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AFDA1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AD48B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w:t>
                  </w:r>
                </w:p>
                <w:p w14:paraId="4CBCAF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南：8.1</w:t>
                  </w:r>
                </w:p>
                <w:p w14:paraId="113F67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西：11</w:t>
                  </w:r>
                </w:p>
                <w:p w14:paraId="69913A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北：15.5</w:t>
                  </w:r>
                </w:p>
              </w:tc>
              <w:tc>
                <w:tcPr>
                  <w:tcW w:w="206" w:type="pct"/>
                  <w:noWrap w:val="0"/>
                  <w:vAlign w:val="center"/>
                </w:tcPr>
                <w:p w14:paraId="723192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43C4DD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8FB056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E0577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4EF7D8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22131575">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A651A2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612D9BAE">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503D3A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3FA2B6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50</w:t>
                  </w:r>
                </w:p>
              </w:tc>
              <w:tc>
                <w:tcPr>
                  <w:tcW w:w="269" w:type="pct"/>
                  <w:noWrap w:val="0"/>
                  <w:vAlign w:val="center"/>
                </w:tcPr>
                <w:p w14:paraId="6E4B3AF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90</w:t>
                  </w:r>
                </w:p>
              </w:tc>
              <w:tc>
                <w:tcPr>
                  <w:tcW w:w="269" w:type="pct"/>
                  <w:noWrap w:val="0"/>
                  <w:vAlign w:val="center"/>
                </w:tcPr>
                <w:p w14:paraId="233665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2B37C9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w:t>
                  </w:r>
                </w:p>
                <w:p w14:paraId="499258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76F107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西：50</w:t>
                  </w:r>
                </w:p>
                <w:p w14:paraId="4F2E6F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北：10</w:t>
                  </w:r>
                </w:p>
              </w:tc>
              <w:tc>
                <w:tcPr>
                  <w:tcW w:w="422" w:type="pct"/>
                  <w:noWrap w:val="0"/>
                  <w:vAlign w:val="center"/>
                </w:tcPr>
                <w:p w14:paraId="4E7707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东：51</w:t>
                  </w:r>
                </w:p>
                <w:p w14:paraId="58A6A8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南：25.9</w:t>
                  </w:r>
                </w:p>
                <w:p w14:paraId="612511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西：31</w:t>
                  </w:r>
                </w:p>
                <w:p w14:paraId="6F3C21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北：45</w:t>
                  </w:r>
                </w:p>
              </w:tc>
              <w:tc>
                <w:tcPr>
                  <w:tcW w:w="455" w:type="pct"/>
                  <w:vMerge w:val="continue"/>
                  <w:noWrap w:val="0"/>
                  <w:vAlign w:val="center"/>
                </w:tcPr>
                <w:p w14:paraId="1EB2F4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5C0A5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A0D97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w:t>
                  </w:r>
                </w:p>
                <w:p w14:paraId="3C5E9A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南：5.9</w:t>
                  </w:r>
                </w:p>
                <w:p w14:paraId="1C4256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西：11</w:t>
                  </w:r>
                </w:p>
                <w:p w14:paraId="1C4F56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北：35</w:t>
                  </w:r>
                </w:p>
              </w:tc>
              <w:tc>
                <w:tcPr>
                  <w:tcW w:w="206" w:type="pct"/>
                  <w:noWrap w:val="0"/>
                  <w:vAlign w:val="center"/>
                </w:tcPr>
                <w:p w14:paraId="0850C4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5BE92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05CD80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AA5BF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BC52D7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2AD2F13E">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DCA6F4C">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562FF1D7">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0BD4C3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778FFE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29DDA7D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10</w:t>
                  </w:r>
                </w:p>
              </w:tc>
              <w:tc>
                <w:tcPr>
                  <w:tcW w:w="269" w:type="pct"/>
                  <w:noWrap w:val="0"/>
                  <w:vAlign w:val="center"/>
                </w:tcPr>
                <w:p w14:paraId="39CDFF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37D022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2CC85B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w:t>
                  </w:r>
                </w:p>
                <w:p w14:paraId="0F0736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4C3AAF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北：90</w:t>
                  </w:r>
                </w:p>
              </w:tc>
              <w:tc>
                <w:tcPr>
                  <w:tcW w:w="422" w:type="pct"/>
                  <w:noWrap w:val="0"/>
                  <w:vAlign w:val="center"/>
                </w:tcPr>
                <w:p w14:paraId="04D3DA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东：41.5</w:t>
                  </w:r>
                </w:p>
                <w:p w14:paraId="2F4591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南：45</w:t>
                  </w:r>
                </w:p>
                <w:p w14:paraId="3A7262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w:t>
                  </w:r>
                </w:p>
                <w:p w14:paraId="2F20D3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北：25.9</w:t>
                  </w:r>
                </w:p>
              </w:tc>
              <w:tc>
                <w:tcPr>
                  <w:tcW w:w="455" w:type="pct"/>
                  <w:vMerge w:val="continue"/>
                  <w:noWrap w:val="0"/>
                  <w:vAlign w:val="center"/>
                </w:tcPr>
                <w:p w14:paraId="28726B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AA090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C4EA8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东：21.5</w:t>
                  </w:r>
                </w:p>
                <w:p w14:paraId="252E2F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072392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w:t>
                  </w:r>
                </w:p>
                <w:p w14:paraId="26AA52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北：5.9</w:t>
                  </w:r>
                </w:p>
              </w:tc>
              <w:tc>
                <w:tcPr>
                  <w:tcW w:w="206" w:type="pct"/>
                  <w:noWrap w:val="0"/>
                  <w:vAlign w:val="center"/>
                </w:tcPr>
                <w:p w14:paraId="4E5C4E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494071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42AF32D">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85D44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8BAF6D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3249E995">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704E14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6D79E5F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78C33F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2A2081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03779C5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30</w:t>
                  </w:r>
                </w:p>
              </w:tc>
              <w:tc>
                <w:tcPr>
                  <w:tcW w:w="269" w:type="pct"/>
                  <w:noWrap w:val="0"/>
                  <w:vAlign w:val="center"/>
                </w:tcPr>
                <w:p w14:paraId="2C6EF2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35BF1F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218408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南：30</w:t>
                  </w:r>
                </w:p>
                <w:p w14:paraId="3C727F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3213D5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北：70</w:t>
                  </w:r>
                </w:p>
              </w:tc>
              <w:tc>
                <w:tcPr>
                  <w:tcW w:w="422" w:type="pct"/>
                  <w:noWrap w:val="0"/>
                  <w:vAlign w:val="center"/>
                </w:tcPr>
                <w:p w14:paraId="2F5366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东：41.5</w:t>
                  </w:r>
                </w:p>
                <w:p w14:paraId="1703E3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南：35.5</w:t>
                  </w:r>
                </w:p>
                <w:p w14:paraId="28F800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w:t>
                  </w:r>
                </w:p>
                <w:p w14:paraId="63210A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北：28.1</w:t>
                  </w:r>
                </w:p>
              </w:tc>
              <w:tc>
                <w:tcPr>
                  <w:tcW w:w="455" w:type="pct"/>
                  <w:vMerge w:val="continue"/>
                  <w:noWrap w:val="0"/>
                  <w:vAlign w:val="center"/>
                </w:tcPr>
                <w:p w14:paraId="514D82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15F79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ABC43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东：21.5</w:t>
                  </w:r>
                </w:p>
                <w:p w14:paraId="1CEFBF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南：15.5</w:t>
                  </w:r>
                </w:p>
                <w:p w14:paraId="540DA4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w:t>
                  </w:r>
                </w:p>
                <w:p w14:paraId="62EB7B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北：8.1</w:t>
                  </w:r>
                </w:p>
              </w:tc>
              <w:tc>
                <w:tcPr>
                  <w:tcW w:w="206" w:type="pct"/>
                  <w:noWrap w:val="0"/>
                  <w:vAlign w:val="center"/>
                </w:tcPr>
                <w:p w14:paraId="07FA0F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4298FC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E60FCD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FAC65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B109070">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0B10A8F9">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4480BB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04DE4EC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0BB2EB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D4FFDB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7C847B9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50</w:t>
                  </w:r>
                </w:p>
              </w:tc>
              <w:tc>
                <w:tcPr>
                  <w:tcW w:w="269" w:type="pct"/>
                  <w:noWrap w:val="0"/>
                  <w:vAlign w:val="center"/>
                </w:tcPr>
                <w:p w14:paraId="13FC57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5F28B4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5C1BB7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23846E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78B5C2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北：50</w:t>
                  </w:r>
                </w:p>
              </w:tc>
              <w:tc>
                <w:tcPr>
                  <w:tcW w:w="422" w:type="pct"/>
                  <w:noWrap w:val="0"/>
                  <w:vAlign w:val="center"/>
                </w:tcPr>
                <w:p w14:paraId="46FBFF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东：41.5</w:t>
                  </w:r>
                </w:p>
                <w:p w14:paraId="470623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w:t>
                  </w:r>
                </w:p>
                <w:p w14:paraId="775D29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w:t>
                  </w:r>
                </w:p>
                <w:p w14:paraId="3829EB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北：31</w:t>
                  </w:r>
                </w:p>
              </w:tc>
              <w:tc>
                <w:tcPr>
                  <w:tcW w:w="455" w:type="pct"/>
                  <w:vMerge w:val="continue"/>
                  <w:noWrap w:val="0"/>
                  <w:vAlign w:val="center"/>
                </w:tcPr>
                <w:p w14:paraId="567556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9FACF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1BA39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东：21.5</w:t>
                  </w:r>
                </w:p>
                <w:p w14:paraId="73D488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w:t>
                  </w:r>
                </w:p>
                <w:p w14:paraId="705F2E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w:t>
                  </w:r>
                </w:p>
                <w:p w14:paraId="3BC292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北：11</w:t>
                  </w:r>
                </w:p>
              </w:tc>
              <w:tc>
                <w:tcPr>
                  <w:tcW w:w="206" w:type="pct"/>
                  <w:noWrap w:val="0"/>
                  <w:vAlign w:val="center"/>
                </w:tcPr>
                <w:p w14:paraId="12221A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2CD4F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C538AF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C98E6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1E221C8">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6EEC5F2C">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AC75D6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61F34325">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5703CF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A32A95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3EBC7B4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70</w:t>
                  </w:r>
                </w:p>
              </w:tc>
              <w:tc>
                <w:tcPr>
                  <w:tcW w:w="269" w:type="pct"/>
                  <w:noWrap w:val="0"/>
                  <w:vAlign w:val="center"/>
                </w:tcPr>
                <w:p w14:paraId="0AB3A9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2461E0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087D42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南：70</w:t>
                  </w:r>
                </w:p>
                <w:p w14:paraId="00CD0D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320787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北：30</w:t>
                  </w:r>
                </w:p>
              </w:tc>
              <w:tc>
                <w:tcPr>
                  <w:tcW w:w="422" w:type="pct"/>
                  <w:noWrap w:val="0"/>
                  <w:vAlign w:val="center"/>
                </w:tcPr>
                <w:p w14:paraId="258822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东：41.5</w:t>
                  </w:r>
                </w:p>
                <w:p w14:paraId="62112E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南：28.1</w:t>
                  </w:r>
                </w:p>
                <w:p w14:paraId="742FDB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w:t>
                  </w:r>
                </w:p>
                <w:p w14:paraId="27C435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北：35.5</w:t>
                  </w:r>
                </w:p>
              </w:tc>
              <w:tc>
                <w:tcPr>
                  <w:tcW w:w="455" w:type="pct"/>
                  <w:vMerge w:val="continue"/>
                  <w:noWrap w:val="0"/>
                  <w:vAlign w:val="center"/>
                </w:tcPr>
                <w:p w14:paraId="1B892F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061BE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14987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东：21.5</w:t>
                  </w:r>
                </w:p>
                <w:p w14:paraId="3D2234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南：8.1</w:t>
                  </w:r>
                </w:p>
                <w:p w14:paraId="0CD2E0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w:t>
                  </w:r>
                </w:p>
                <w:p w14:paraId="532EEE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北：15.5</w:t>
                  </w:r>
                </w:p>
              </w:tc>
              <w:tc>
                <w:tcPr>
                  <w:tcW w:w="206" w:type="pct"/>
                  <w:noWrap w:val="0"/>
                  <w:vAlign w:val="center"/>
                </w:tcPr>
                <w:p w14:paraId="07F378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69C2D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B5C8CC9">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3B65F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78B6B68">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277EDD7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15C633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3B35DFB6">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7A816E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662615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1B717F7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90</w:t>
                  </w:r>
                </w:p>
              </w:tc>
              <w:tc>
                <w:tcPr>
                  <w:tcW w:w="269" w:type="pct"/>
                  <w:noWrap w:val="0"/>
                  <w:vAlign w:val="center"/>
                </w:tcPr>
                <w:p w14:paraId="6EF3D0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768C41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060109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002F65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5C4A07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北：10</w:t>
                  </w:r>
                </w:p>
              </w:tc>
              <w:tc>
                <w:tcPr>
                  <w:tcW w:w="422" w:type="pct"/>
                  <w:noWrap w:val="0"/>
                  <w:vAlign w:val="center"/>
                </w:tcPr>
                <w:p w14:paraId="4FAC44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东：41.5</w:t>
                  </w:r>
                </w:p>
                <w:p w14:paraId="141F2A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南：25.9</w:t>
                  </w:r>
                </w:p>
                <w:p w14:paraId="6FBD9E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w:t>
                  </w:r>
                </w:p>
                <w:p w14:paraId="11AF68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北：45</w:t>
                  </w:r>
                </w:p>
              </w:tc>
              <w:tc>
                <w:tcPr>
                  <w:tcW w:w="455" w:type="pct"/>
                  <w:vMerge w:val="continue"/>
                  <w:noWrap w:val="0"/>
                  <w:vAlign w:val="center"/>
                </w:tcPr>
                <w:p w14:paraId="2C3282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D4CB0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EB2EC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东：21.5</w:t>
                  </w:r>
                </w:p>
                <w:p w14:paraId="2B866B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南：5.9</w:t>
                  </w:r>
                </w:p>
                <w:p w14:paraId="4AD051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w:t>
                  </w:r>
                </w:p>
                <w:p w14:paraId="20F2A5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北：25</w:t>
                  </w:r>
                </w:p>
              </w:tc>
              <w:tc>
                <w:tcPr>
                  <w:tcW w:w="206" w:type="pct"/>
                  <w:noWrap w:val="0"/>
                  <w:vAlign w:val="center"/>
                </w:tcPr>
                <w:p w14:paraId="31707C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3D4C7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0B1F4B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0E7FC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5FCF97A">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02C2E5D1">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E1A9A2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07CA293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2E6A27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82BD3A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25</w:t>
                  </w:r>
                </w:p>
              </w:tc>
              <w:tc>
                <w:tcPr>
                  <w:tcW w:w="269" w:type="pct"/>
                  <w:noWrap w:val="0"/>
                  <w:vAlign w:val="center"/>
                </w:tcPr>
                <w:p w14:paraId="2589915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10</w:t>
                  </w:r>
                </w:p>
              </w:tc>
              <w:tc>
                <w:tcPr>
                  <w:tcW w:w="269" w:type="pct"/>
                  <w:noWrap w:val="0"/>
                  <w:vAlign w:val="center"/>
                </w:tcPr>
                <w:p w14:paraId="68EE76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357393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w:t>
                  </w:r>
                </w:p>
                <w:p w14:paraId="1A63C1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w:t>
                  </w:r>
                </w:p>
                <w:p w14:paraId="60E238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6A66F3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北：90</w:t>
                  </w:r>
                </w:p>
              </w:tc>
              <w:tc>
                <w:tcPr>
                  <w:tcW w:w="422" w:type="pct"/>
                  <w:noWrap w:val="0"/>
                  <w:vAlign w:val="center"/>
                </w:tcPr>
                <w:p w14:paraId="1FA2FF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东：35.5</w:t>
                  </w:r>
                </w:p>
                <w:p w14:paraId="33797D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南：45</w:t>
                  </w:r>
                </w:p>
                <w:p w14:paraId="567C8C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54C1A4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北：25.9</w:t>
                  </w:r>
                </w:p>
              </w:tc>
              <w:tc>
                <w:tcPr>
                  <w:tcW w:w="455" w:type="pct"/>
                  <w:vMerge w:val="continue"/>
                  <w:noWrap w:val="0"/>
                  <w:vAlign w:val="center"/>
                </w:tcPr>
                <w:p w14:paraId="699A99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26935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89D8A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东：15.5</w:t>
                  </w:r>
                </w:p>
                <w:p w14:paraId="0883EF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744CBC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西：17</w:t>
                  </w:r>
                </w:p>
                <w:p w14:paraId="7D4625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北：5.9</w:t>
                  </w:r>
                </w:p>
              </w:tc>
              <w:tc>
                <w:tcPr>
                  <w:tcW w:w="206" w:type="pct"/>
                  <w:noWrap w:val="0"/>
                  <w:vAlign w:val="center"/>
                </w:tcPr>
                <w:p w14:paraId="781B52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2E156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612BA5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7523B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DAF505C">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52CCAFE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4CC122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73DCF624">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33F92F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37B032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25</w:t>
                  </w:r>
                </w:p>
              </w:tc>
              <w:tc>
                <w:tcPr>
                  <w:tcW w:w="269" w:type="pct"/>
                  <w:noWrap w:val="0"/>
                  <w:vAlign w:val="center"/>
                </w:tcPr>
                <w:p w14:paraId="76C89EA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30</w:t>
                  </w:r>
                </w:p>
              </w:tc>
              <w:tc>
                <w:tcPr>
                  <w:tcW w:w="269" w:type="pct"/>
                  <w:noWrap w:val="0"/>
                  <w:vAlign w:val="center"/>
                </w:tcPr>
                <w:p w14:paraId="647154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441B1F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w:t>
                  </w:r>
                </w:p>
                <w:p w14:paraId="05F2C9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南：30</w:t>
                  </w:r>
                </w:p>
                <w:p w14:paraId="1F0936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088040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北：70</w:t>
                  </w:r>
                </w:p>
              </w:tc>
              <w:tc>
                <w:tcPr>
                  <w:tcW w:w="422" w:type="pct"/>
                  <w:noWrap w:val="0"/>
                  <w:vAlign w:val="center"/>
                </w:tcPr>
                <w:p w14:paraId="540629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东：35.5</w:t>
                  </w:r>
                </w:p>
                <w:p w14:paraId="71281F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南：35.5</w:t>
                  </w:r>
                </w:p>
                <w:p w14:paraId="0F22FD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634710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北：28.1</w:t>
                  </w:r>
                </w:p>
              </w:tc>
              <w:tc>
                <w:tcPr>
                  <w:tcW w:w="455" w:type="pct"/>
                  <w:vMerge w:val="continue"/>
                  <w:noWrap w:val="0"/>
                  <w:vAlign w:val="center"/>
                </w:tcPr>
                <w:p w14:paraId="1C1207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1491D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A3887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东：15.5</w:t>
                  </w:r>
                </w:p>
                <w:p w14:paraId="047083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南：15.5</w:t>
                  </w:r>
                </w:p>
                <w:p w14:paraId="621A95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西：17</w:t>
                  </w:r>
                </w:p>
                <w:p w14:paraId="267466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北：8.1</w:t>
                  </w:r>
                </w:p>
              </w:tc>
              <w:tc>
                <w:tcPr>
                  <w:tcW w:w="206" w:type="pct"/>
                  <w:noWrap w:val="0"/>
                  <w:vAlign w:val="center"/>
                </w:tcPr>
                <w:p w14:paraId="4BD224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7512B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15CFC2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49663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99BEBF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4E97356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8A418EC">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05CACDE4">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69EFFD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E7707D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25</w:t>
                  </w:r>
                </w:p>
              </w:tc>
              <w:tc>
                <w:tcPr>
                  <w:tcW w:w="269" w:type="pct"/>
                  <w:noWrap w:val="0"/>
                  <w:vAlign w:val="center"/>
                </w:tcPr>
                <w:p w14:paraId="25BFC1E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50</w:t>
                  </w:r>
                </w:p>
              </w:tc>
              <w:tc>
                <w:tcPr>
                  <w:tcW w:w="269" w:type="pct"/>
                  <w:noWrap w:val="0"/>
                  <w:vAlign w:val="center"/>
                </w:tcPr>
                <w:p w14:paraId="384F55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4CBF5F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w:t>
                  </w:r>
                </w:p>
                <w:p w14:paraId="310A3C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1B14B1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617955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北：50</w:t>
                  </w:r>
                </w:p>
              </w:tc>
              <w:tc>
                <w:tcPr>
                  <w:tcW w:w="422" w:type="pct"/>
                  <w:noWrap w:val="0"/>
                  <w:vAlign w:val="center"/>
                </w:tcPr>
                <w:p w14:paraId="7B689E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东：35.5</w:t>
                  </w:r>
                </w:p>
                <w:p w14:paraId="54ECB7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w:t>
                  </w:r>
                </w:p>
                <w:p w14:paraId="276285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36D48B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北：31</w:t>
                  </w:r>
                </w:p>
              </w:tc>
              <w:tc>
                <w:tcPr>
                  <w:tcW w:w="455" w:type="pct"/>
                  <w:vMerge w:val="continue"/>
                  <w:noWrap w:val="0"/>
                  <w:vAlign w:val="center"/>
                </w:tcPr>
                <w:p w14:paraId="002115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295F6E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9AFF8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东：15.5</w:t>
                  </w:r>
                </w:p>
                <w:p w14:paraId="11E1FB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w:t>
                  </w:r>
                </w:p>
                <w:p w14:paraId="68FF6D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西：17</w:t>
                  </w:r>
                </w:p>
                <w:p w14:paraId="352C1E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北：11</w:t>
                  </w:r>
                </w:p>
              </w:tc>
              <w:tc>
                <w:tcPr>
                  <w:tcW w:w="206" w:type="pct"/>
                  <w:noWrap w:val="0"/>
                  <w:vAlign w:val="center"/>
                </w:tcPr>
                <w:p w14:paraId="5EC2B9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0A5EB1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04855F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1E1EB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B274098">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0B5ADFDC">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83397E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072E14F0">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1EEFC8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822083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25</w:t>
                  </w:r>
                </w:p>
              </w:tc>
              <w:tc>
                <w:tcPr>
                  <w:tcW w:w="269" w:type="pct"/>
                  <w:noWrap w:val="0"/>
                  <w:vAlign w:val="center"/>
                </w:tcPr>
                <w:p w14:paraId="0322925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70</w:t>
                  </w:r>
                </w:p>
              </w:tc>
              <w:tc>
                <w:tcPr>
                  <w:tcW w:w="269" w:type="pct"/>
                  <w:noWrap w:val="0"/>
                  <w:vAlign w:val="center"/>
                </w:tcPr>
                <w:p w14:paraId="799402B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0326BA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w:t>
                  </w:r>
                </w:p>
                <w:p w14:paraId="5AF782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南：70</w:t>
                  </w:r>
                </w:p>
                <w:p w14:paraId="78FE37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6ABFF7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北：30</w:t>
                  </w:r>
                </w:p>
              </w:tc>
              <w:tc>
                <w:tcPr>
                  <w:tcW w:w="422" w:type="pct"/>
                  <w:noWrap w:val="0"/>
                  <w:vAlign w:val="center"/>
                </w:tcPr>
                <w:p w14:paraId="7B5170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东：35.5</w:t>
                  </w:r>
                </w:p>
                <w:p w14:paraId="111321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南：28.1</w:t>
                  </w:r>
                </w:p>
                <w:p w14:paraId="7113B6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6AF471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北：35.5</w:t>
                  </w:r>
                </w:p>
              </w:tc>
              <w:tc>
                <w:tcPr>
                  <w:tcW w:w="455" w:type="pct"/>
                  <w:vMerge w:val="continue"/>
                  <w:noWrap w:val="0"/>
                  <w:vAlign w:val="center"/>
                </w:tcPr>
                <w:p w14:paraId="7DD4F8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03F13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19534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东：15.5</w:t>
                  </w:r>
                </w:p>
                <w:p w14:paraId="64FE89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南：8.1</w:t>
                  </w:r>
                </w:p>
                <w:p w14:paraId="43FEAF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西：17</w:t>
                  </w:r>
                </w:p>
                <w:p w14:paraId="4F1694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北：15.5</w:t>
                  </w:r>
                </w:p>
              </w:tc>
              <w:tc>
                <w:tcPr>
                  <w:tcW w:w="206" w:type="pct"/>
                  <w:noWrap w:val="0"/>
                  <w:vAlign w:val="center"/>
                </w:tcPr>
                <w:p w14:paraId="26DFFD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40E35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4A4F25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76DFB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D162D1A">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1B4A6BB8">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ED4B07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3C682921">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6295AA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630CA7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25</w:t>
                  </w:r>
                </w:p>
              </w:tc>
              <w:tc>
                <w:tcPr>
                  <w:tcW w:w="269" w:type="pct"/>
                  <w:noWrap w:val="0"/>
                  <w:vAlign w:val="center"/>
                </w:tcPr>
                <w:p w14:paraId="0A250EA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90</w:t>
                  </w:r>
                </w:p>
              </w:tc>
              <w:tc>
                <w:tcPr>
                  <w:tcW w:w="269" w:type="pct"/>
                  <w:noWrap w:val="0"/>
                  <w:vAlign w:val="center"/>
                </w:tcPr>
                <w:p w14:paraId="18B487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34888C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w:t>
                  </w:r>
                </w:p>
                <w:p w14:paraId="1300E8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2547BC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37E0AB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北：10</w:t>
                  </w:r>
                </w:p>
              </w:tc>
              <w:tc>
                <w:tcPr>
                  <w:tcW w:w="422" w:type="pct"/>
                  <w:noWrap w:val="0"/>
                  <w:vAlign w:val="center"/>
                </w:tcPr>
                <w:p w14:paraId="3DD3E2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东：35.5</w:t>
                  </w:r>
                </w:p>
                <w:p w14:paraId="1BE58D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南：25.9</w:t>
                  </w:r>
                </w:p>
                <w:p w14:paraId="77A635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西：37</w:t>
                  </w:r>
                </w:p>
                <w:p w14:paraId="692ACA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北：45</w:t>
                  </w:r>
                </w:p>
              </w:tc>
              <w:tc>
                <w:tcPr>
                  <w:tcW w:w="455" w:type="pct"/>
                  <w:vMerge w:val="continue"/>
                  <w:noWrap w:val="0"/>
                  <w:vAlign w:val="center"/>
                </w:tcPr>
                <w:p w14:paraId="5576B5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69446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DFF48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东：15.5</w:t>
                  </w:r>
                </w:p>
                <w:p w14:paraId="7B8FE6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南：5.9</w:t>
                  </w:r>
                </w:p>
                <w:p w14:paraId="200F7F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西：17</w:t>
                  </w:r>
                </w:p>
                <w:p w14:paraId="4B2103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北：25</w:t>
                  </w:r>
                </w:p>
              </w:tc>
              <w:tc>
                <w:tcPr>
                  <w:tcW w:w="206" w:type="pct"/>
                  <w:noWrap w:val="0"/>
                  <w:vAlign w:val="center"/>
                </w:tcPr>
                <w:p w14:paraId="4E9BD9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13797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8D0A0A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162A1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0C5349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0AA9768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2D87920">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302705B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6873D0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7AFE70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10</w:t>
                  </w:r>
                </w:p>
              </w:tc>
              <w:tc>
                <w:tcPr>
                  <w:tcW w:w="269" w:type="pct"/>
                  <w:noWrap w:val="0"/>
                  <w:vAlign w:val="center"/>
                </w:tcPr>
                <w:p w14:paraId="0749300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10</w:t>
                  </w:r>
                </w:p>
              </w:tc>
              <w:tc>
                <w:tcPr>
                  <w:tcW w:w="269" w:type="pct"/>
                  <w:noWrap w:val="0"/>
                  <w:vAlign w:val="center"/>
                </w:tcPr>
                <w:p w14:paraId="483B46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2CA433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4E70AA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w:t>
                  </w:r>
                </w:p>
                <w:p w14:paraId="2F1249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7AE6EC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北：90</w:t>
                  </w:r>
                </w:p>
              </w:tc>
              <w:tc>
                <w:tcPr>
                  <w:tcW w:w="422" w:type="pct"/>
                  <w:noWrap w:val="0"/>
                  <w:vAlign w:val="center"/>
                </w:tcPr>
                <w:p w14:paraId="38755B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东：31.9</w:t>
                  </w:r>
                </w:p>
                <w:p w14:paraId="2C29E0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南：45</w:t>
                  </w:r>
                </w:p>
                <w:p w14:paraId="18288D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05885C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北：25.9</w:t>
                  </w:r>
                </w:p>
              </w:tc>
              <w:tc>
                <w:tcPr>
                  <w:tcW w:w="455" w:type="pct"/>
                  <w:vMerge w:val="continue"/>
                  <w:noWrap w:val="0"/>
                  <w:vAlign w:val="center"/>
                </w:tcPr>
                <w:p w14:paraId="326590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1AF85E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E5271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东：11.9</w:t>
                  </w:r>
                </w:p>
                <w:p w14:paraId="4905B5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5F22A4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32A0DB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北：5.9</w:t>
                  </w:r>
                </w:p>
              </w:tc>
              <w:tc>
                <w:tcPr>
                  <w:tcW w:w="206" w:type="pct"/>
                  <w:noWrap w:val="0"/>
                  <w:vAlign w:val="center"/>
                </w:tcPr>
                <w:p w14:paraId="2842FD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1AD60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59E143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66FA9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52139C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158F6257">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586831C">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7DE320A0">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317B9C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448A10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10</w:t>
                  </w:r>
                </w:p>
              </w:tc>
              <w:tc>
                <w:tcPr>
                  <w:tcW w:w="269" w:type="pct"/>
                  <w:noWrap w:val="0"/>
                  <w:vAlign w:val="center"/>
                </w:tcPr>
                <w:p w14:paraId="1713D94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30</w:t>
                  </w:r>
                </w:p>
              </w:tc>
              <w:tc>
                <w:tcPr>
                  <w:tcW w:w="269" w:type="pct"/>
                  <w:noWrap w:val="0"/>
                  <w:vAlign w:val="center"/>
                </w:tcPr>
                <w:p w14:paraId="34E80A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75412D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3C55AA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南：30</w:t>
                  </w:r>
                </w:p>
                <w:p w14:paraId="298873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36F92A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北：70</w:t>
                  </w:r>
                </w:p>
              </w:tc>
              <w:tc>
                <w:tcPr>
                  <w:tcW w:w="422" w:type="pct"/>
                  <w:noWrap w:val="0"/>
                  <w:vAlign w:val="center"/>
                </w:tcPr>
                <w:p w14:paraId="1CC012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东：31.9</w:t>
                  </w:r>
                </w:p>
                <w:p w14:paraId="0BB75C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南：35.5</w:t>
                  </w:r>
                </w:p>
                <w:p w14:paraId="166FEF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6178BA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北：28.1</w:t>
                  </w:r>
                </w:p>
              </w:tc>
              <w:tc>
                <w:tcPr>
                  <w:tcW w:w="455" w:type="pct"/>
                  <w:vMerge w:val="continue"/>
                  <w:noWrap w:val="0"/>
                  <w:vAlign w:val="center"/>
                </w:tcPr>
                <w:p w14:paraId="55E1B5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0EED9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5FDA7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东：11.9</w:t>
                  </w:r>
                </w:p>
                <w:p w14:paraId="237A58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南：15.5</w:t>
                  </w:r>
                </w:p>
                <w:p w14:paraId="794541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49DD29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北：8.1</w:t>
                  </w:r>
                </w:p>
              </w:tc>
              <w:tc>
                <w:tcPr>
                  <w:tcW w:w="206" w:type="pct"/>
                  <w:noWrap w:val="0"/>
                  <w:vAlign w:val="center"/>
                </w:tcPr>
                <w:p w14:paraId="55CB6C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3AA1E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A60597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55C5C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40F3C9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1A5B682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DF19DCB">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24BEB21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5DB248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A8A021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10</w:t>
                  </w:r>
                </w:p>
              </w:tc>
              <w:tc>
                <w:tcPr>
                  <w:tcW w:w="269" w:type="pct"/>
                  <w:noWrap w:val="0"/>
                  <w:vAlign w:val="center"/>
                </w:tcPr>
                <w:p w14:paraId="628AA7D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50</w:t>
                  </w:r>
                </w:p>
              </w:tc>
              <w:tc>
                <w:tcPr>
                  <w:tcW w:w="269" w:type="pct"/>
                  <w:noWrap w:val="0"/>
                  <w:vAlign w:val="center"/>
                </w:tcPr>
                <w:p w14:paraId="3D9629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563495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2AB967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4B9C9D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6FE4A0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北：50</w:t>
                  </w:r>
                </w:p>
              </w:tc>
              <w:tc>
                <w:tcPr>
                  <w:tcW w:w="422" w:type="pct"/>
                  <w:noWrap w:val="0"/>
                  <w:vAlign w:val="center"/>
                </w:tcPr>
                <w:p w14:paraId="4398AF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东：31.9</w:t>
                  </w:r>
                </w:p>
                <w:p w14:paraId="27CB1B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w:t>
                  </w:r>
                </w:p>
                <w:p w14:paraId="6AFE76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65A713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北：31</w:t>
                  </w:r>
                </w:p>
              </w:tc>
              <w:tc>
                <w:tcPr>
                  <w:tcW w:w="455" w:type="pct"/>
                  <w:vMerge w:val="continue"/>
                  <w:noWrap w:val="0"/>
                  <w:vAlign w:val="center"/>
                </w:tcPr>
                <w:p w14:paraId="4424EE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A591F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AFE92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东：11.9</w:t>
                  </w:r>
                </w:p>
                <w:p w14:paraId="6BF500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w:t>
                  </w:r>
                </w:p>
                <w:p w14:paraId="3B98C4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595CDC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北：11</w:t>
                  </w:r>
                </w:p>
              </w:tc>
              <w:tc>
                <w:tcPr>
                  <w:tcW w:w="206" w:type="pct"/>
                  <w:noWrap w:val="0"/>
                  <w:vAlign w:val="center"/>
                </w:tcPr>
                <w:p w14:paraId="6EFE32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6AE96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10" w:hRule="atLeast"/>
              </w:trPr>
              <w:tc>
                <w:tcPr>
                  <w:tcW w:w="194" w:type="pct"/>
                  <w:noWrap w:val="0"/>
                  <w:vAlign w:val="center"/>
                </w:tcPr>
                <w:p w14:paraId="70E86DD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F9A70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ED3E278">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6BDC2DC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9DBB71C">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0AD9D8CE">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75E37F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A1029E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10</w:t>
                  </w:r>
                </w:p>
              </w:tc>
              <w:tc>
                <w:tcPr>
                  <w:tcW w:w="269" w:type="pct"/>
                  <w:noWrap w:val="0"/>
                  <w:vAlign w:val="center"/>
                </w:tcPr>
                <w:p w14:paraId="316C217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70</w:t>
                  </w:r>
                </w:p>
              </w:tc>
              <w:tc>
                <w:tcPr>
                  <w:tcW w:w="269" w:type="pct"/>
                  <w:noWrap w:val="0"/>
                  <w:vAlign w:val="center"/>
                </w:tcPr>
                <w:p w14:paraId="5314F8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0E5D7E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4C4A04A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南：70</w:t>
                  </w:r>
                </w:p>
                <w:p w14:paraId="6E3352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47AF0A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北：30</w:t>
                  </w:r>
                </w:p>
              </w:tc>
              <w:tc>
                <w:tcPr>
                  <w:tcW w:w="422" w:type="pct"/>
                  <w:noWrap w:val="0"/>
                  <w:vAlign w:val="center"/>
                </w:tcPr>
                <w:p w14:paraId="50876B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东：31.9</w:t>
                  </w:r>
                </w:p>
                <w:p w14:paraId="7CED2D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南：28.1</w:t>
                  </w:r>
                </w:p>
                <w:p w14:paraId="310585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0F3A41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北：35.5</w:t>
                  </w:r>
                </w:p>
              </w:tc>
              <w:tc>
                <w:tcPr>
                  <w:tcW w:w="455" w:type="pct"/>
                  <w:vMerge w:val="continue"/>
                  <w:noWrap w:val="0"/>
                  <w:vAlign w:val="center"/>
                </w:tcPr>
                <w:p w14:paraId="1DEF8A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51BB6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DC030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东：11.9</w:t>
                  </w:r>
                </w:p>
                <w:p w14:paraId="442AE0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南：8.1</w:t>
                  </w:r>
                </w:p>
                <w:p w14:paraId="2BCFC3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1C3305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北：15.5</w:t>
                  </w:r>
                </w:p>
              </w:tc>
              <w:tc>
                <w:tcPr>
                  <w:tcW w:w="206" w:type="pct"/>
                  <w:noWrap w:val="0"/>
                  <w:vAlign w:val="center"/>
                </w:tcPr>
                <w:p w14:paraId="544750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6DF559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F6E6BA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BDB81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355800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行车</w:t>
                  </w:r>
                </w:p>
              </w:tc>
              <w:tc>
                <w:tcPr>
                  <w:tcW w:w="247" w:type="pct"/>
                  <w:noWrap w:val="0"/>
                  <w:vAlign w:val="center"/>
                </w:tcPr>
                <w:p w14:paraId="67664CD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BFB24F6">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val="en-US" w:eastAsia="zh-CN"/>
                    </w:rPr>
                    <w:t>1</w:t>
                  </w:r>
                </w:p>
              </w:tc>
              <w:tc>
                <w:tcPr>
                  <w:tcW w:w="328" w:type="pct"/>
                  <w:noWrap w:val="0"/>
                  <w:vAlign w:val="center"/>
                </w:tcPr>
                <w:p w14:paraId="5A7D811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371598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19000A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10</w:t>
                  </w:r>
                </w:p>
              </w:tc>
              <w:tc>
                <w:tcPr>
                  <w:tcW w:w="269" w:type="pct"/>
                  <w:noWrap w:val="0"/>
                  <w:vAlign w:val="center"/>
                </w:tcPr>
                <w:p w14:paraId="1ACA765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90</w:t>
                  </w:r>
                </w:p>
              </w:tc>
              <w:tc>
                <w:tcPr>
                  <w:tcW w:w="269" w:type="pct"/>
                  <w:noWrap w:val="0"/>
                  <w:vAlign w:val="center"/>
                </w:tcPr>
                <w:p w14:paraId="57A171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10</w:t>
                  </w:r>
                </w:p>
              </w:tc>
              <w:tc>
                <w:tcPr>
                  <w:tcW w:w="407" w:type="pct"/>
                  <w:noWrap w:val="0"/>
                  <w:vAlign w:val="center"/>
                </w:tcPr>
                <w:p w14:paraId="5F1AA3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7366AD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2DBE5E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4C5695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北：10</w:t>
                  </w:r>
                </w:p>
              </w:tc>
              <w:tc>
                <w:tcPr>
                  <w:tcW w:w="422" w:type="pct"/>
                  <w:noWrap w:val="0"/>
                  <w:vAlign w:val="center"/>
                </w:tcPr>
                <w:p w14:paraId="2FE8D7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东：31.9</w:t>
                  </w:r>
                </w:p>
                <w:p w14:paraId="16D612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南：25.9</w:t>
                  </w:r>
                </w:p>
                <w:p w14:paraId="26AD0E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286FE2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北：45</w:t>
                  </w:r>
                </w:p>
              </w:tc>
              <w:tc>
                <w:tcPr>
                  <w:tcW w:w="455" w:type="pct"/>
                  <w:vMerge w:val="continue"/>
                  <w:noWrap w:val="0"/>
                  <w:vAlign w:val="center"/>
                </w:tcPr>
                <w:p w14:paraId="3F09DB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E16A9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534BD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东：11.9</w:t>
                  </w:r>
                </w:p>
                <w:p w14:paraId="0DC4E4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南：5.9</w:t>
                  </w:r>
                </w:p>
                <w:p w14:paraId="653E85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2E4831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北：25</w:t>
                  </w:r>
                </w:p>
              </w:tc>
              <w:tc>
                <w:tcPr>
                  <w:tcW w:w="206" w:type="pct"/>
                  <w:noWrap w:val="0"/>
                  <w:vAlign w:val="center"/>
                </w:tcPr>
                <w:p w14:paraId="116872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default" w:ascii="Times New Roman" w:hAnsi="Times New Roman" w:eastAsia="Times New Roman" w:cs="Times New Roman"/>
                      <w:color w:val="auto"/>
                      <w:sz w:val="18"/>
                      <w:szCs w:val="18"/>
                      <w:highlight w:val="none"/>
                    </w:rPr>
                    <w:t>1</w:t>
                  </w:r>
                </w:p>
              </w:tc>
            </w:tr>
            <w:tr w14:paraId="42524B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107859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BC40F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DE00F1B">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钻床</w:t>
                  </w:r>
                </w:p>
              </w:tc>
              <w:tc>
                <w:tcPr>
                  <w:tcW w:w="247" w:type="pct"/>
                  <w:noWrap w:val="0"/>
                  <w:vAlign w:val="center"/>
                </w:tcPr>
                <w:p w14:paraId="11BBCC4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D9F4A49">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5A5AC124">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7A6F81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B90C0A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kern w:val="2"/>
                      <w:sz w:val="18"/>
                      <w:szCs w:val="18"/>
                      <w:highlight w:val="none"/>
                      <w:lang w:val="en-US" w:eastAsia="zh-CN" w:bidi="ar-SA"/>
                    </w:rPr>
                    <w:t>15</w:t>
                  </w:r>
                </w:p>
              </w:tc>
              <w:tc>
                <w:tcPr>
                  <w:tcW w:w="269" w:type="pct"/>
                  <w:noWrap w:val="0"/>
                  <w:vAlign w:val="center"/>
                </w:tcPr>
                <w:p w14:paraId="0AA6860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kern w:val="2"/>
                      <w:sz w:val="18"/>
                      <w:szCs w:val="18"/>
                      <w:highlight w:val="none"/>
                      <w:lang w:val="en-US" w:eastAsia="zh-CN" w:bidi="ar-SA"/>
                    </w:rPr>
                    <w:t>50</w:t>
                  </w:r>
                </w:p>
              </w:tc>
              <w:tc>
                <w:tcPr>
                  <w:tcW w:w="269" w:type="pct"/>
                  <w:noWrap w:val="0"/>
                  <w:vAlign w:val="center"/>
                </w:tcPr>
                <w:p w14:paraId="653649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4955FB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440D4B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3E5EAF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04DCAC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北：50</w:t>
                  </w:r>
                </w:p>
              </w:tc>
              <w:tc>
                <w:tcPr>
                  <w:tcW w:w="422" w:type="pct"/>
                  <w:noWrap w:val="0"/>
                  <w:vAlign w:val="center"/>
                </w:tcPr>
                <w:p w14:paraId="6A3403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w:t>
                  </w:r>
                </w:p>
                <w:p w14:paraId="78D478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南：36</w:t>
                  </w:r>
                </w:p>
                <w:p w14:paraId="0D89B9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36D143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北：36</w:t>
                  </w:r>
                </w:p>
              </w:tc>
              <w:tc>
                <w:tcPr>
                  <w:tcW w:w="455" w:type="pct"/>
                  <w:vMerge w:val="continue"/>
                  <w:noWrap w:val="0"/>
                  <w:vAlign w:val="center"/>
                </w:tcPr>
                <w:p w14:paraId="5690B4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8737A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140510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5511E4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南：16</w:t>
                  </w:r>
                </w:p>
                <w:p w14:paraId="72C77E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273DB6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北：16</w:t>
                  </w:r>
                </w:p>
              </w:tc>
              <w:tc>
                <w:tcPr>
                  <w:tcW w:w="206" w:type="pct"/>
                  <w:noWrap w:val="0"/>
                  <w:vAlign w:val="center"/>
                </w:tcPr>
                <w:p w14:paraId="6F29B6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38262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5C6F1E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C72C7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5810FC2">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钻床</w:t>
                  </w:r>
                </w:p>
              </w:tc>
              <w:tc>
                <w:tcPr>
                  <w:tcW w:w="247" w:type="pct"/>
                  <w:noWrap w:val="0"/>
                  <w:vAlign w:val="center"/>
                </w:tcPr>
                <w:p w14:paraId="1D5FB25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F7A6AD7">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C91928C">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C6D11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205650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15</w:t>
                  </w:r>
                </w:p>
              </w:tc>
              <w:tc>
                <w:tcPr>
                  <w:tcW w:w="269" w:type="pct"/>
                  <w:noWrap w:val="0"/>
                  <w:vAlign w:val="center"/>
                </w:tcPr>
                <w:p w14:paraId="2F3083E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53</w:t>
                  </w:r>
                </w:p>
              </w:tc>
              <w:tc>
                <w:tcPr>
                  <w:tcW w:w="269" w:type="pct"/>
                  <w:noWrap w:val="0"/>
                  <w:vAlign w:val="center"/>
                </w:tcPr>
                <w:p w14:paraId="73BF3D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D0218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1A85F3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南：53</w:t>
                  </w:r>
                </w:p>
                <w:p w14:paraId="2E8583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6FADDF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北：47</w:t>
                  </w:r>
                </w:p>
              </w:tc>
              <w:tc>
                <w:tcPr>
                  <w:tcW w:w="422" w:type="pct"/>
                  <w:noWrap w:val="0"/>
                  <w:vAlign w:val="center"/>
                </w:tcPr>
                <w:p w14:paraId="47023D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w:t>
                  </w:r>
                </w:p>
                <w:p w14:paraId="249038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南：25.5</w:t>
                  </w:r>
                </w:p>
                <w:p w14:paraId="731FA0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440E78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北：26.6</w:t>
                  </w:r>
                </w:p>
              </w:tc>
              <w:tc>
                <w:tcPr>
                  <w:tcW w:w="455" w:type="pct"/>
                  <w:vMerge w:val="continue"/>
                  <w:noWrap w:val="0"/>
                  <w:vAlign w:val="center"/>
                </w:tcPr>
                <w:p w14:paraId="60B84E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2006B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AFCC7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02EF7F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南：5.5</w:t>
                  </w:r>
                </w:p>
                <w:p w14:paraId="023EC3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778028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北：6.6</w:t>
                  </w:r>
                </w:p>
              </w:tc>
              <w:tc>
                <w:tcPr>
                  <w:tcW w:w="206" w:type="pct"/>
                  <w:noWrap w:val="0"/>
                  <w:vAlign w:val="center"/>
                </w:tcPr>
                <w:p w14:paraId="68C557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86723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8E8AF2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8CE66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389550F">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钻床</w:t>
                  </w:r>
                </w:p>
              </w:tc>
              <w:tc>
                <w:tcPr>
                  <w:tcW w:w="247" w:type="pct"/>
                  <w:noWrap w:val="0"/>
                  <w:vAlign w:val="center"/>
                </w:tcPr>
                <w:p w14:paraId="3E5966E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67088E2">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30C0B80">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190165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EC8329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15</w:t>
                  </w:r>
                </w:p>
              </w:tc>
              <w:tc>
                <w:tcPr>
                  <w:tcW w:w="269" w:type="pct"/>
                  <w:noWrap w:val="0"/>
                  <w:vAlign w:val="center"/>
                </w:tcPr>
                <w:p w14:paraId="073D722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56</w:t>
                  </w:r>
                </w:p>
              </w:tc>
              <w:tc>
                <w:tcPr>
                  <w:tcW w:w="269" w:type="pct"/>
                  <w:noWrap w:val="0"/>
                  <w:vAlign w:val="center"/>
                </w:tcPr>
                <w:p w14:paraId="77012C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7FF5F0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549738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南：56</w:t>
                  </w:r>
                </w:p>
                <w:p w14:paraId="494924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09CF8C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北：44</w:t>
                  </w:r>
                </w:p>
              </w:tc>
              <w:tc>
                <w:tcPr>
                  <w:tcW w:w="422" w:type="pct"/>
                  <w:noWrap w:val="0"/>
                  <w:vAlign w:val="center"/>
                </w:tcPr>
                <w:p w14:paraId="692E03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w:t>
                  </w:r>
                </w:p>
                <w:p w14:paraId="1FC92C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0809D7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2B7777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北：27.1</w:t>
                  </w:r>
                </w:p>
              </w:tc>
              <w:tc>
                <w:tcPr>
                  <w:tcW w:w="455" w:type="pct"/>
                  <w:vMerge w:val="continue"/>
                  <w:noWrap w:val="0"/>
                  <w:vAlign w:val="center"/>
                </w:tcPr>
                <w:p w14:paraId="1ED00C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4117A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601A5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697A1B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w:t>
                  </w:r>
                </w:p>
                <w:p w14:paraId="38F27F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076858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北：7.1</w:t>
                  </w:r>
                </w:p>
              </w:tc>
              <w:tc>
                <w:tcPr>
                  <w:tcW w:w="206" w:type="pct"/>
                  <w:noWrap w:val="0"/>
                  <w:vAlign w:val="center"/>
                </w:tcPr>
                <w:p w14:paraId="2DB1DC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B44E6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194" w:type="pct"/>
                  <w:noWrap w:val="0"/>
                  <w:vAlign w:val="center"/>
                </w:tcPr>
                <w:p w14:paraId="17894D2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46AD6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EFCA04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钻床</w:t>
                  </w:r>
                </w:p>
              </w:tc>
              <w:tc>
                <w:tcPr>
                  <w:tcW w:w="247" w:type="pct"/>
                  <w:noWrap w:val="0"/>
                  <w:vAlign w:val="center"/>
                </w:tcPr>
                <w:p w14:paraId="34D3555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B9FE048">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8AD332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1F3F9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8AC087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15</w:t>
                  </w:r>
                </w:p>
              </w:tc>
              <w:tc>
                <w:tcPr>
                  <w:tcW w:w="269" w:type="pct"/>
                  <w:noWrap w:val="0"/>
                  <w:vAlign w:val="center"/>
                </w:tcPr>
                <w:p w14:paraId="20A8A5B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59</w:t>
                  </w:r>
                </w:p>
              </w:tc>
              <w:tc>
                <w:tcPr>
                  <w:tcW w:w="269" w:type="pct"/>
                  <w:noWrap w:val="0"/>
                  <w:vAlign w:val="center"/>
                </w:tcPr>
                <w:p w14:paraId="55FA44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3C1ED4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0808C0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南：59</w:t>
                  </w:r>
                </w:p>
                <w:p w14:paraId="2033D9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06F9C2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北：41</w:t>
                  </w:r>
                </w:p>
              </w:tc>
              <w:tc>
                <w:tcPr>
                  <w:tcW w:w="422" w:type="pct"/>
                  <w:noWrap w:val="0"/>
                  <w:vAlign w:val="center"/>
                </w:tcPr>
                <w:p w14:paraId="739172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w:t>
                  </w:r>
                </w:p>
                <w:p w14:paraId="72AD83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南：24.6</w:t>
                  </w:r>
                </w:p>
                <w:p w14:paraId="7B41FD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623239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北：27.7</w:t>
                  </w:r>
                </w:p>
              </w:tc>
              <w:tc>
                <w:tcPr>
                  <w:tcW w:w="455" w:type="pct"/>
                  <w:vMerge w:val="continue"/>
                  <w:noWrap w:val="0"/>
                  <w:vAlign w:val="center"/>
                </w:tcPr>
                <w:p w14:paraId="0CCDCA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F9BDD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F6286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6986F7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南：4.6</w:t>
                  </w:r>
                </w:p>
                <w:p w14:paraId="36B7A7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5B3304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北：7.7</w:t>
                  </w:r>
                </w:p>
              </w:tc>
              <w:tc>
                <w:tcPr>
                  <w:tcW w:w="206" w:type="pct"/>
                  <w:noWrap w:val="0"/>
                  <w:vAlign w:val="center"/>
                </w:tcPr>
                <w:p w14:paraId="7DAC7A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73DF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E3F9DFD">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46F9A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5E669DB">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钻床</w:t>
                  </w:r>
                </w:p>
              </w:tc>
              <w:tc>
                <w:tcPr>
                  <w:tcW w:w="247" w:type="pct"/>
                  <w:noWrap w:val="0"/>
                  <w:vAlign w:val="center"/>
                </w:tcPr>
                <w:p w14:paraId="0FA2AE9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A2319A8">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34C5B796">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32C516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9A7AE3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15</w:t>
                  </w:r>
                </w:p>
              </w:tc>
              <w:tc>
                <w:tcPr>
                  <w:tcW w:w="269" w:type="pct"/>
                  <w:noWrap w:val="0"/>
                  <w:vAlign w:val="center"/>
                </w:tcPr>
                <w:p w14:paraId="2014DDE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62</w:t>
                  </w:r>
                </w:p>
              </w:tc>
              <w:tc>
                <w:tcPr>
                  <w:tcW w:w="269" w:type="pct"/>
                  <w:noWrap w:val="0"/>
                  <w:vAlign w:val="center"/>
                </w:tcPr>
                <w:p w14:paraId="230390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AB330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568812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南：62</w:t>
                  </w:r>
                </w:p>
                <w:p w14:paraId="780B6B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474DD2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北：38</w:t>
                  </w:r>
                </w:p>
              </w:tc>
              <w:tc>
                <w:tcPr>
                  <w:tcW w:w="422" w:type="pct"/>
                  <w:noWrap w:val="0"/>
                  <w:vAlign w:val="center"/>
                </w:tcPr>
                <w:p w14:paraId="4B97BC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w:t>
                  </w:r>
                </w:p>
                <w:p w14:paraId="53BCF4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南：24.2</w:t>
                  </w:r>
                </w:p>
                <w:p w14:paraId="4E9F69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453351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北：28.4</w:t>
                  </w:r>
                </w:p>
              </w:tc>
              <w:tc>
                <w:tcPr>
                  <w:tcW w:w="455" w:type="pct"/>
                  <w:vMerge w:val="continue"/>
                  <w:noWrap w:val="0"/>
                  <w:vAlign w:val="center"/>
                </w:tcPr>
                <w:p w14:paraId="12B2BA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1AE53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FC283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21CA0D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南：4.2</w:t>
                  </w:r>
                </w:p>
                <w:p w14:paraId="39E8F8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13BC79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北：8.4</w:t>
                  </w:r>
                </w:p>
              </w:tc>
              <w:tc>
                <w:tcPr>
                  <w:tcW w:w="206" w:type="pct"/>
                  <w:noWrap w:val="0"/>
                  <w:vAlign w:val="center"/>
                </w:tcPr>
                <w:p w14:paraId="2616B9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3EC26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C0F714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5B799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CA53AA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钻床</w:t>
                  </w:r>
                </w:p>
              </w:tc>
              <w:tc>
                <w:tcPr>
                  <w:tcW w:w="247" w:type="pct"/>
                  <w:noWrap w:val="0"/>
                  <w:vAlign w:val="center"/>
                </w:tcPr>
                <w:p w14:paraId="1F3955A7">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FAF4A8D">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2E96CBA">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628E9E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2CFEC5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61EEE17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53</w:t>
                  </w:r>
                </w:p>
              </w:tc>
              <w:tc>
                <w:tcPr>
                  <w:tcW w:w="269" w:type="pct"/>
                  <w:noWrap w:val="0"/>
                  <w:vAlign w:val="center"/>
                </w:tcPr>
                <w:p w14:paraId="3BEE02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B5CA4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20A2A4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南：53</w:t>
                  </w:r>
                </w:p>
                <w:p w14:paraId="0758AD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1F2F04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北：47</w:t>
                  </w:r>
                </w:p>
              </w:tc>
              <w:tc>
                <w:tcPr>
                  <w:tcW w:w="422" w:type="pct"/>
                  <w:noWrap w:val="0"/>
                  <w:vAlign w:val="center"/>
                </w:tcPr>
                <w:p w14:paraId="0FB8AE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0D49BA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南：25.5</w:t>
                  </w:r>
                </w:p>
                <w:p w14:paraId="1A04D7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735A47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北：26.6</w:t>
                  </w:r>
                </w:p>
              </w:tc>
              <w:tc>
                <w:tcPr>
                  <w:tcW w:w="455" w:type="pct"/>
                  <w:vMerge w:val="continue"/>
                  <w:noWrap w:val="0"/>
                  <w:vAlign w:val="center"/>
                </w:tcPr>
                <w:p w14:paraId="441DFB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C43E6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D97A7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48746C7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南：5.5</w:t>
                  </w:r>
                </w:p>
                <w:p w14:paraId="785659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48F5DA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北：6.6</w:t>
                  </w:r>
                </w:p>
              </w:tc>
              <w:tc>
                <w:tcPr>
                  <w:tcW w:w="206" w:type="pct"/>
                  <w:noWrap w:val="0"/>
                  <w:vAlign w:val="center"/>
                </w:tcPr>
                <w:p w14:paraId="733BA0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CC7AF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35BC90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092BD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F873E00">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钻床</w:t>
                  </w:r>
                </w:p>
              </w:tc>
              <w:tc>
                <w:tcPr>
                  <w:tcW w:w="247" w:type="pct"/>
                  <w:noWrap w:val="0"/>
                  <w:vAlign w:val="center"/>
                </w:tcPr>
                <w:p w14:paraId="71E5C8E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01DFDEA">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EA4D2DA">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023327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470FED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5409537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56</w:t>
                  </w:r>
                </w:p>
              </w:tc>
              <w:tc>
                <w:tcPr>
                  <w:tcW w:w="269" w:type="pct"/>
                  <w:noWrap w:val="0"/>
                  <w:vAlign w:val="center"/>
                </w:tcPr>
                <w:p w14:paraId="2753E93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D7E34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726440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南：56</w:t>
                  </w:r>
                </w:p>
                <w:p w14:paraId="3BF48D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24663B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北：44</w:t>
                  </w:r>
                </w:p>
              </w:tc>
              <w:tc>
                <w:tcPr>
                  <w:tcW w:w="422" w:type="pct"/>
                  <w:noWrap w:val="0"/>
                  <w:vAlign w:val="center"/>
                </w:tcPr>
                <w:p w14:paraId="2F3E75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6F333B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6A8327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4AF364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北：27.1</w:t>
                  </w:r>
                </w:p>
              </w:tc>
              <w:tc>
                <w:tcPr>
                  <w:tcW w:w="455" w:type="pct"/>
                  <w:vMerge w:val="continue"/>
                  <w:noWrap w:val="0"/>
                  <w:vAlign w:val="center"/>
                </w:tcPr>
                <w:p w14:paraId="7B719D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2DB075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C7D38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376815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w:t>
                  </w:r>
                </w:p>
                <w:p w14:paraId="3E7F03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1E63F9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北：7.1</w:t>
                  </w:r>
                </w:p>
              </w:tc>
              <w:tc>
                <w:tcPr>
                  <w:tcW w:w="206" w:type="pct"/>
                  <w:noWrap w:val="0"/>
                  <w:vAlign w:val="center"/>
                </w:tcPr>
                <w:p w14:paraId="75D6A6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E176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506E3EF">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4A54E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5B4516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钻床</w:t>
                  </w:r>
                </w:p>
              </w:tc>
              <w:tc>
                <w:tcPr>
                  <w:tcW w:w="247" w:type="pct"/>
                  <w:noWrap w:val="0"/>
                  <w:vAlign w:val="center"/>
                </w:tcPr>
                <w:p w14:paraId="1D77E06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EF40F8C">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56DBB96D">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FFDBF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EA40DD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7A17F47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59</w:t>
                  </w:r>
                </w:p>
              </w:tc>
              <w:tc>
                <w:tcPr>
                  <w:tcW w:w="269" w:type="pct"/>
                  <w:noWrap w:val="0"/>
                  <w:vAlign w:val="center"/>
                </w:tcPr>
                <w:p w14:paraId="1F6368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858D7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4492E5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南：59</w:t>
                  </w:r>
                </w:p>
                <w:p w14:paraId="7451C2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5BC2F4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北：41</w:t>
                  </w:r>
                </w:p>
              </w:tc>
              <w:tc>
                <w:tcPr>
                  <w:tcW w:w="422" w:type="pct"/>
                  <w:noWrap w:val="0"/>
                  <w:vAlign w:val="center"/>
                </w:tcPr>
                <w:p w14:paraId="08410F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505B18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南：24.6</w:t>
                  </w:r>
                </w:p>
                <w:p w14:paraId="17FAD1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2CAA63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北：27.7</w:t>
                  </w:r>
                </w:p>
              </w:tc>
              <w:tc>
                <w:tcPr>
                  <w:tcW w:w="455" w:type="pct"/>
                  <w:vMerge w:val="continue"/>
                  <w:noWrap w:val="0"/>
                  <w:vAlign w:val="center"/>
                </w:tcPr>
                <w:p w14:paraId="77E49D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244D8C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3190DB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64FC27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南：4.6</w:t>
                  </w:r>
                </w:p>
                <w:p w14:paraId="34F06A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7763E4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北：7.7</w:t>
                  </w:r>
                </w:p>
              </w:tc>
              <w:tc>
                <w:tcPr>
                  <w:tcW w:w="206" w:type="pct"/>
                  <w:noWrap w:val="0"/>
                  <w:vAlign w:val="center"/>
                </w:tcPr>
                <w:p w14:paraId="65A18C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386D4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AA3F89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2053A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19FCBD0">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加工中心</w:t>
                  </w:r>
                </w:p>
              </w:tc>
              <w:tc>
                <w:tcPr>
                  <w:tcW w:w="247" w:type="pct"/>
                  <w:noWrap w:val="0"/>
                  <w:vAlign w:val="center"/>
                </w:tcPr>
                <w:p w14:paraId="292AB111">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BAD3CC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60896BC0">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4113A6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A260FA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20</w:t>
                  </w:r>
                </w:p>
              </w:tc>
              <w:tc>
                <w:tcPr>
                  <w:tcW w:w="269" w:type="pct"/>
                  <w:noWrap w:val="0"/>
                  <w:vAlign w:val="center"/>
                </w:tcPr>
                <w:p w14:paraId="0242B4D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62</w:t>
                  </w:r>
                </w:p>
              </w:tc>
              <w:tc>
                <w:tcPr>
                  <w:tcW w:w="269" w:type="pct"/>
                  <w:noWrap w:val="0"/>
                  <w:vAlign w:val="center"/>
                </w:tcPr>
                <w:p w14:paraId="730B67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0B1F7B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4622AE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南：62</w:t>
                  </w:r>
                </w:p>
                <w:p w14:paraId="627DCD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723A8F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北：38</w:t>
                  </w:r>
                </w:p>
              </w:tc>
              <w:tc>
                <w:tcPr>
                  <w:tcW w:w="422" w:type="pct"/>
                  <w:noWrap w:val="0"/>
                  <w:vAlign w:val="center"/>
                </w:tcPr>
                <w:p w14:paraId="2A54A2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2946EC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南：24.2</w:t>
                  </w:r>
                </w:p>
                <w:p w14:paraId="615CFE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09A778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北：28.4</w:t>
                  </w:r>
                </w:p>
              </w:tc>
              <w:tc>
                <w:tcPr>
                  <w:tcW w:w="455" w:type="pct"/>
                  <w:vMerge w:val="continue"/>
                  <w:noWrap w:val="0"/>
                  <w:vAlign w:val="center"/>
                </w:tcPr>
                <w:p w14:paraId="2E2897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6DE72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0F4B12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1E39A0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南：4.2</w:t>
                  </w:r>
                </w:p>
                <w:p w14:paraId="51C5E6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55E59C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北：8.4</w:t>
                  </w:r>
                </w:p>
              </w:tc>
              <w:tc>
                <w:tcPr>
                  <w:tcW w:w="206" w:type="pct"/>
                  <w:noWrap w:val="0"/>
                  <w:vAlign w:val="center"/>
                </w:tcPr>
                <w:p w14:paraId="1ACF04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226D9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5BD426B">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5D15C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BB9CE6A">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加工中心</w:t>
                  </w:r>
                </w:p>
              </w:tc>
              <w:tc>
                <w:tcPr>
                  <w:tcW w:w="247" w:type="pct"/>
                  <w:noWrap w:val="0"/>
                  <w:vAlign w:val="center"/>
                </w:tcPr>
                <w:p w14:paraId="54437BE0">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D4ABF18">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07FA7C6">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34BC9C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206C67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7643406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65</w:t>
                  </w:r>
                </w:p>
              </w:tc>
              <w:tc>
                <w:tcPr>
                  <w:tcW w:w="269" w:type="pct"/>
                  <w:noWrap w:val="0"/>
                  <w:vAlign w:val="center"/>
                </w:tcPr>
                <w:p w14:paraId="6D9B7C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ABBCA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64B666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南：65</w:t>
                  </w:r>
                </w:p>
                <w:p w14:paraId="34A625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14ECFA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北：35</w:t>
                  </w:r>
                </w:p>
              </w:tc>
              <w:tc>
                <w:tcPr>
                  <w:tcW w:w="422" w:type="pct"/>
                  <w:noWrap w:val="0"/>
                  <w:vAlign w:val="center"/>
                </w:tcPr>
                <w:p w14:paraId="343F9B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54470D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南：23.7</w:t>
                  </w:r>
                </w:p>
                <w:p w14:paraId="180B97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63E377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北：29.1</w:t>
                  </w:r>
                </w:p>
              </w:tc>
              <w:tc>
                <w:tcPr>
                  <w:tcW w:w="455" w:type="pct"/>
                  <w:vMerge w:val="continue"/>
                  <w:noWrap w:val="0"/>
                  <w:vAlign w:val="center"/>
                </w:tcPr>
                <w:p w14:paraId="28666E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A782D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3E00A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5DE33E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南：3.7</w:t>
                  </w:r>
                </w:p>
                <w:p w14:paraId="230A7B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20DD02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北：9.1</w:t>
                  </w:r>
                </w:p>
              </w:tc>
              <w:tc>
                <w:tcPr>
                  <w:tcW w:w="206" w:type="pct"/>
                  <w:noWrap w:val="0"/>
                  <w:vAlign w:val="center"/>
                </w:tcPr>
                <w:p w14:paraId="38714D5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3C167C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0F0A1B9">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50779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673A78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加工中心</w:t>
                  </w:r>
                </w:p>
              </w:tc>
              <w:tc>
                <w:tcPr>
                  <w:tcW w:w="247" w:type="pct"/>
                  <w:noWrap w:val="0"/>
                  <w:vAlign w:val="center"/>
                </w:tcPr>
                <w:p w14:paraId="0506E761">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E79D32C">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24D2914">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79263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AC0650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0F7648E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68</w:t>
                  </w:r>
                </w:p>
              </w:tc>
              <w:tc>
                <w:tcPr>
                  <w:tcW w:w="269" w:type="pct"/>
                  <w:noWrap w:val="0"/>
                  <w:vAlign w:val="center"/>
                </w:tcPr>
                <w:p w14:paraId="76D725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55A850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30D9BA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南：68</w:t>
                  </w:r>
                </w:p>
                <w:p w14:paraId="4B8E82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46C1AC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北：32</w:t>
                  </w:r>
                </w:p>
              </w:tc>
              <w:tc>
                <w:tcPr>
                  <w:tcW w:w="422" w:type="pct"/>
                  <w:noWrap w:val="0"/>
                  <w:vAlign w:val="center"/>
                </w:tcPr>
                <w:p w14:paraId="2FA96B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4362F0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南：23.3</w:t>
                  </w:r>
                </w:p>
                <w:p w14:paraId="4CAE7E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2D0C1D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北：29.9</w:t>
                  </w:r>
                </w:p>
              </w:tc>
              <w:tc>
                <w:tcPr>
                  <w:tcW w:w="455" w:type="pct"/>
                  <w:vMerge w:val="continue"/>
                  <w:noWrap w:val="0"/>
                  <w:vAlign w:val="center"/>
                </w:tcPr>
                <w:p w14:paraId="5C4152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504E0D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0E941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4E437C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南：13.6</w:t>
                  </w:r>
                </w:p>
                <w:p w14:paraId="12F2F1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179F32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北：9.9</w:t>
                  </w:r>
                </w:p>
              </w:tc>
              <w:tc>
                <w:tcPr>
                  <w:tcW w:w="206" w:type="pct"/>
                  <w:noWrap w:val="0"/>
                  <w:vAlign w:val="center"/>
                </w:tcPr>
                <w:p w14:paraId="5467D8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21212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CEC9BB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911AB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F51092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加工中心</w:t>
                  </w:r>
                </w:p>
              </w:tc>
              <w:tc>
                <w:tcPr>
                  <w:tcW w:w="247" w:type="pct"/>
                  <w:noWrap w:val="0"/>
                  <w:vAlign w:val="center"/>
                </w:tcPr>
                <w:p w14:paraId="3D98B9D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5C075B5">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04FE71E">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4D965D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2BCC51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4EF9CF9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71</w:t>
                  </w:r>
                </w:p>
              </w:tc>
              <w:tc>
                <w:tcPr>
                  <w:tcW w:w="269" w:type="pct"/>
                  <w:noWrap w:val="0"/>
                  <w:vAlign w:val="center"/>
                </w:tcPr>
                <w:p w14:paraId="24C42A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308229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2EB8B2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南：71</w:t>
                  </w:r>
                </w:p>
                <w:p w14:paraId="68E332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57344D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北：29</w:t>
                  </w:r>
                </w:p>
              </w:tc>
              <w:tc>
                <w:tcPr>
                  <w:tcW w:w="422" w:type="pct"/>
                  <w:noWrap w:val="0"/>
                  <w:vAlign w:val="center"/>
                </w:tcPr>
                <w:p w14:paraId="72AF5B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5A8546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南：23</w:t>
                  </w:r>
                </w:p>
                <w:p w14:paraId="759D61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01FB6C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北：30.8</w:t>
                  </w:r>
                </w:p>
              </w:tc>
              <w:tc>
                <w:tcPr>
                  <w:tcW w:w="455" w:type="pct"/>
                  <w:vMerge w:val="continue"/>
                  <w:noWrap w:val="0"/>
                  <w:vAlign w:val="center"/>
                </w:tcPr>
                <w:p w14:paraId="4E6D53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7E29B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63084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078633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w:t>
                  </w:r>
                </w:p>
                <w:p w14:paraId="0CEC85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4306EB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北：10.8</w:t>
                  </w:r>
                </w:p>
              </w:tc>
              <w:tc>
                <w:tcPr>
                  <w:tcW w:w="206" w:type="pct"/>
                  <w:noWrap w:val="0"/>
                  <w:vAlign w:val="center"/>
                </w:tcPr>
                <w:p w14:paraId="10EE28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35137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00D6EE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215D2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D9FBBA8">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车床</w:t>
                  </w:r>
                </w:p>
              </w:tc>
              <w:tc>
                <w:tcPr>
                  <w:tcW w:w="247" w:type="pct"/>
                  <w:noWrap w:val="0"/>
                  <w:vAlign w:val="center"/>
                </w:tcPr>
                <w:p w14:paraId="33A261C0">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57D9368">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6F7714F3">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FDB7D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2EDBF4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20</w:t>
                  </w:r>
                </w:p>
              </w:tc>
              <w:tc>
                <w:tcPr>
                  <w:tcW w:w="269" w:type="pct"/>
                  <w:noWrap w:val="0"/>
                  <w:vAlign w:val="center"/>
                </w:tcPr>
                <w:p w14:paraId="5E8DC4A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75</w:t>
                  </w:r>
                </w:p>
              </w:tc>
              <w:tc>
                <w:tcPr>
                  <w:tcW w:w="269" w:type="pct"/>
                  <w:noWrap w:val="0"/>
                  <w:vAlign w:val="center"/>
                </w:tcPr>
                <w:p w14:paraId="67DF83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23982B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524A96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6F388C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052C7F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北：25</w:t>
                  </w:r>
                </w:p>
              </w:tc>
              <w:tc>
                <w:tcPr>
                  <w:tcW w:w="422" w:type="pct"/>
                  <w:noWrap w:val="0"/>
                  <w:vAlign w:val="center"/>
                </w:tcPr>
                <w:p w14:paraId="095681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2098F2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南：22.5</w:t>
                  </w:r>
                </w:p>
                <w:p w14:paraId="19F9D7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063BB0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北：32</w:t>
                  </w:r>
                </w:p>
              </w:tc>
              <w:tc>
                <w:tcPr>
                  <w:tcW w:w="455" w:type="pct"/>
                  <w:vMerge w:val="continue"/>
                  <w:noWrap w:val="0"/>
                  <w:vAlign w:val="center"/>
                </w:tcPr>
                <w:p w14:paraId="45C882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5B8B3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1DBDAB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5DD861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77DE02E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4A527B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北：12</w:t>
                  </w:r>
                </w:p>
              </w:tc>
              <w:tc>
                <w:tcPr>
                  <w:tcW w:w="206" w:type="pct"/>
                  <w:noWrap w:val="0"/>
                  <w:vAlign w:val="center"/>
                </w:tcPr>
                <w:p w14:paraId="768197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363A1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67F4323">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DB825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EADBEF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车床</w:t>
                  </w:r>
                </w:p>
              </w:tc>
              <w:tc>
                <w:tcPr>
                  <w:tcW w:w="247" w:type="pct"/>
                  <w:noWrap w:val="0"/>
                  <w:vAlign w:val="center"/>
                </w:tcPr>
                <w:p w14:paraId="145D8C36">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DD2B01A">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F0A80D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74557F5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124907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374F12F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723657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084145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4BFD61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465950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7F53B0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noWrap w:val="0"/>
                  <w:vAlign w:val="center"/>
                </w:tcPr>
                <w:p w14:paraId="44D9BA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422D66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369C5C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63554F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北：34</w:t>
                  </w:r>
                </w:p>
              </w:tc>
              <w:tc>
                <w:tcPr>
                  <w:tcW w:w="455" w:type="pct"/>
                  <w:vMerge w:val="continue"/>
                  <w:noWrap w:val="0"/>
                  <w:vAlign w:val="center"/>
                </w:tcPr>
                <w:p w14:paraId="5513C1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3D695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7611F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66B4316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2CF184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27B15A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北：14</w:t>
                  </w:r>
                </w:p>
              </w:tc>
              <w:tc>
                <w:tcPr>
                  <w:tcW w:w="206" w:type="pct"/>
                  <w:noWrap w:val="0"/>
                  <w:vAlign w:val="center"/>
                </w:tcPr>
                <w:p w14:paraId="006929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3DF2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E38823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19ACC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8FCC215">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车床</w:t>
                  </w:r>
                </w:p>
              </w:tc>
              <w:tc>
                <w:tcPr>
                  <w:tcW w:w="247" w:type="pct"/>
                  <w:noWrap w:val="0"/>
                  <w:vAlign w:val="center"/>
                </w:tcPr>
                <w:p w14:paraId="00C1797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80348EB">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CA0C2F7">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0883F7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4E6CC4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4121662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85</w:t>
                  </w:r>
                </w:p>
              </w:tc>
              <w:tc>
                <w:tcPr>
                  <w:tcW w:w="269" w:type="pct"/>
                  <w:noWrap w:val="0"/>
                  <w:vAlign w:val="center"/>
                </w:tcPr>
                <w:p w14:paraId="022E04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94C8B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60AE0C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3B1B42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66FDE1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noWrap w:val="0"/>
                  <w:vAlign w:val="center"/>
                </w:tcPr>
                <w:p w14:paraId="7AE8F3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3CA993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578A4C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6C532D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183719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935F9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E0DE6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59B3AE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079D32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0D2D2E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417F9B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52CA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F0AEB1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CC464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9BC1B1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车床</w:t>
                  </w:r>
                </w:p>
              </w:tc>
              <w:tc>
                <w:tcPr>
                  <w:tcW w:w="247" w:type="pct"/>
                  <w:noWrap w:val="0"/>
                  <w:vAlign w:val="center"/>
                </w:tcPr>
                <w:p w14:paraId="538CCB4E">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FCFD0FB">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FE20A58">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6F8079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926E97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20</w:t>
                  </w:r>
                </w:p>
              </w:tc>
              <w:tc>
                <w:tcPr>
                  <w:tcW w:w="269" w:type="pct"/>
                  <w:noWrap w:val="0"/>
                  <w:vAlign w:val="center"/>
                </w:tcPr>
                <w:p w14:paraId="4504FB2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90</w:t>
                  </w:r>
                </w:p>
              </w:tc>
              <w:tc>
                <w:tcPr>
                  <w:tcW w:w="269" w:type="pct"/>
                  <w:noWrap w:val="0"/>
                  <w:vAlign w:val="center"/>
                </w:tcPr>
                <w:p w14:paraId="559839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2FA2A0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东：35</w:t>
                  </w:r>
                </w:p>
                <w:p w14:paraId="711C83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20DB01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3DA54C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北：10</w:t>
                  </w:r>
                </w:p>
              </w:tc>
              <w:tc>
                <w:tcPr>
                  <w:tcW w:w="422" w:type="pct"/>
                  <w:noWrap w:val="0"/>
                  <w:vAlign w:val="center"/>
                </w:tcPr>
                <w:p w14:paraId="3425B5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东：29.1</w:t>
                  </w:r>
                </w:p>
                <w:p w14:paraId="20BE51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南：20.9</w:t>
                  </w:r>
                </w:p>
                <w:p w14:paraId="6088BD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西：34</w:t>
                  </w:r>
                </w:p>
                <w:p w14:paraId="3F7B2E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北：40</w:t>
                  </w:r>
                </w:p>
              </w:tc>
              <w:tc>
                <w:tcPr>
                  <w:tcW w:w="455" w:type="pct"/>
                  <w:vMerge w:val="continue"/>
                  <w:noWrap w:val="0"/>
                  <w:vAlign w:val="center"/>
                </w:tcPr>
                <w:p w14:paraId="7AF96A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0F1C8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2A068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东：9.1</w:t>
                  </w:r>
                </w:p>
                <w:p w14:paraId="1A6123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南：0.9</w:t>
                  </w:r>
                </w:p>
                <w:p w14:paraId="22B76C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西：14</w:t>
                  </w:r>
                </w:p>
                <w:p w14:paraId="2F3016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w:t>
                  </w:r>
                </w:p>
              </w:tc>
              <w:tc>
                <w:tcPr>
                  <w:tcW w:w="206" w:type="pct"/>
                  <w:noWrap w:val="0"/>
                  <w:vAlign w:val="center"/>
                </w:tcPr>
                <w:p w14:paraId="15584E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A10B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7C8FED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A2185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2F2A03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铣</w:t>
                  </w:r>
                  <w:r>
                    <w:rPr>
                      <w:rFonts w:hint="eastAsia"/>
                      <w:color w:val="auto"/>
                      <w:sz w:val="18"/>
                      <w:szCs w:val="18"/>
                      <w:lang w:val="en-US" w:eastAsia="zh-CN"/>
                    </w:rPr>
                    <w:t>床</w:t>
                  </w:r>
                </w:p>
              </w:tc>
              <w:tc>
                <w:tcPr>
                  <w:tcW w:w="247" w:type="pct"/>
                  <w:noWrap w:val="0"/>
                  <w:vAlign w:val="center"/>
                </w:tcPr>
                <w:p w14:paraId="4CB1C43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B9D8BE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26324852">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B0E2B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72C93C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15</w:t>
                  </w:r>
                </w:p>
              </w:tc>
              <w:tc>
                <w:tcPr>
                  <w:tcW w:w="269" w:type="pct"/>
                  <w:noWrap w:val="0"/>
                  <w:vAlign w:val="center"/>
                </w:tcPr>
                <w:p w14:paraId="4D029EA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75</w:t>
                  </w:r>
                </w:p>
              </w:tc>
              <w:tc>
                <w:tcPr>
                  <w:tcW w:w="269" w:type="pct"/>
                  <w:noWrap w:val="0"/>
                  <w:vAlign w:val="center"/>
                </w:tcPr>
                <w:p w14:paraId="2DDD15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4338E9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6744F5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0B83E00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3BFEFC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北：25</w:t>
                  </w:r>
                </w:p>
              </w:tc>
              <w:tc>
                <w:tcPr>
                  <w:tcW w:w="422" w:type="pct"/>
                  <w:noWrap w:val="0"/>
                  <w:vAlign w:val="center"/>
                </w:tcPr>
                <w:p w14:paraId="3741C8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w:t>
                  </w:r>
                </w:p>
                <w:p w14:paraId="5C5468A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南：22.5</w:t>
                  </w:r>
                </w:p>
                <w:p w14:paraId="2AE5FD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301146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北：32</w:t>
                  </w:r>
                </w:p>
              </w:tc>
              <w:tc>
                <w:tcPr>
                  <w:tcW w:w="455" w:type="pct"/>
                  <w:vMerge w:val="continue"/>
                  <w:noWrap w:val="0"/>
                  <w:vAlign w:val="center"/>
                </w:tcPr>
                <w:p w14:paraId="26CABA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E4D33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431F01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532273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156CFF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2CCA86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北：12</w:t>
                  </w:r>
                </w:p>
              </w:tc>
              <w:tc>
                <w:tcPr>
                  <w:tcW w:w="206" w:type="pct"/>
                  <w:noWrap w:val="0"/>
                  <w:vAlign w:val="center"/>
                </w:tcPr>
                <w:p w14:paraId="368B93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08E752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DB3F9E9">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AC2E0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79A06E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铣</w:t>
                  </w:r>
                  <w:r>
                    <w:rPr>
                      <w:rFonts w:hint="eastAsia"/>
                      <w:color w:val="auto"/>
                      <w:sz w:val="18"/>
                      <w:szCs w:val="18"/>
                      <w:lang w:val="en-US" w:eastAsia="zh-CN"/>
                    </w:rPr>
                    <w:t>床</w:t>
                  </w:r>
                </w:p>
              </w:tc>
              <w:tc>
                <w:tcPr>
                  <w:tcW w:w="247" w:type="pct"/>
                  <w:noWrap w:val="0"/>
                  <w:vAlign w:val="center"/>
                </w:tcPr>
                <w:p w14:paraId="27C49E07">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6394985">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214C425">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D0E93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5779BF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15</w:t>
                  </w:r>
                </w:p>
              </w:tc>
              <w:tc>
                <w:tcPr>
                  <w:tcW w:w="269" w:type="pct"/>
                  <w:noWrap w:val="0"/>
                  <w:vAlign w:val="center"/>
                </w:tcPr>
                <w:p w14:paraId="1DC7258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42C4AD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35091F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08A420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77C0EC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648308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noWrap w:val="0"/>
                  <w:vAlign w:val="center"/>
                </w:tcPr>
                <w:p w14:paraId="0AE314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w:t>
                  </w:r>
                </w:p>
                <w:p w14:paraId="5FAA73B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5F9183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2F414F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北：34</w:t>
                  </w:r>
                </w:p>
              </w:tc>
              <w:tc>
                <w:tcPr>
                  <w:tcW w:w="455" w:type="pct"/>
                  <w:vMerge w:val="continue"/>
                  <w:noWrap w:val="0"/>
                  <w:vAlign w:val="center"/>
                </w:tcPr>
                <w:p w14:paraId="473D48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9CF86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CB426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445D7B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256F9A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13A8BB0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北：14</w:t>
                  </w:r>
                </w:p>
              </w:tc>
              <w:tc>
                <w:tcPr>
                  <w:tcW w:w="206" w:type="pct"/>
                  <w:noWrap w:val="0"/>
                  <w:vAlign w:val="center"/>
                </w:tcPr>
                <w:p w14:paraId="55C0AA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5F614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A51641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96528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046E150">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铣</w:t>
                  </w:r>
                  <w:r>
                    <w:rPr>
                      <w:rFonts w:hint="eastAsia"/>
                      <w:color w:val="auto"/>
                      <w:sz w:val="18"/>
                      <w:szCs w:val="18"/>
                      <w:lang w:val="en-US" w:eastAsia="zh-CN"/>
                    </w:rPr>
                    <w:t>床</w:t>
                  </w:r>
                </w:p>
              </w:tc>
              <w:tc>
                <w:tcPr>
                  <w:tcW w:w="247" w:type="pct"/>
                  <w:noWrap w:val="0"/>
                  <w:vAlign w:val="center"/>
                </w:tcPr>
                <w:p w14:paraId="4B6644E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BC495A1">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9FBB6FA">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6ED859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DFF9D4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15</w:t>
                  </w:r>
                </w:p>
              </w:tc>
              <w:tc>
                <w:tcPr>
                  <w:tcW w:w="269" w:type="pct"/>
                  <w:noWrap w:val="0"/>
                  <w:vAlign w:val="center"/>
                </w:tcPr>
                <w:p w14:paraId="24F9766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85</w:t>
                  </w:r>
                </w:p>
              </w:tc>
              <w:tc>
                <w:tcPr>
                  <w:tcW w:w="269" w:type="pct"/>
                  <w:noWrap w:val="0"/>
                  <w:vAlign w:val="center"/>
                </w:tcPr>
                <w:p w14:paraId="5EBE84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3949D7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4FCBB2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535589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47ED79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noWrap w:val="0"/>
                  <w:vAlign w:val="center"/>
                </w:tcPr>
                <w:p w14:paraId="1ADBAA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w:t>
                  </w:r>
                </w:p>
                <w:p w14:paraId="51293D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582361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72C31B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17E2A1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57B4CC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B1FD2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403954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30726E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2CD7EC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153C7F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4E55E7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F57242D">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0E386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D70BD3A">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铣</w:t>
                  </w:r>
                  <w:r>
                    <w:rPr>
                      <w:rFonts w:hint="eastAsia"/>
                      <w:color w:val="auto"/>
                      <w:sz w:val="18"/>
                      <w:szCs w:val="18"/>
                      <w:lang w:val="en-US" w:eastAsia="zh-CN"/>
                    </w:rPr>
                    <w:t>床</w:t>
                  </w:r>
                </w:p>
              </w:tc>
              <w:tc>
                <w:tcPr>
                  <w:tcW w:w="247" w:type="pct"/>
                  <w:noWrap w:val="0"/>
                  <w:vAlign w:val="center"/>
                </w:tcPr>
                <w:p w14:paraId="4D8F4F79">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8A740C0">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361BE52">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7347F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17D5A1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15</w:t>
                  </w:r>
                </w:p>
              </w:tc>
              <w:tc>
                <w:tcPr>
                  <w:tcW w:w="269" w:type="pct"/>
                  <w:noWrap w:val="0"/>
                  <w:vAlign w:val="center"/>
                </w:tcPr>
                <w:p w14:paraId="3339352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90</w:t>
                  </w:r>
                </w:p>
              </w:tc>
              <w:tc>
                <w:tcPr>
                  <w:tcW w:w="269" w:type="pct"/>
                  <w:noWrap w:val="0"/>
                  <w:vAlign w:val="center"/>
                </w:tcPr>
                <w:p w14:paraId="231BA32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3D1AF8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w:t>
                  </w:r>
                </w:p>
                <w:p w14:paraId="51B506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6F07B7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西：15</w:t>
                  </w:r>
                </w:p>
                <w:p w14:paraId="41496D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北：10</w:t>
                  </w:r>
                </w:p>
              </w:tc>
              <w:tc>
                <w:tcPr>
                  <w:tcW w:w="422" w:type="pct"/>
                  <w:noWrap w:val="0"/>
                  <w:vAlign w:val="center"/>
                </w:tcPr>
                <w:p w14:paraId="2485E5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东：28南：20.9</w:t>
                  </w:r>
                </w:p>
                <w:p w14:paraId="627F491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西：36.5</w:t>
                  </w:r>
                </w:p>
                <w:p w14:paraId="79A867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北：40</w:t>
                  </w:r>
                </w:p>
              </w:tc>
              <w:tc>
                <w:tcPr>
                  <w:tcW w:w="455" w:type="pct"/>
                  <w:vMerge w:val="continue"/>
                  <w:noWrap w:val="0"/>
                  <w:vAlign w:val="center"/>
                </w:tcPr>
                <w:p w14:paraId="327CF3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567E8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49F68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东：8</w:t>
                  </w:r>
                </w:p>
                <w:p w14:paraId="3240DF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南：0.9</w:t>
                  </w:r>
                </w:p>
                <w:p w14:paraId="7E3C6B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西：16.5</w:t>
                  </w:r>
                </w:p>
                <w:p w14:paraId="0B2809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w:t>
                  </w:r>
                </w:p>
              </w:tc>
              <w:tc>
                <w:tcPr>
                  <w:tcW w:w="206" w:type="pct"/>
                  <w:noWrap w:val="0"/>
                  <w:vAlign w:val="center"/>
                </w:tcPr>
                <w:p w14:paraId="793896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49786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45BBDA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67483D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36BB053">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eastAsia="zh-CN"/>
                    </w:rPr>
                    <w:t>磨床</w:t>
                  </w:r>
                </w:p>
              </w:tc>
              <w:tc>
                <w:tcPr>
                  <w:tcW w:w="247" w:type="pct"/>
                  <w:noWrap w:val="0"/>
                  <w:vAlign w:val="center"/>
                </w:tcPr>
                <w:p w14:paraId="37826F16">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2FA6F98">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31451082">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781764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shd w:val="clear" w:color="auto" w:fill="auto"/>
                  <w:noWrap w:val="0"/>
                  <w:vAlign w:val="center"/>
                </w:tcPr>
                <w:p w14:paraId="402A87A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22</w:t>
                  </w:r>
                </w:p>
              </w:tc>
              <w:tc>
                <w:tcPr>
                  <w:tcW w:w="269" w:type="pct"/>
                  <w:shd w:val="clear" w:color="auto" w:fill="auto"/>
                  <w:noWrap w:val="0"/>
                  <w:vAlign w:val="center"/>
                </w:tcPr>
                <w:p w14:paraId="64DB38E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80</w:t>
                  </w:r>
                </w:p>
              </w:tc>
              <w:tc>
                <w:tcPr>
                  <w:tcW w:w="269" w:type="pct"/>
                  <w:shd w:val="clear" w:color="auto" w:fill="auto"/>
                  <w:noWrap w:val="0"/>
                  <w:vAlign w:val="center"/>
                </w:tcPr>
                <w:p w14:paraId="353F2B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shd w:val="clear" w:color="auto" w:fill="auto"/>
                  <w:noWrap w:val="0"/>
                  <w:vAlign w:val="center"/>
                </w:tcPr>
                <w:p w14:paraId="628ED0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东：33</w:t>
                  </w:r>
                </w:p>
                <w:p w14:paraId="481FEF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508392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西：22</w:t>
                  </w:r>
                </w:p>
                <w:p w14:paraId="238EA8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shd w:val="clear" w:color="auto" w:fill="auto"/>
                  <w:noWrap w:val="0"/>
                  <w:vAlign w:val="center"/>
                </w:tcPr>
                <w:p w14:paraId="57EBE2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东：29.6</w:t>
                  </w:r>
                </w:p>
                <w:p w14:paraId="3A0766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1E8D3F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西：33.2</w:t>
                  </w:r>
                </w:p>
                <w:p w14:paraId="4CA008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北：34</w:t>
                  </w:r>
                </w:p>
              </w:tc>
              <w:tc>
                <w:tcPr>
                  <w:tcW w:w="455" w:type="pct"/>
                  <w:vMerge w:val="continue"/>
                  <w:noWrap w:val="0"/>
                  <w:vAlign w:val="center"/>
                </w:tcPr>
                <w:p w14:paraId="38BE3A9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69FB9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554BB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东：9.6</w:t>
                  </w:r>
                </w:p>
                <w:p w14:paraId="5024BA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174A07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西：13.2</w:t>
                  </w:r>
                </w:p>
                <w:p w14:paraId="0726C0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北：14</w:t>
                  </w:r>
                </w:p>
              </w:tc>
              <w:tc>
                <w:tcPr>
                  <w:tcW w:w="206" w:type="pct"/>
                  <w:noWrap w:val="0"/>
                  <w:vAlign w:val="center"/>
                </w:tcPr>
                <w:p w14:paraId="52A571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5B740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4BA7CA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297CF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D53999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eastAsia="zh-CN"/>
                    </w:rPr>
                    <w:t>磨床</w:t>
                  </w:r>
                </w:p>
              </w:tc>
              <w:tc>
                <w:tcPr>
                  <w:tcW w:w="247" w:type="pct"/>
                  <w:noWrap w:val="0"/>
                  <w:vAlign w:val="center"/>
                </w:tcPr>
                <w:p w14:paraId="476EDF2A">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2710F20">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901572F">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76DFA0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shd w:val="clear" w:color="auto" w:fill="auto"/>
                  <w:noWrap w:val="0"/>
                  <w:vAlign w:val="center"/>
                </w:tcPr>
                <w:p w14:paraId="6474CEEE">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22</w:t>
                  </w:r>
                </w:p>
              </w:tc>
              <w:tc>
                <w:tcPr>
                  <w:tcW w:w="269" w:type="pct"/>
                  <w:shd w:val="clear" w:color="auto" w:fill="auto"/>
                  <w:noWrap w:val="0"/>
                  <w:vAlign w:val="center"/>
                </w:tcPr>
                <w:p w14:paraId="71B74ED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85</w:t>
                  </w:r>
                </w:p>
              </w:tc>
              <w:tc>
                <w:tcPr>
                  <w:tcW w:w="269" w:type="pct"/>
                  <w:shd w:val="clear" w:color="auto" w:fill="auto"/>
                  <w:noWrap w:val="0"/>
                  <w:vAlign w:val="center"/>
                </w:tcPr>
                <w:p w14:paraId="39E29B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shd w:val="clear" w:color="auto" w:fill="auto"/>
                  <w:noWrap w:val="0"/>
                  <w:vAlign w:val="center"/>
                </w:tcPr>
                <w:p w14:paraId="639ED7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东：33</w:t>
                  </w:r>
                </w:p>
                <w:p w14:paraId="512ECD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2EE98B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西：22</w:t>
                  </w:r>
                </w:p>
                <w:p w14:paraId="27C72E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shd w:val="clear" w:color="auto" w:fill="auto"/>
                  <w:noWrap w:val="0"/>
                  <w:vAlign w:val="center"/>
                </w:tcPr>
                <w:p w14:paraId="6A6A5C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东：29.6</w:t>
                  </w:r>
                </w:p>
                <w:p w14:paraId="23EA4D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482418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西：33.2</w:t>
                  </w:r>
                </w:p>
                <w:p w14:paraId="77E886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7A2D3A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8542B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6FEE30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东：9.6</w:t>
                  </w:r>
                </w:p>
                <w:p w14:paraId="52A1F4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14809F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西：13.2</w:t>
                  </w:r>
                </w:p>
                <w:p w14:paraId="01E165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4EEC90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F3C57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A175430">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9AFA8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ED6A92A">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eastAsia="zh-CN"/>
                    </w:rPr>
                  </w:pPr>
                  <w:r>
                    <w:rPr>
                      <w:rFonts w:hint="eastAsia"/>
                      <w:color w:val="auto"/>
                      <w:sz w:val="18"/>
                      <w:szCs w:val="18"/>
                      <w:lang w:eastAsia="zh-CN"/>
                    </w:rPr>
                    <w:t>刨床</w:t>
                  </w:r>
                </w:p>
              </w:tc>
              <w:tc>
                <w:tcPr>
                  <w:tcW w:w="247" w:type="pct"/>
                  <w:noWrap w:val="0"/>
                  <w:vAlign w:val="center"/>
                </w:tcPr>
                <w:p w14:paraId="08819050">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9EF02E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568C107C">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38E95F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shd w:val="clear" w:color="auto" w:fill="auto"/>
                  <w:noWrap w:val="0"/>
                  <w:vAlign w:val="center"/>
                </w:tcPr>
                <w:p w14:paraId="3BD4F9A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22</w:t>
                  </w:r>
                </w:p>
              </w:tc>
              <w:tc>
                <w:tcPr>
                  <w:tcW w:w="269" w:type="pct"/>
                  <w:shd w:val="clear" w:color="auto" w:fill="auto"/>
                  <w:noWrap w:val="0"/>
                  <w:vAlign w:val="center"/>
                </w:tcPr>
                <w:p w14:paraId="4E0143D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90</w:t>
                  </w:r>
                </w:p>
              </w:tc>
              <w:tc>
                <w:tcPr>
                  <w:tcW w:w="269" w:type="pct"/>
                  <w:shd w:val="clear" w:color="auto" w:fill="auto"/>
                  <w:noWrap w:val="0"/>
                  <w:vAlign w:val="center"/>
                </w:tcPr>
                <w:p w14:paraId="7EA0A6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shd w:val="clear" w:color="auto" w:fill="auto"/>
                  <w:noWrap w:val="0"/>
                  <w:vAlign w:val="center"/>
                </w:tcPr>
                <w:p w14:paraId="59E4B2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东：33</w:t>
                  </w:r>
                </w:p>
                <w:p w14:paraId="1961D5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104CEE5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西：22</w:t>
                  </w:r>
                </w:p>
                <w:p w14:paraId="50C062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北：10</w:t>
                  </w:r>
                </w:p>
              </w:tc>
              <w:tc>
                <w:tcPr>
                  <w:tcW w:w="422" w:type="pct"/>
                  <w:shd w:val="clear" w:color="auto" w:fill="auto"/>
                  <w:noWrap w:val="0"/>
                  <w:vAlign w:val="center"/>
                </w:tcPr>
                <w:p w14:paraId="046D01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东：29.6</w:t>
                  </w:r>
                </w:p>
                <w:p w14:paraId="7F74EC6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南：20.9</w:t>
                  </w:r>
                </w:p>
                <w:p w14:paraId="090EE04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西：33.2</w:t>
                  </w:r>
                </w:p>
                <w:p w14:paraId="2F5AB9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北：40</w:t>
                  </w:r>
                </w:p>
              </w:tc>
              <w:tc>
                <w:tcPr>
                  <w:tcW w:w="455" w:type="pct"/>
                  <w:vMerge w:val="continue"/>
                  <w:noWrap w:val="0"/>
                  <w:vAlign w:val="center"/>
                </w:tcPr>
                <w:p w14:paraId="6F67B2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24D02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39ECE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东：9.6</w:t>
                  </w:r>
                </w:p>
                <w:p w14:paraId="204D89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南：0.9</w:t>
                  </w:r>
                </w:p>
                <w:p w14:paraId="2F6678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西：13.2</w:t>
                  </w:r>
                </w:p>
                <w:p w14:paraId="3A350C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北：20</w:t>
                  </w:r>
                </w:p>
              </w:tc>
              <w:tc>
                <w:tcPr>
                  <w:tcW w:w="206" w:type="pct"/>
                  <w:noWrap w:val="0"/>
                  <w:vAlign w:val="center"/>
                </w:tcPr>
                <w:p w14:paraId="38609E5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F6EC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4B2E0D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BABEC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070524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eastAsia="zh-CN"/>
                    </w:rPr>
                  </w:pPr>
                  <w:r>
                    <w:rPr>
                      <w:rFonts w:hint="eastAsia"/>
                      <w:color w:val="auto"/>
                      <w:sz w:val="18"/>
                      <w:szCs w:val="18"/>
                      <w:lang w:eastAsia="zh-CN"/>
                    </w:rPr>
                    <w:t>刨床</w:t>
                  </w:r>
                </w:p>
              </w:tc>
              <w:tc>
                <w:tcPr>
                  <w:tcW w:w="247" w:type="pct"/>
                  <w:noWrap w:val="0"/>
                  <w:vAlign w:val="center"/>
                </w:tcPr>
                <w:p w14:paraId="1F2F2B6C">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40DAF20">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CF235A4">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165586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shd w:val="clear" w:color="auto" w:fill="auto"/>
                  <w:noWrap w:val="0"/>
                  <w:vAlign w:val="center"/>
                </w:tcPr>
                <w:p w14:paraId="78AE020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22</w:t>
                  </w:r>
                </w:p>
              </w:tc>
              <w:tc>
                <w:tcPr>
                  <w:tcW w:w="269" w:type="pct"/>
                  <w:shd w:val="clear" w:color="auto" w:fill="auto"/>
                  <w:noWrap w:val="0"/>
                  <w:vAlign w:val="center"/>
                </w:tcPr>
                <w:p w14:paraId="2B6E4BA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75</w:t>
                  </w:r>
                </w:p>
              </w:tc>
              <w:tc>
                <w:tcPr>
                  <w:tcW w:w="269" w:type="pct"/>
                  <w:shd w:val="clear" w:color="auto" w:fill="auto"/>
                  <w:noWrap w:val="0"/>
                  <w:vAlign w:val="center"/>
                </w:tcPr>
                <w:p w14:paraId="3F20BE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shd w:val="clear" w:color="auto" w:fill="auto"/>
                  <w:noWrap w:val="0"/>
                  <w:vAlign w:val="center"/>
                </w:tcPr>
                <w:p w14:paraId="69E2E43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东：33</w:t>
                  </w:r>
                </w:p>
                <w:p w14:paraId="194F68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6F85B7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西：22</w:t>
                  </w:r>
                </w:p>
                <w:p w14:paraId="38C26D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北：25</w:t>
                  </w:r>
                </w:p>
              </w:tc>
              <w:tc>
                <w:tcPr>
                  <w:tcW w:w="422" w:type="pct"/>
                  <w:shd w:val="clear" w:color="auto" w:fill="auto"/>
                  <w:noWrap w:val="0"/>
                  <w:vAlign w:val="center"/>
                </w:tcPr>
                <w:p w14:paraId="5F8250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东：29.6</w:t>
                  </w:r>
                </w:p>
                <w:p w14:paraId="143C15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南：22.5</w:t>
                  </w:r>
                </w:p>
                <w:p w14:paraId="283D5A0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西：33.2</w:t>
                  </w:r>
                </w:p>
                <w:p w14:paraId="24B1EA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北：32</w:t>
                  </w:r>
                </w:p>
              </w:tc>
              <w:tc>
                <w:tcPr>
                  <w:tcW w:w="455" w:type="pct"/>
                  <w:vMerge w:val="continue"/>
                  <w:noWrap w:val="0"/>
                  <w:vAlign w:val="center"/>
                </w:tcPr>
                <w:p w14:paraId="2F6297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7FA3F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5E314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东：9.6</w:t>
                  </w:r>
                </w:p>
                <w:p w14:paraId="5F4EB7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46B84A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西：13.2</w:t>
                  </w:r>
                </w:p>
                <w:p w14:paraId="3879BC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北：12</w:t>
                  </w:r>
                </w:p>
              </w:tc>
              <w:tc>
                <w:tcPr>
                  <w:tcW w:w="206" w:type="pct"/>
                  <w:noWrap w:val="0"/>
                  <w:vAlign w:val="center"/>
                </w:tcPr>
                <w:p w14:paraId="265472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27577A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F2B842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FBE17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E05B715">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eastAsia="zh-CN"/>
                    </w:rPr>
                  </w:pPr>
                  <w:r>
                    <w:rPr>
                      <w:rFonts w:hint="eastAsia"/>
                      <w:color w:val="auto"/>
                      <w:sz w:val="18"/>
                      <w:szCs w:val="18"/>
                      <w:lang w:eastAsia="zh-CN"/>
                    </w:rPr>
                    <w:t>刨床</w:t>
                  </w:r>
                </w:p>
              </w:tc>
              <w:tc>
                <w:tcPr>
                  <w:tcW w:w="247" w:type="pct"/>
                  <w:noWrap w:val="0"/>
                  <w:vAlign w:val="center"/>
                </w:tcPr>
                <w:p w14:paraId="09EFC489">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78E2226">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AF95B20">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0A2B97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shd w:val="clear" w:color="auto" w:fill="auto"/>
                  <w:noWrap w:val="0"/>
                  <w:vAlign w:val="center"/>
                </w:tcPr>
                <w:p w14:paraId="6735FF6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24</w:t>
                  </w:r>
                </w:p>
              </w:tc>
              <w:tc>
                <w:tcPr>
                  <w:tcW w:w="269" w:type="pct"/>
                  <w:shd w:val="clear" w:color="auto" w:fill="auto"/>
                  <w:noWrap w:val="0"/>
                  <w:vAlign w:val="center"/>
                </w:tcPr>
                <w:p w14:paraId="536D64D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80</w:t>
                  </w:r>
                </w:p>
              </w:tc>
              <w:tc>
                <w:tcPr>
                  <w:tcW w:w="269" w:type="pct"/>
                  <w:shd w:val="clear" w:color="auto" w:fill="auto"/>
                  <w:noWrap w:val="0"/>
                  <w:vAlign w:val="center"/>
                </w:tcPr>
                <w:p w14:paraId="64D2A7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shd w:val="clear" w:color="auto" w:fill="auto"/>
                  <w:noWrap w:val="0"/>
                  <w:vAlign w:val="center"/>
                </w:tcPr>
                <w:p w14:paraId="5639C3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w:t>
                  </w:r>
                </w:p>
                <w:p w14:paraId="1408AB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2F7F1C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西：24</w:t>
                  </w:r>
                </w:p>
                <w:p w14:paraId="40EFC0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shd w:val="clear" w:color="auto" w:fill="auto"/>
                  <w:noWrap w:val="0"/>
                  <w:vAlign w:val="center"/>
                </w:tcPr>
                <w:p w14:paraId="306E25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东：30.2</w:t>
                  </w:r>
                </w:p>
                <w:p w14:paraId="6CD01C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49402F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西：32.4</w:t>
                  </w:r>
                </w:p>
                <w:p w14:paraId="7F6DB4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北：34</w:t>
                  </w:r>
                </w:p>
              </w:tc>
              <w:tc>
                <w:tcPr>
                  <w:tcW w:w="455" w:type="pct"/>
                  <w:vMerge w:val="continue"/>
                  <w:noWrap w:val="0"/>
                  <w:vAlign w:val="center"/>
                </w:tcPr>
                <w:p w14:paraId="670F97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5588141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2E13D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东：10.2</w:t>
                  </w:r>
                </w:p>
                <w:p w14:paraId="3630AE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03477A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西：12.4</w:t>
                  </w:r>
                </w:p>
                <w:p w14:paraId="4EE01A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北：14</w:t>
                  </w:r>
                </w:p>
              </w:tc>
              <w:tc>
                <w:tcPr>
                  <w:tcW w:w="206" w:type="pct"/>
                  <w:noWrap w:val="0"/>
                  <w:vAlign w:val="center"/>
                </w:tcPr>
                <w:p w14:paraId="189FC1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E6F8A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3FC11D05">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A6CB7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97EFBF8">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eastAsia="zh-CN"/>
                    </w:rPr>
                  </w:pPr>
                  <w:r>
                    <w:rPr>
                      <w:rFonts w:hint="eastAsia"/>
                      <w:color w:val="auto"/>
                      <w:sz w:val="18"/>
                      <w:szCs w:val="18"/>
                      <w:lang w:eastAsia="zh-CN"/>
                    </w:rPr>
                    <w:t>刨床</w:t>
                  </w:r>
                </w:p>
              </w:tc>
              <w:tc>
                <w:tcPr>
                  <w:tcW w:w="247" w:type="pct"/>
                  <w:noWrap w:val="0"/>
                  <w:vAlign w:val="center"/>
                </w:tcPr>
                <w:p w14:paraId="1B182310">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D07D0E6">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689F979">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891A5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shd w:val="clear" w:color="auto" w:fill="auto"/>
                  <w:noWrap w:val="0"/>
                  <w:vAlign w:val="center"/>
                </w:tcPr>
                <w:p w14:paraId="7F29903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24</w:t>
                  </w:r>
                </w:p>
              </w:tc>
              <w:tc>
                <w:tcPr>
                  <w:tcW w:w="269" w:type="pct"/>
                  <w:shd w:val="clear" w:color="auto" w:fill="auto"/>
                  <w:noWrap w:val="0"/>
                  <w:vAlign w:val="center"/>
                </w:tcPr>
                <w:p w14:paraId="7F06575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85</w:t>
                  </w:r>
                </w:p>
              </w:tc>
              <w:tc>
                <w:tcPr>
                  <w:tcW w:w="269" w:type="pct"/>
                  <w:shd w:val="clear" w:color="auto" w:fill="auto"/>
                  <w:noWrap w:val="0"/>
                  <w:vAlign w:val="center"/>
                </w:tcPr>
                <w:p w14:paraId="7A844B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shd w:val="clear" w:color="auto" w:fill="auto"/>
                  <w:noWrap w:val="0"/>
                  <w:vAlign w:val="center"/>
                </w:tcPr>
                <w:p w14:paraId="5A50C6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w:t>
                  </w:r>
                </w:p>
                <w:p w14:paraId="1D2B45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36CCCA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西：24</w:t>
                  </w:r>
                </w:p>
                <w:p w14:paraId="1FB42C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shd w:val="clear" w:color="auto" w:fill="auto"/>
                  <w:noWrap w:val="0"/>
                  <w:vAlign w:val="center"/>
                </w:tcPr>
                <w:p w14:paraId="3DA2BE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东：30.2</w:t>
                  </w:r>
                </w:p>
                <w:p w14:paraId="65BC03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4DAE8B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西：32.4</w:t>
                  </w:r>
                </w:p>
                <w:p w14:paraId="041454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0740E5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A9A10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597D7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东：10.2</w:t>
                  </w:r>
                </w:p>
                <w:p w14:paraId="623254B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41AD654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西：12.4</w:t>
                  </w:r>
                </w:p>
                <w:p w14:paraId="0E6B7F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北：16.5</w:t>
                  </w:r>
                </w:p>
              </w:tc>
              <w:tc>
                <w:tcPr>
                  <w:tcW w:w="206" w:type="pct"/>
                  <w:noWrap w:val="0"/>
                  <w:vAlign w:val="center"/>
                </w:tcPr>
                <w:p w14:paraId="07E373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7B057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DE6D16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D38C58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60D3889">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eastAsia="zh-CN"/>
                    </w:rPr>
                  </w:pPr>
                  <w:r>
                    <w:rPr>
                      <w:rFonts w:hint="eastAsia"/>
                      <w:color w:val="auto"/>
                      <w:sz w:val="18"/>
                      <w:szCs w:val="18"/>
                      <w:lang w:eastAsia="zh-CN"/>
                    </w:rPr>
                    <w:t>镗床</w:t>
                  </w:r>
                </w:p>
              </w:tc>
              <w:tc>
                <w:tcPr>
                  <w:tcW w:w="247" w:type="pct"/>
                  <w:noWrap w:val="0"/>
                  <w:vAlign w:val="center"/>
                </w:tcPr>
                <w:p w14:paraId="0C1C43D8">
                  <w:pPr>
                    <w:keepNext w:val="0"/>
                    <w:keepLines w:val="0"/>
                    <w:pageBreakBefore w:val="0"/>
                    <w:kinsoku/>
                    <w:wordWrap/>
                    <w:overflowPunct/>
                    <w:topLinePunct w:val="0"/>
                    <w:bidi w:val="0"/>
                    <w:ind w:left="0" w:leftChars="0" w:right="0" w:rightChars="0"/>
                    <w:jc w:val="center"/>
                    <w:textAlignment w:val="auto"/>
                    <w:rPr>
                      <w:rFonts w:hint="eastAsia"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EF0622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9773DB0">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448876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shd w:val="clear" w:color="auto" w:fill="auto"/>
                  <w:noWrap w:val="0"/>
                  <w:vAlign w:val="center"/>
                </w:tcPr>
                <w:p w14:paraId="08C3B6D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24</w:t>
                  </w:r>
                </w:p>
              </w:tc>
              <w:tc>
                <w:tcPr>
                  <w:tcW w:w="269" w:type="pct"/>
                  <w:shd w:val="clear" w:color="auto" w:fill="auto"/>
                  <w:noWrap w:val="0"/>
                  <w:vAlign w:val="center"/>
                </w:tcPr>
                <w:p w14:paraId="3DC5ADE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75</w:t>
                  </w:r>
                </w:p>
              </w:tc>
              <w:tc>
                <w:tcPr>
                  <w:tcW w:w="269" w:type="pct"/>
                  <w:shd w:val="clear" w:color="auto" w:fill="auto"/>
                  <w:noWrap w:val="0"/>
                  <w:vAlign w:val="center"/>
                </w:tcPr>
                <w:p w14:paraId="118224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shd w:val="clear" w:color="auto" w:fill="auto"/>
                  <w:noWrap w:val="0"/>
                  <w:vAlign w:val="center"/>
                </w:tcPr>
                <w:p w14:paraId="06F0D15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东：31</w:t>
                  </w:r>
                </w:p>
                <w:p w14:paraId="56B98D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南：90</w:t>
                  </w:r>
                </w:p>
                <w:p w14:paraId="6B945C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西：24</w:t>
                  </w:r>
                </w:p>
                <w:p w14:paraId="24AE79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北：10</w:t>
                  </w:r>
                </w:p>
              </w:tc>
              <w:tc>
                <w:tcPr>
                  <w:tcW w:w="422" w:type="pct"/>
                  <w:shd w:val="clear" w:color="auto" w:fill="auto"/>
                  <w:noWrap w:val="0"/>
                  <w:vAlign w:val="center"/>
                </w:tcPr>
                <w:p w14:paraId="5F2AA7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东：30.2南：20.9</w:t>
                  </w:r>
                </w:p>
                <w:p w14:paraId="781FF5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西：32.4</w:t>
                  </w:r>
                </w:p>
                <w:p w14:paraId="768C1B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北：40</w:t>
                  </w:r>
                </w:p>
              </w:tc>
              <w:tc>
                <w:tcPr>
                  <w:tcW w:w="455" w:type="pct"/>
                  <w:vMerge w:val="continue"/>
                  <w:noWrap w:val="0"/>
                  <w:vAlign w:val="center"/>
                </w:tcPr>
                <w:p w14:paraId="475417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AB07F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3D14CD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东：10.2</w:t>
                  </w:r>
                </w:p>
                <w:p w14:paraId="10E850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南：0.9</w:t>
                  </w:r>
                </w:p>
                <w:p w14:paraId="3C6DFE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西：12.4</w:t>
                  </w:r>
                </w:p>
                <w:p w14:paraId="672413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w:t>
                  </w:r>
                </w:p>
              </w:tc>
              <w:tc>
                <w:tcPr>
                  <w:tcW w:w="206" w:type="pct"/>
                  <w:noWrap w:val="0"/>
                  <w:vAlign w:val="center"/>
                </w:tcPr>
                <w:p w14:paraId="624616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97D4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1D1A38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C8A55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860E3A0">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砂轮机</w:t>
                  </w:r>
                </w:p>
              </w:tc>
              <w:tc>
                <w:tcPr>
                  <w:tcW w:w="247" w:type="pct"/>
                  <w:noWrap w:val="0"/>
                  <w:vAlign w:val="center"/>
                </w:tcPr>
                <w:p w14:paraId="2E79AD69">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17D4F3D">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47FC1915">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7BA61D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EC0F46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kern w:val="2"/>
                      <w:sz w:val="18"/>
                      <w:szCs w:val="18"/>
                      <w:highlight w:val="none"/>
                      <w:lang w:val="en-US" w:eastAsia="zh-CN" w:bidi="ar-SA"/>
                    </w:rPr>
                    <w:t>10</w:t>
                  </w:r>
                </w:p>
              </w:tc>
              <w:tc>
                <w:tcPr>
                  <w:tcW w:w="269" w:type="pct"/>
                  <w:noWrap w:val="0"/>
                  <w:vAlign w:val="center"/>
                </w:tcPr>
                <w:p w14:paraId="5B5188D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kern w:val="2"/>
                      <w:sz w:val="18"/>
                      <w:szCs w:val="18"/>
                      <w:highlight w:val="none"/>
                      <w:lang w:val="en-US" w:eastAsia="zh-CN" w:bidi="ar-SA"/>
                    </w:rPr>
                    <w:t>90</w:t>
                  </w:r>
                </w:p>
              </w:tc>
              <w:tc>
                <w:tcPr>
                  <w:tcW w:w="269" w:type="pct"/>
                  <w:noWrap w:val="0"/>
                  <w:vAlign w:val="center"/>
                </w:tcPr>
                <w:p w14:paraId="041688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1.2</w:t>
                  </w:r>
                </w:p>
              </w:tc>
              <w:tc>
                <w:tcPr>
                  <w:tcW w:w="407" w:type="pct"/>
                  <w:noWrap w:val="0"/>
                  <w:vAlign w:val="center"/>
                </w:tcPr>
                <w:p w14:paraId="14DAA1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5D4290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0C5F1D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517E29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北：25</w:t>
                  </w:r>
                </w:p>
              </w:tc>
              <w:tc>
                <w:tcPr>
                  <w:tcW w:w="422" w:type="pct"/>
                  <w:noWrap w:val="0"/>
                  <w:vAlign w:val="center"/>
                </w:tcPr>
                <w:p w14:paraId="3A074D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东：26.9</w:t>
                  </w:r>
                </w:p>
                <w:p w14:paraId="0083E0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南：22.5</w:t>
                  </w:r>
                </w:p>
                <w:p w14:paraId="17FCE7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6486AC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北：32</w:t>
                  </w:r>
                </w:p>
              </w:tc>
              <w:tc>
                <w:tcPr>
                  <w:tcW w:w="455" w:type="pct"/>
                  <w:vMerge w:val="continue"/>
                  <w:noWrap w:val="0"/>
                  <w:vAlign w:val="center"/>
                </w:tcPr>
                <w:p w14:paraId="46BBD0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8573E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05402B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东：6.9</w:t>
                  </w:r>
                </w:p>
                <w:p w14:paraId="06719C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2CE29E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565452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北：12</w:t>
                  </w:r>
                </w:p>
              </w:tc>
              <w:tc>
                <w:tcPr>
                  <w:tcW w:w="206" w:type="pct"/>
                  <w:noWrap w:val="0"/>
                  <w:vAlign w:val="center"/>
                </w:tcPr>
                <w:p w14:paraId="5DF9CA0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1D9DC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E39B45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385987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42133EE">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砂轮机</w:t>
                  </w:r>
                </w:p>
              </w:tc>
              <w:tc>
                <w:tcPr>
                  <w:tcW w:w="247" w:type="pct"/>
                  <w:noWrap w:val="0"/>
                  <w:vAlign w:val="center"/>
                </w:tcPr>
                <w:p w14:paraId="03840A1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13B1608">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13CD39ED">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7B96F0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B19BFA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10</w:t>
                  </w:r>
                </w:p>
              </w:tc>
              <w:tc>
                <w:tcPr>
                  <w:tcW w:w="269" w:type="pct"/>
                  <w:noWrap w:val="0"/>
                  <w:vAlign w:val="center"/>
                </w:tcPr>
                <w:p w14:paraId="4D249BB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91</w:t>
                  </w:r>
                </w:p>
              </w:tc>
              <w:tc>
                <w:tcPr>
                  <w:tcW w:w="269" w:type="pct"/>
                  <w:noWrap w:val="0"/>
                  <w:vAlign w:val="center"/>
                </w:tcPr>
                <w:p w14:paraId="1ABBA9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04C07C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1D309D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南：91</w:t>
                  </w:r>
                </w:p>
                <w:p w14:paraId="3885A2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25FF69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w:t>
                  </w:r>
                </w:p>
              </w:tc>
              <w:tc>
                <w:tcPr>
                  <w:tcW w:w="422" w:type="pct"/>
                  <w:noWrap w:val="0"/>
                  <w:vAlign w:val="center"/>
                </w:tcPr>
                <w:p w14:paraId="4A54B3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东：26.9</w:t>
                  </w:r>
                </w:p>
                <w:p w14:paraId="7E5FB7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南：20.8</w:t>
                  </w:r>
                </w:p>
                <w:p w14:paraId="57F8AA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6CD7B5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北：40.9</w:t>
                  </w:r>
                </w:p>
              </w:tc>
              <w:tc>
                <w:tcPr>
                  <w:tcW w:w="455" w:type="pct"/>
                  <w:vMerge w:val="continue"/>
                  <w:noWrap w:val="0"/>
                  <w:vAlign w:val="center"/>
                </w:tcPr>
                <w:p w14:paraId="4DAC94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95BA1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A1AED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东：6.9</w:t>
                  </w:r>
                </w:p>
                <w:p w14:paraId="45E01B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南：0.8</w:t>
                  </w:r>
                </w:p>
                <w:p w14:paraId="144A53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w:t>
                  </w:r>
                </w:p>
                <w:p w14:paraId="5571F5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北：20.9</w:t>
                  </w:r>
                </w:p>
              </w:tc>
              <w:tc>
                <w:tcPr>
                  <w:tcW w:w="206" w:type="pct"/>
                  <w:noWrap w:val="0"/>
                  <w:vAlign w:val="center"/>
                </w:tcPr>
                <w:p w14:paraId="487AA3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4624A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CCFD30B">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C59A0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70DF35B">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砂轮机</w:t>
                  </w:r>
                </w:p>
              </w:tc>
              <w:tc>
                <w:tcPr>
                  <w:tcW w:w="247" w:type="pct"/>
                  <w:noWrap w:val="0"/>
                  <w:vAlign w:val="center"/>
                </w:tcPr>
                <w:p w14:paraId="75FC6A99">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744331B">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5EB83412">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67A300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D8DD85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11</w:t>
                  </w:r>
                </w:p>
              </w:tc>
              <w:tc>
                <w:tcPr>
                  <w:tcW w:w="269" w:type="pct"/>
                  <w:noWrap w:val="0"/>
                  <w:vAlign w:val="center"/>
                </w:tcPr>
                <w:p w14:paraId="5C39F1C2">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91</w:t>
                  </w:r>
                </w:p>
              </w:tc>
              <w:tc>
                <w:tcPr>
                  <w:tcW w:w="269" w:type="pct"/>
                  <w:noWrap w:val="0"/>
                  <w:vAlign w:val="center"/>
                </w:tcPr>
                <w:p w14:paraId="2D6BD7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2D9A41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东：44</w:t>
                  </w:r>
                </w:p>
                <w:p w14:paraId="70849A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南：91</w:t>
                  </w:r>
                </w:p>
                <w:p w14:paraId="140A4A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西：11</w:t>
                  </w:r>
                </w:p>
                <w:p w14:paraId="3A072F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w:t>
                  </w:r>
                </w:p>
              </w:tc>
              <w:tc>
                <w:tcPr>
                  <w:tcW w:w="422" w:type="pct"/>
                  <w:noWrap w:val="0"/>
                  <w:vAlign w:val="center"/>
                </w:tcPr>
                <w:p w14:paraId="3046A2E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东：27.1</w:t>
                  </w:r>
                </w:p>
                <w:p w14:paraId="2B9AC2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南：20.8</w:t>
                  </w:r>
                </w:p>
                <w:p w14:paraId="337B27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西：39.2</w:t>
                  </w:r>
                </w:p>
                <w:p w14:paraId="5FA679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北：40.9</w:t>
                  </w:r>
                </w:p>
              </w:tc>
              <w:tc>
                <w:tcPr>
                  <w:tcW w:w="455" w:type="pct"/>
                  <w:vMerge w:val="continue"/>
                  <w:noWrap w:val="0"/>
                  <w:vAlign w:val="center"/>
                </w:tcPr>
                <w:p w14:paraId="5217619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733B9C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8BC00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东：7.1</w:t>
                  </w:r>
                </w:p>
                <w:p w14:paraId="6C1DFD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南：0.8</w:t>
                  </w:r>
                </w:p>
                <w:p w14:paraId="48F6E6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西：19.2</w:t>
                  </w:r>
                </w:p>
                <w:p w14:paraId="03E77C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北：20.9</w:t>
                  </w:r>
                </w:p>
              </w:tc>
              <w:tc>
                <w:tcPr>
                  <w:tcW w:w="206" w:type="pct"/>
                  <w:noWrap w:val="0"/>
                  <w:vAlign w:val="center"/>
                </w:tcPr>
                <w:p w14:paraId="745F56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D6773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6ADD776">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4995D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84BC08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砂轮机</w:t>
                  </w:r>
                </w:p>
              </w:tc>
              <w:tc>
                <w:tcPr>
                  <w:tcW w:w="247" w:type="pct"/>
                  <w:noWrap w:val="0"/>
                  <w:vAlign w:val="center"/>
                </w:tcPr>
                <w:p w14:paraId="7B4C5BCD">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36A35D3">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1FB4CC2">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A79EB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EBE08C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12</w:t>
                  </w:r>
                </w:p>
              </w:tc>
              <w:tc>
                <w:tcPr>
                  <w:tcW w:w="269" w:type="pct"/>
                  <w:noWrap w:val="0"/>
                  <w:vAlign w:val="center"/>
                </w:tcPr>
                <w:p w14:paraId="0393CE1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91</w:t>
                  </w:r>
                </w:p>
              </w:tc>
              <w:tc>
                <w:tcPr>
                  <w:tcW w:w="269" w:type="pct"/>
                  <w:noWrap w:val="0"/>
                  <w:vAlign w:val="center"/>
                </w:tcPr>
                <w:p w14:paraId="7B1C32B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42C691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东：43</w:t>
                  </w:r>
                </w:p>
                <w:p w14:paraId="6646F6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南：91</w:t>
                  </w:r>
                </w:p>
                <w:p w14:paraId="5D8B26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w:t>
                  </w:r>
                </w:p>
                <w:p w14:paraId="1DD6B44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w:t>
                  </w:r>
                </w:p>
              </w:tc>
              <w:tc>
                <w:tcPr>
                  <w:tcW w:w="422" w:type="pct"/>
                  <w:noWrap w:val="0"/>
                  <w:vAlign w:val="center"/>
                </w:tcPr>
                <w:p w14:paraId="17766A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东：27.3</w:t>
                  </w:r>
                </w:p>
                <w:p w14:paraId="0318CF8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南：20.8</w:t>
                  </w:r>
                </w:p>
                <w:p w14:paraId="6562BB6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西：38.4</w:t>
                  </w:r>
                </w:p>
                <w:p w14:paraId="2C26F0D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北：40.9</w:t>
                  </w:r>
                </w:p>
              </w:tc>
              <w:tc>
                <w:tcPr>
                  <w:tcW w:w="455" w:type="pct"/>
                  <w:vMerge w:val="continue"/>
                  <w:noWrap w:val="0"/>
                  <w:vAlign w:val="center"/>
                </w:tcPr>
                <w:p w14:paraId="24E6FA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64F454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0FE274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东：7.3</w:t>
                  </w:r>
                </w:p>
                <w:p w14:paraId="1D655D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南：0.8</w:t>
                  </w:r>
                </w:p>
                <w:p w14:paraId="766AA3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西：18.4</w:t>
                  </w:r>
                </w:p>
                <w:p w14:paraId="7B0944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北：20.9</w:t>
                  </w:r>
                </w:p>
              </w:tc>
              <w:tc>
                <w:tcPr>
                  <w:tcW w:w="206" w:type="pct"/>
                  <w:noWrap w:val="0"/>
                  <w:vAlign w:val="center"/>
                </w:tcPr>
                <w:p w14:paraId="199BB2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8F297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1A879A9">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6C0EB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A1CBFA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自动盘管机</w:t>
                  </w:r>
                </w:p>
              </w:tc>
              <w:tc>
                <w:tcPr>
                  <w:tcW w:w="247" w:type="pct"/>
                  <w:noWrap w:val="0"/>
                  <w:vAlign w:val="center"/>
                </w:tcPr>
                <w:p w14:paraId="2F17A7B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947C245">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1F3D2CF4">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65</w:t>
                  </w:r>
                </w:p>
              </w:tc>
              <w:tc>
                <w:tcPr>
                  <w:tcW w:w="309" w:type="pct"/>
                  <w:vMerge w:val="continue"/>
                  <w:noWrap w:val="0"/>
                  <w:vAlign w:val="center"/>
                </w:tcPr>
                <w:p w14:paraId="6E3821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009E7C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30</w:t>
                  </w:r>
                </w:p>
              </w:tc>
              <w:tc>
                <w:tcPr>
                  <w:tcW w:w="269" w:type="pct"/>
                  <w:noWrap w:val="0"/>
                  <w:vAlign w:val="center"/>
                </w:tcPr>
                <w:p w14:paraId="491E334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kern w:val="2"/>
                      <w:sz w:val="18"/>
                      <w:szCs w:val="18"/>
                      <w:highlight w:val="none"/>
                      <w:lang w:val="en-US" w:eastAsia="zh-CN" w:bidi="ar-SA"/>
                    </w:rPr>
                    <w:t>75</w:t>
                  </w:r>
                </w:p>
              </w:tc>
              <w:tc>
                <w:tcPr>
                  <w:tcW w:w="269" w:type="pct"/>
                  <w:noWrap w:val="0"/>
                  <w:vAlign w:val="center"/>
                </w:tcPr>
                <w:p w14:paraId="4962E42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1.2</w:t>
                  </w:r>
                </w:p>
              </w:tc>
              <w:tc>
                <w:tcPr>
                  <w:tcW w:w="407" w:type="pct"/>
                  <w:noWrap w:val="0"/>
                  <w:vAlign w:val="center"/>
                </w:tcPr>
                <w:p w14:paraId="6B693B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5F4697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3EECED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w:t>
                  </w:r>
                </w:p>
                <w:p w14:paraId="77582C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北：25</w:t>
                  </w:r>
                </w:p>
              </w:tc>
              <w:tc>
                <w:tcPr>
                  <w:tcW w:w="422" w:type="pct"/>
                  <w:noWrap w:val="0"/>
                  <w:vAlign w:val="center"/>
                </w:tcPr>
                <w:p w14:paraId="39B2F1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w:t>
                  </w:r>
                </w:p>
                <w:p w14:paraId="0ACB5B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南：12.5</w:t>
                  </w:r>
                </w:p>
                <w:p w14:paraId="6C35B0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西：20.5</w:t>
                  </w:r>
                </w:p>
                <w:p w14:paraId="55E82D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北：22</w:t>
                  </w:r>
                </w:p>
              </w:tc>
              <w:tc>
                <w:tcPr>
                  <w:tcW w:w="455" w:type="pct"/>
                  <w:vMerge w:val="continue"/>
                  <w:noWrap w:val="0"/>
                  <w:vAlign w:val="center"/>
                </w:tcPr>
                <w:p w14:paraId="7ECFBA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6BAC53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6ACB8FA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41DE98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w:t>
                  </w:r>
                </w:p>
                <w:p w14:paraId="235F899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西：0.5</w:t>
                  </w:r>
                </w:p>
                <w:p w14:paraId="557AD09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北：2</w:t>
                  </w:r>
                </w:p>
              </w:tc>
              <w:tc>
                <w:tcPr>
                  <w:tcW w:w="206" w:type="pct"/>
                  <w:noWrap w:val="0"/>
                  <w:vAlign w:val="center"/>
                </w:tcPr>
                <w:p w14:paraId="0BD48E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364EC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BC3CF5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068871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188147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自动盘管机</w:t>
                  </w:r>
                </w:p>
              </w:tc>
              <w:tc>
                <w:tcPr>
                  <w:tcW w:w="247" w:type="pct"/>
                  <w:noWrap w:val="0"/>
                  <w:vAlign w:val="center"/>
                </w:tcPr>
                <w:p w14:paraId="740269B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6A74D43">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3719B96">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65</w:t>
                  </w:r>
                </w:p>
              </w:tc>
              <w:tc>
                <w:tcPr>
                  <w:tcW w:w="309" w:type="pct"/>
                  <w:vMerge w:val="continue"/>
                  <w:noWrap w:val="0"/>
                  <w:vAlign w:val="center"/>
                </w:tcPr>
                <w:p w14:paraId="423A0FD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lang w:val="en-US" w:eastAsia="zh-CN"/>
                    </w:rPr>
                  </w:pPr>
                </w:p>
              </w:tc>
              <w:tc>
                <w:tcPr>
                  <w:tcW w:w="288" w:type="pct"/>
                  <w:noWrap w:val="0"/>
                  <w:vAlign w:val="center"/>
                </w:tcPr>
                <w:p w14:paraId="20A3FF7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30</w:t>
                  </w:r>
                </w:p>
              </w:tc>
              <w:tc>
                <w:tcPr>
                  <w:tcW w:w="269" w:type="pct"/>
                  <w:noWrap w:val="0"/>
                  <w:vAlign w:val="center"/>
                </w:tcPr>
                <w:p w14:paraId="539F420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5DE38E4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6049D7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74F5D1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3D8D8C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w:t>
                  </w:r>
                </w:p>
                <w:p w14:paraId="1CA67B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noWrap w:val="0"/>
                  <w:vAlign w:val="center"/>
                </w:tcPr>
                <w:p w14:paraId="3754EF3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w:t>
                  </w:r>
                </w:p>
                <w:p w14:paraId="20396B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南：11.9</w:t>
                  </w:r>
                </w:p>
                <w:p w14:paraId="513869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西：20.5</w:t>
                  </w:r>
                </w:p>
                <w:p w14:paraId="130E14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北：24</w:t>
                  </w:r>
                </w:p>
              </w:tc>
              <w:tc>
                <w:tcPr>
                  <w:tcW w:w="455" w:type="pct"/>
                  <w:vMerge w:val="continue"/>
                  <w:noWrap w:val="0"/>
                  <w:vAlign w:val="center"/>
                </w:tcPr>
                <w:p w14:paraId="5574E7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46E04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A34BB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w:t>
                  </w:r>
                </w:p>
                <w:p w14:paraId="29D3FC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w:t>
                  </w:r>
                </w:p>
                <w:p w14:paraId="4F6B00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西：0.5</w:t>
                  </w:r>
                </w:p>
                <w:p w14:paraId="46058F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w:t>
                  </w:r>
                </w:p>
              </w:tc>
              <w:tc>
                <w:tcPr>
                  <w:tcW w:w="206" w:type="pct"/>
                  <w:noWrap w:val="0"/>
                  <w:vAlign w:val="center"/>
                </w:tcPr>
                <w:p w14:paraId="0926DC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499B5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F28063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20A29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DBB19FA">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自动弯管机</w:t>
                  </w:r>
                </w:p>
              </w:tc>
              <w:tc>
                <w:tcPr>
                  <w:tcW w:w="247" w:type="pct"/>
                  <w:noWrap w:val="0"/>
                  <w:vAlign w:val="center"/>
                </w:tcPr>
                <w:p w14:paraId="28C756B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223D0B6">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328" w:type="pct"/>
                  <w:noWrap w:val="0"/>
                  <w:vAlign w:val="center"/>
                </w:tcPr>
                <w:p w14:paraId="773CADB6">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65</w:t>
                  </w:r>
                </w:p>
              </w:tc>
              <w:tc>
                <w:tcPr>
                  <w:tcW w:w="309" w:type="pct"/>
                  <w:vMerge w:val="continue"/>
                  <w:noWrap w:val="0"/>
                  <w:vAlign w:val="center"/>
                </w:tcPr>
                <w:p w14:paraId="2B374E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CAF082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35</w:t>
                  </w:r>
                </w:p>
              </w:tc>
              <w:tc>
                <w:tcPr>
                  <w:tcW w:w="269" w:type="pct"/>
                  <w:noWrap w:val="0"/>
                  <w:vAlign w:val="center"/>
                </w:tcPr>
                <w:p w14:paraId="6EBEE5C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75</w:t>
                  </w:r>
                </w:p>
              </w:tc>
              <w:tc>
                <w:tcPr>
                  <w:tcW w:w="269" w:type="pct"/>
                  <w:noWrap w:val="0"/>
                  <w:vAlign w:val="center"/>
                </w:tcPr>
                <w:p w14:paraId="6BE001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1.2</w:t>
                  </w:r>
                </w:p>
              </w:tc>
              <w:tc>
                <w:tcPr>
                  <w:tcW w:w="407" w:type="pct"/>
                  <w:noWrap w:val="0"/>
                  <w:vAlign w:val="center"/>
                </w:tcPr>
                <w:p w14:paraId="6E158A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788F15D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南：75</w:t>
                  </w:r>
                </w:p>
                <w:p w14:paraId="002DB2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西：35</w:t>
                  </w:r>
                </w:p>
                <w:p w14:paraId="27852C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北：25</w:t>
                  </w:r>
                </w:p>
              </w:tc>
              <w:tc>
                <w:tcPr>
                  <w:tcW w:w="422" w:type="pct"/>
                  <w:noWrap w:val="0"/>
                  <w:vAlign w:val="center"/>
                </w:tcPr>
                <w:p w14:paraId="47EC36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东：24</w:t>
                  </w:r>
                </w:p>
                <w:p w14:paraId="288E48F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南：12.5</w:t>
                  </w:r>
                </w:p>
                <w:p w14:paraId="2E3EAC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西：19.1</w:t>
                  </w:r>
                </w:p>
                <w:p w14:paraId="54C32A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北：22</w:t>
                  </w:r>
                </w:p>
              </w:tc>
              <w:tc>
                <w:tcPr>
                  <w:tcW w:w="455" w:type="pct"/>
                  <w:vMerge w:val="continue"/>
                  <w:noWrap w:val="0"/>
                  <w:vAlign w:val="center"/>
                </w:tcPr>
                <w:p w14:paraId="17E6C8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A45CE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6A0B28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w:t>
                  </w:r>
                </w:p>
                <w:p w14:paraId="4B69AE2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w:t>
                  </w:r>
                </w:p>
                <w:p w14:paraId="16DFAC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西：0</w:t>
                  </w:r>
                </w:p>
                <w:p w14:paraId="7B6F5A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北：2</w:t>
                  </w:r>
                </w:p>
              </w:tc>
              <w:tc>
                <w:tcPr>
                  <w:tcW w:w="206" w:type="pct"/>
                  <w:noWrap w:val="0"/>
                  <w:vAlign w:val="center"/>
                </w:tcPr>
                <w:p w14:paraId="7857A8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374ED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BCEF3DE">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7F521B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1A864BF">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自动弯管机</w:t>
                  </w:r>
                </w:p>
              </w:tc>
              <w:tc>
                <w:tcPr>
                  <w:tcW w:w="247" w:type="pct"/>
                  <w:noWrap w:val="0"/>
                  <w:vAlign w:val="center"/>
                </w:tcPr>
                <w:p w14:paraId="189E3A4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D5D579C">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19C94B3">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65</w:t>
                  </w:r>
                </w:p>
              </w:tc>
              <w:tc>
                <w:tcPr>
                  <w:tcW w:w="309" w:type="pct"/>
                  <w:vMerge w:val="continue"/>
                  <w:noWrap w:val="0"/>
                  <w:vAlign w:val="center"/>
                </w:tcPr>
                <w:p w14:paraId="149787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961FC0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35</w:t>
                  </w:r>
                </w:p>
              </w:tc>
              <w:tc>
                <w:tcPr>
                  <w:tcW w:w="269" w:type="pct"/>
                  <w:noWrap w:val="0"/>
                  <w:vAlign w:val="center"/>
                </w:tcPr>
                <w:p w14:paraId="453AEB0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6E37DD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13A366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7CC23F9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68EA39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西：35</w:t>
                  </w:r>
                </w:p>
                <w:p w14:paraId="15F3B0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noWrap w:val="0"/>
                  <w:vAlign w:val="center"/>
                </w:tcPr>
                <w:p w14:paraId="7301AF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东：24</w:t>
                  </w:r>
                </w:p>
                <w:p w14:paraId="38D0D68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南：11.9</w:t>
                  </w:r>
                </w:p>
                <w:p w14:paraId="79451D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西：19.1</w:t>
                  </w:r>
                </w:p>
                <w:p w14:paraId="34D279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北：24</w:t>
                  </w:r>
                </w:p>
              </w:tc>
              <w:tc>
                <w:tcPr>
                  <w:tcW w:w="455" w:type="pct"/>
                  <w:vMerge w:val="continue"/>
                  <w:noWrap w:val="0"/>
                  <w:vAlign w:val="center"/>
                </w:tcPr>
                <w:p w14:paraId="6DAFC8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F18698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08E15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w:t>
                  </w:r>
                </w:p>
                <w:p w14:paraId="35A4F0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南：0</w:t>
                  </w:r>
                </w:p>
                <w:p w14:paraId="418783D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西：0</w:t>
                  </w:r>
                </w:p>
                <w:p w14:paraId="6C4837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w:t>
                  </w:r>
                </w:p>
              </w:tc>
              <w:tc>
                <w:tcPr>
                  <w:tcW w:w="206" w:type="pct"/>
                  <w:noWrap w:val="0"/>
                  <w:vAlign w:val="center"/>
                </w:tcPr>
                <w:p w14:paraId="1CA3496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F131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69D4089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298B1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B39E284">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五轴切管机</w:t>
                  </w:r>
                </w:p>
              </w:tc>
              <w:tc>
                <w:tcPr>
                  <w:tcW w:w="247" w:type="pct"/>
                  <w:noWrap w:val="0"/>
                  <w:vAlign w:val="center"/>
                </w:tcPr>
                <w:p w14:paraId="1A5626A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03F8B487">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328" w:type="pct"/>
                  <w:noWrap w:val="0"/>
                  <w:vAlign w:val="center"/>
                </w:tcPr>
                <w:p w14:paraId="085E0AE6">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27336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151900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35</w:t>
                  </w:r>
                </w:p>
              </w:tc>
              <w:tc>
                <w:tcPr>
                  <w:tcW w:w="269" w:type="pct"/>
                  <w:noWrap w:val="0"/>
                  <w:vAlign w:val="center"/>
                </w:tcPr>
                <w:p w14:paraId="2050787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85</w:t>
                  </w:r>
                </w:p>
              </w:tc>
              <w:tc>
                <w:tcPr>
                  <w:tcW w:w="269" w:type="pct"/>
                  <w:noWrap w:val="0"/>
                  <w:vAlign w:val="center"/>
                </w:tcPr>
                <w:p w14:paraId="4BE543F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1.2</w:t>
                  </w:r>
                </w:p>
              </w:tc>
              <w:tc>
                <w:tcPr>
                  <w:tcW w:w="407" w:type="pct"/>
                  <w:noWrap w:val="0"/>
                  <w:vAlign w:val="center"/>
                </w:tcPr>
                <w:p w14:paraId="595397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112677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46F5A6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西：35</w:t>
                  </w:r>
                </w:p>
                <w:p w14:paraId="721576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noWrap w:val="0"/>
                  <w:vAlign w:val="center"/>
                </w:tcPr>
                <w:p w14:paraId="67C77B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东：24</w:t>
                  </w:r>
                </w:p>
                <w:p w14:paraId="2C4037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0755A9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西：29.1</w:t>
                  </w:r>
                </w:p>
                <w:p w14:paraId="0E5A1F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北：36.5</w:t>
                  </w:r>
                </w:p>
              </w:tc>
              <w:tc>
                <w:tcPr>
                  <w:tcW w:w="455" w:type="pct"/>
                  <w:vMerge w:val="continue"/>
                  <w:noWrap w:val="0"/>
                  <w:vAlign w:val="center"/>
                </w:tcPr>
                <w:p w14:paraId="01EAF8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97BF2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514004D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w:t>
                  </w:r>
                </w:p>
                <w:p w14:paraId="23EB71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5D629A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西：9.1</w:t>
                  </w:r>
                </w:p>
                <w:p w14:paraId="37E7EE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北：16.5</w:t>
                  </w:r>
                </w:p>
              </w:tc>
              <w:tc>
                <w:tcPr>
                  <w:tcW w:w="206" w:type="pct"/>
                  <w:noWrap w:val="0"/>
                  <w:vAlign w:val="center"/>
                </w:tcPr>
                <w:p w14:paraId="64FD5C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66BCE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67A988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E0F720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1FA4233">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玻璃钢筒体缠绕机</w:t>
                  </w:r>
                </w:p>
              </w:tc>
              <w:tc>
                <w:tcPr>
                  <w:tcW w:w="247" w:type="pct"/>
                  <w:noWrap w:val="0"/>
                  <w:vAlign w:val="center"/>
                </w:tcPr>
                <w:p w14:paraId="013799D0">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E7AF2F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328" w:type="pct"/>
                  <w:noWrap w:val="0"/>
                  <w:vAlign w:val="center"/>
                </w:tcPr>
                <w:p w14:paraId="097F3F63">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0DB304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CF9BBB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30</w:t>
                  </w:r>
                </w:p>
              </w:tc>
              <w:tc>
                <w:tcPr>
                  <w:tcW w:w="269" w:type="pct"/>
                  <w:noWrap w:val="0"/>
                  <w:vAlign w:val="center"/>
                </w:tcPr>
                <w:p w14:paraId="0B98394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50</w:t>
                  </w:r>
                </w:p>
              </w:tc>
              <w:tc>
                <w:tcPr>
                  <w:tcW w:w="269" w:type="pct"/>
                  <w:noWrap w:val="0"/>
                  <w:vAlign w:val="center"/>
                </w:tcPr>
                <w:p w14:paraId="5671E8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3CCC31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478664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2ADDAF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w:t>
                  </w:r>
                </w:p>
                <w:p w14:paraId="5E2746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北：50</w:t>
                  </w:r>
                </w:p>
              </w:tc>
              <w:tc>
                <w:tcPr>
                  <w:tcW w:w="422" w:type="pct"/>
                  <w:noWrap w:val="0"/>
                  <w:vAlign w:val="center"/>
                </w:tcPr>
                <w:p w14:paraId="351539E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东：32</w:t>
                  </w:r>
                </w:p>
                <w:p w14:paraId="59DA2F5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w:t>
                  </w:r>
                </w:p>
                <w:p w14:paraId="7C45B5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2911DB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北：26</w:t>
                  </w:r>
                </w:p>
              </w:tc>
              <w:tc>
                <w:tcPr>
                  <w:tcW w:w="455" w:type="pct"/>
                  <w:vMerge w:val="continue"/>
                  <w:noWrap w:val="0"/>
                  <w:vAlign w:val="center"/>
                </w:tcPr>
                <w:p w14:paraId="09ECDA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5EBAAD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653220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东：12</w:t>
                  </w:r>
                </w:p>
                <w:p w14:paraId="698724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0CB6FFE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5E9E3F3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北：6</w:t>
                  </w:r>
                </w:p>
              </w:tc>
              <w:tc>
                <w:tcPr>
                  <w:tcW w:w="206" w:type="pct"/>
                  <w:noWrap w:val="0"/>
                  <w:vAlign w:val="center"/>
                </w:tcPr>
                <w:p w14:paraId="5BD889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2D213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9FA40BD">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484306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1896688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玻璃钢筒体缠绕机</w:t>
                  </w:r>
                </w:p>
              </w:tc>
              <w:tc>
                <w:tcPr>
                  <w:tcW w:w="247" w:type="pct"/>
                  <w:noWrap w:val="0"/>
                  <w:vAlign w:val="center"/>
                </w:tcPr>
                <w:p w14:paraId="33DAB989">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D377D24">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F1EFF05">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0AD2DC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B779593">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30</w:t>
                  </w:r>
                </w:p>
              </w:tc>
              <w:tc>
                <w:tcPr>
                  <w:tcW w:w="269" w:type="pct"/>
                  <w:noWrap w:val="0"/>
                  <w:vAlign w:val="center"/>
                </w:tcPr>
                <w:p w14:paraId="612CC26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60</w:t>
                  </w:r>
                </w:p>
              </w:tc>
              <w:tc>
                <w:tcPr>
                  <w:tcW w:w="269" w:type="pct"/>
                  <w:noWrap w:val="0"/>
                  <w:vAlign w:val="center"/>
                </w:tcPr>
                <w:p w14:paraId="2E0F17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1CF14E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44BC66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南：60</w:t>
                  </w:r>
                </w:p>
                <w:p w14:paraId="37A463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w:t>
                  </w:r>
                </w:p>
                <w:p w14:paraId="7F9BAD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北：40</w:t>
                  </w:r>
                </w:p>
              </w:tc>
              <w:tc>
                <w:tcPr>
                  <w:tcW w:w="422" w:type="pct"/>
                  <w:noWrap w:val="0"/>
                  <w:vAlign w:val="center"/>
                </w:tcPr>
                <w:p w14:paraId="4CB9CA5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东：32</w:t>
                  </w:r>
                </w:p>
                <w:p w14:paraId="32D83C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南：24.4</w:t>
                  </w:r>
                </w:p>
                <w:p w14:paraId="05E5F5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673685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北：28</w:t>
                  </w:r>
                </w:p>
              </w:tc>
              <w:tc>
                <w:tcPr>
                  <w:tcW w:w="455" w:type="pct"/>
                  <w:vMerge w:val="continue"/>
                  <w:noWrap w:val="0"/>
                  <w:vAlign w:val="center"/>
                </w:tcPr>
                <w:p w14:paraId="5178B2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25B43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3D302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东：12</w:t>
                  </w:r>
                </w:p>
                <w:p w14:paraId="015113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南：4.4</w:t>
                  </w:r>
                </w:p>
                <w:p w14:paraId="714223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1FDAFA2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北：8</w:t>
                  </w:r>
                </w:p>
              </w:tc>
              <w:tc>
                <w:tcPr>
                  <w:tcW w:w="206" w:type="pct"/>
                  <w:noWrap w:val="0"/>
                  <w:vAlign w:val="center"/>
                </w:tcPr>
                <w:p w14:paraId="2F1FA08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5F251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F8A6EA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EAEA3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E85A68F">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玻璃钢筒体缠绕机</w:t>
                  </w:r>
                </w:p>
              </w:tc>
              <w:tc>
                <w:tcPr>
                  <w:tcW w:w="247" w:type="pct"/>
                  <w:noWrap w:val="0"/>
                  <w:vAlign w:val="center"/>
                </w:tcPr>
                <w:p w14:paraId="6115F58A">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7EE8DA5C">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51EF7961">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796C54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CDDEF2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35</w:t>
                  </w:r>
                </w:p>
              </w:tc>
              <w:tc>
                <w:tcPr>
                  <w:tcW w:w="269" w:type="pct"/>
                  <w:noWrap w:val="0"/>
                  <w:vAlign w:val="center"/>
                </w:tcPr>
                <w:p w14:paraId="4A8AF93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60</w:t>
                  </w:r>
                </w:p>
              </w:tc>
              <w:tc>
                <w:tcPr>
                  <w:tcW w:w="269" w:type="pct"/>
                  <w:noWrap w:val="0"/>
                  <w:vAlign w:val="center"/>
                </w:tcPr>
                <w:p w14:paraId="5DA434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7FBD29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663852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南：60</w:t>
                  </w:r>
                </w:p>
                <w:p w14:paraId="792902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西：35</w:t>
                  </w:r>
                </w:p>
                <w:p w14:paraId="6B4C69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北：40</w:t>
                  </w:r>
                </w:p>
              </w:tc>
              <w:tc>
                <w:tcPr>
                  <w:tcW w:w="422" w:type="pct"/>
                  <w:noWrap w:val="0"/>
                  <w:vAlign w:val="center"/>
                </w:tcPr>
                <w:p w14:paraId="5BD781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东：34</w:t>
                  </w:r>
                </w:p>
                <w:p w14:paraId="65B723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南：24.4</w:t>
                  </w:r>
                </w:p>
                <w:p w14:paraId="0EF501B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西：29.1</w:t>
                  </w:r>
                </w:p>
                <w:p w14:paraId="22246D1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北：28</w:t>
                  </w:r>
                </w:p>
              </w:tc>
              <w:tc>
                <w:tcPr>
                  <w:tcW w:w="455" w:type="pct"/>
                  <w:vMerge w:val="continue"/>
                  <w:noWrap w:val="0"/>
                  <w:vAlign w:val="center"/>
                </w:tcPr>
                <w:p w14:paraId="7D0633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5151B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E7293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东：14</w:t>
                  </w:r>
                </w:p>
                <w:p w14:paraId="1AEB04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南：64.4</w:t>
                  </w:r>
                </w:p>
                <w:p w14:paraId="15392D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西：9.1</w:t>
                  </w:r>
                </w:p>
                <w:p w14:paraId="6BADA0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北：8</w:t>
                  </w:r>
                </w:p>
              </w:tc>
              <w:tc>
                <w:tcPr>
                  <w:tcW w:w="206" w:type="pct"/>
                  <w:noWrap w:val="0"/>
                  <w:vAlign w:val="center"/>
                </w:tcPr>
                <w:p w14:paraId="57E21E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83EEB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42C471D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1D8E48B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5C38431">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玻璃钢筒体缠绕机</w:t>
                  </w:r>
                </w:p>
              </w:tc>
              <w:tc>
                <w:tcPr>
                  <w:tcW w:w="247" w:type="pct"/>
                  <w:noWrap w:val="0"/>
                  <w:vAlign w:val="center"/>
                </w:tcPr>
                <w:p w14:paraId="69AA4874">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4C512B1">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4971B6A4">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767302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7C3B602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30</w:t>
                  </w:r>
                </w:p>
              </w:tc>
              <w:tc>
                <w:tcPr>
                  <w:tcW w:w="269" w:type="pct"/>
                  <w:noWrap w:val="0"/>
                  <w:vAlign w:val="center"/>
                </w:tcPr>
                <w:p w14:paraId="1F736D4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40</w:t>
                  </w:r>
                </w:p>
              </w:tc>
              <w:tc>
                <w:tcPr>
                  <w:tcW w:w="269" w:type="pct"/>
                  <w:noWrap w:val="0"/>
                  <w:vAlign w:val="center"/>
                </w:tcPr>
                <w:p w14:paraId="454344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0C36A29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563BA9E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南：40</w:t>
                  </w:r>
                </w:p>
                <w:p w14:paraId="293AD6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w:t>
                  </w:r>
                </w:p>
                <w:p w14:paraId="0300289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北：60</w:t>
                  </w:r>
                </w:p>
              </w:tc>
              <w:tc>
                <w:tcPr>
                  <w:tcW w:w="422" w:type="pct"/>
                  <w:noWrap w:val="0"/>
                  <w:vAlign w:val="center"/>
                </w:tcPr>
                <w:p w14:paraId="1F78AE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东：32</w:t>
                  </w:r>
                </w:p>
                <w:p w14:paraId="5E5826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南：28</w:t>
                  </w:r>
                </w:p>
                <w:p w14:paraId="718E26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西：30.5</w:t>
                  </w:r>
                </w:p>
                <w:p w14:paraId="72D45CF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北：24.4</w:t>
                  </w:r>
                </w:p>
              </w:tc>
              <w:tc>
                <w:tcPr>
                  <w:tcW w:w="455" w:type="pct"/>
                  <w:vMerge w:val="continue"/>
                  <w:noWrap w:val="0"/>
                  <w:vAlign w:val="center"/>
                </w:tcPr>
                <w:p w14:paraId="0D3DBD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DBF34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4D5A8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东：12</w:t>
                  </w:r>
                </w:p>
                <w:p w14:paraId="01A48C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w:t>
                  </w:r>
                </w:p>
                <w:p w14:paraId="4D0DC3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西：10.5</w:t>
                  </w:r>
                </w:p>
                <w:p w14:paraId="13DC10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北：4.4</w:t>
                  </w:r>
                </w:p>
              </w:tc>
              <w:tc>
                <w:tcPr>
                  <w:tcW w:w="206" w:type="pct"/>
                  <w:noWrap w:val="0"/>
                  <w:vAlign w:val="center"/>
                </w:tcPr>
                <w:p w14:paraId="7C97C74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6D202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08EF8B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E3DC31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2F9E9B1">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PPH缠绕一体化成型机</w:t>
                  </w:r>
                </w:p>
              </w:tc>
              <w:tc>
                <w:tcPr>
                  <w:tcW w:w="247" w:type="pct"/>
                  <w:noWrap w:val="0"/>
                  <w:vAlign w:val="center"/>
                </w:tcPr>
                <w:p w14:paraId="6C8B8F7E">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0C3A175">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328" w:type="pct"/>
                  <w:noWrap w:val="0"/>
                  <w:vAlign w:val="center"/>
                </w:tcPr>
                <w:p w14:paraId="7EC8A2CD">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5F68E42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03EB158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40</w:t>
                  </w:r>
                </w:p>
              </w:tc>
              <w:tc>
                <w:tcPr>
                  <w:tcW w:w="269" w:type="pct"/>
                  <w:noWrap w:val="0"/>
                  <w:vAlign w:val="center"/>
                </w:tcPr>
                <w:p w14:paraId="44C5975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50</w:t>
                  </w:r>
                </w:p>
              </w:tc>
              <w:tc>
                <w:tcPr>
                  <w:tcW w:w="269" w:type="pct"/>
                  <w:noWrap w:val="0"/>
                  <w:vAlign w:val="center"/>
                </w:tcPr>
                <w:p w14:paraId="027508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noWrap w:val="0"/>
                  <w:vAlign w:val="center"/>
                </w:tcPr>
                <w:p w14:paraId="1B1FDA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7F3F30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20A7AE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253DFB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北：50</w:t>
                  </w:r>
                </w:p>
              </w:tc>
              <w:tc>
                <w:tcPr>
                  <w:tcW w:w="422" w:type="pct"/>
                  <w:noWrap w:val="0"/>
                  <w:vAlign w:val="center"/>
                </w:tcPr>
                <w:p w14:paraId="722110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46DDCA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w:t>
                  </w:r>
                </w:p>
                <w:p w14:paraId="17C67C2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0C59A05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北：26</w:t>
                  </w:r>
                </w:p>
              </w:tc>
              <w:tc>
                <w:tcPr>
                  <w:tcW w:w="455" w:type="pct"/>
                  <w:vMerge w:val="continue"/>
                  <w:noWrap w:val="0"/>
                  <w:vAlign w:val="center"/>
                </w:tcPr>
                <w:p w14:paraId="32477C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578B01D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7C4CA51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52CE41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w:t>
                  </w:r>
                </w:p>
                <w:p w14:paraId="7F4013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6758E4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北：6</w:t>
                  </w:r>
                </w:p>
              </w:tc>
              <w:tc>
                <w:tcPr>
                  <w:tcW w:w="206" w:type="pct"/>
                  <w:noWrap w:val="0"/>
                  <w:vAlign w:val="center"/>
                </w:tcPr>
                <w:p w14:paraId="7643EB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7ECB3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876" w:hRule="atLeast"/>
              </w:trPr>
              <w:tc>
                <w:tcPr>
                  <w:tcW w:w="194" w:type="pct"/>
                  <w:noWrap w:val="0"/>
                  <w:vAlign w:val="center"/>
                </w:tcPr>
                <w:p w14:paraId="5AE85C03">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24CF4C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4BEE38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PPH缠绕一体化成型机</w:t>
                  </w:r>
                </w:p>
              </w:tc>
              <w:tc>
                <w:tcPr>
                  <w:tcW w:w="247" w:type="pct"/>
                  <w:noWrap w:val="0"/>
                  <w:vAlign w:val="center"/>
                </w:tcPr>
                <w:p w14:paraId="14D06215">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2234FB42">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2488DEF2">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6AD40F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CFF868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0CA71600">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60</w:t>
                  </w:r>
                </w:p>
              </w:tc>
              <w:tc>
                <w:tcPr>
                  <w:tcW w:w="269" w:type="pct"/>
                  <w:noWrap w:val="0"/>
                  <w:vAlign w:val="center"/>
                </w:tcPr>
                <w:p w14:paraId="74E26C9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6F9262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5B6C48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南：60</w:t>
                  </w:r>
                </w:p>
                <w:p w14:paraId="05420B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0A7295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北：40</w:t>
                  </w:r>
                </w:p>
              </w:tc>
              <w:tc>
                <w:tcPr>
                  <w:tcW w:w="422" w:type="pct"/>
                  <w:noWrap w:val="0"/>
                  <w:vAlign w:val="center"/>
                </w:tcPr>
                <w:p w14:paraId="0A32B37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64E0C9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南：24.4</w:t>
                  </w:r>
                </w:p>
                <w:p w14:paraId="3292D4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2CCBA0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北：28</w:t>
                  </w:r>
                </w:p>
              </w:tc>
              <w:tc>
                <w:tcPr>
                  <w:tcW w:w="455" w:type="pct"/>
                  <w:vMerge w:val="restart"/>
                  <w:noWrap w:val="0"/>
                  <w:vAlign w:val="center"/>
                </w:tcPr>
                <w:p w14:paraId="56F09C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3D8E8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3AD55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6AF41B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南：4.4</w:t>
                  </w:r>
                </w:p>
                <w:p w14:paraId="701732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34BF530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北：8</w:t>
                  </w:r>
                </w:p>
              </w:tc>
              <w:tc>
                <w:tcPr>
                  <w:tcW w:w="206" w:type="pct"/>
                  <w:noWrap w:val="0"/>
                  <w:vAlign w:val="center"/>
                </w:tcPr>
                <w:p w14:paraId="03127A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5538F2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5D1E1E6D">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3B3DF4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6039B76">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卧式动平衡机</w:t>
                  </w:r>
                </w:p>
              </w:tc>
              <w:tc>
                <w:tcPr>
                  <w:tcW w:w="247" w:type="pct"/>
                  <w:noWrap w:val="0"/>
                  <w:vAlign w:val="center"/>
                </w:tcPr>
                <w:p w14:paraId="5FA233A5">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D6D820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328" w:type="pct"/>
                  <w:noWrap w:val="0"/>
                  <w:vAlign w:val="center"/>
                </w:tcPr>
                <w:p w14:paraId="35A71DF1">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ED8A3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B5B815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40</w:t>
                  </w:r>
                </w:p>
              </w:tc>
              <w:tc>
                <w:tcPr>
                  <w:tcW w:w="269" w:type="pct"/>
                  <w:noWrap w:val="0"/>
                  <w:vAlign w:val="center"/>
                </w:tcPr>
                <w:p w14:paraId="37E39A2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80</w:t>
                  </w:r>
                </w:p>
              </w:tc>
              <w:tc>
                <w:tcPr>
                  <w:tcW w:w="269" w:type="pct"/>
                  <w:noWrap w:val="0"/>
                  <w:vAlign w:val="center"/>
                </w:tcPr>
                <w:p w14:paraId="04CA33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0.8</w:t>
                  </w:r>
                </w:p>
              </w:tc>
              <w:tc>
                <w:tcPr>
                  <w:tcW w:w="407" w:type="pct"/>
                  <w:noWrap w:val="0"/>
                  <w:vAlign w:val="center"/>
                </w:tcPr>
                <w:p w14:paraId="2F6242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3E2776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6082F96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15CDA5C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北：20</w:t>
                  </w:r>
                </w:p>
              </w:tc>
              <w:tc>
                <w:tcPr>
                  <w:tcW w:w="422" w:type="pct"/>
                  <w:noWrap w:val="0"/>
                  <w:vAlign w:val="center"/>
                </w:tcPr>
                <w:p w14:paraId="22B57E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054E004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南：21.9</w:t>
                  </w:r>
                </w:p>
                <w:p w14:paraId="700360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71956C6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北：34</w:t>
                  </w:r>
                </w:p>
              </w:tc>
              <w:tc>
                <w:tcPr>
                  <w:tcW w:w="455" w:type="pct"/>
                  <w:vMerge w:val="continue"/>
                  <w:noWrap w:val="0"/>
                  <w:vAlign w:val="center"/>
                </w:tcPr>
                <w:p w14:paraId="1637E3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E18940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4B4FC5D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73BF6C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6ECE6AF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51336DA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北：14</w:t>
                  </w:r>
                </w:p>
              </w:tc>
              <w:tc>
                <w:tcPr>
                  <w:tcW w:w="206" w:type="pct"/>
                  <w:noWrap w:val="0"/>
                  <w:vAlign w:val="center"/>
                </w:tcPr>
                <w:p w14:paraId="0A080B1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39F5F2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6A824B2">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C1B9FD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5581384D">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rPr>
                    <w:t>卧式动平衡机</w:t>
                  </w:r>
                </w:p>
              </w:tc>
              <w:tc>
                <w:tcPr>
                  <w:tcW w:w="247" w:type="pct"/>
                  <w:noWrap w:val="0"/>
                  <w:vAlign w:val="center"/>
                </w:tcPr>
                <w:p w14:paraId="66F59288">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A9F98C5">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5EA54922">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266B69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FEB295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410DB6D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82</w:t>
                  </w:r>
                </w:p>
              </w:tc>
              <w:tc>
                <w:tcPr>
                  <w:tcW w:w="269" w:type="pct"/>
                  <w:noWrap w:val="0"/>
                  <w:vAlign w:val="center"/>
                </w:tcPr>
                <w:p w14:paraId="043FF5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0.8</w:t>
                  </w:r>
                </w:p>
              </w:tc>
              <w:tc>
                <w:tcPr>
                  <w:tcW w:w="407" w:type="pct"/>
                  <w:noWrap w:val="0"/>
                  <w:vAlign w:val="center"/>
                </w:tcPr>
                <w:p w14:paraId="11EF1AD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1FFB4B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南：82</w:t>
                  </w:r>
                </w:p>
                <w:p w14:paraId="4A13F0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762A83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北：18</w:t>
                  </w:r>
                </w:p>
              </w:tc>
              <w:tc>
                <w:tcPr>
                  <w:tcW w:w="422" w:type="pct"/>
                  <w:noWrap w:val="0"/>
                  <w:vAlign w:val="center"/>
                </w:tcPr>
                <w:p w14:paraId="4D112B5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东：36.5</w:t>
                  </w:r>
                </w:p>
                <w:p w14:paraId="5EF93E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南：21.7</w:t>
                  </w:r>
                </w:p>
                <w:p w14:paraId="03A95FF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西：28</w:t>
                  </w:r>
                </w:p>
                <w:p w14:paraId="6E6A7CB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北：34.9</w:t>
                  </w:r>
                </w:p>
              </w:tc>
              <w:tc>
                <w:tcPr>
                  <w:tcW w:w="455" w:type="pct"/>
                  <w:vMerge w:val="continue"/>
                  <w:noWrap w:val="0"/>
                  <w:vAlign w:val="center"/>
                </w:tcPr>
                <w:p w14:paraId="74C7142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1250FD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3AF0600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东：16.5</w:t>
                  </w:r>
                </w:p>
                <w:p w14:paraId="443C0F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南：1.7</w:t>
                  </w:r>
                </w:p>
                <w:p w14:paraId="1BBBD2A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西：8</w:t>
                  </w:r>
                </w:p>
                <w:p w14:paraId="3AD7E9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北：14.9</w:t>
                  </w:r>
                </w:p>
              </w:tc>
              <w:tc>
                <w:tcPr>
                  <w:tcW w:w="206" w:type="pct"/>
                  <w:noWrap w:val="0"/>
                  <w:vAlign w:val="center"/>
                </w:tcPr>
                <w:p w14:paraId="544D7B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8621F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1EDB8C7C">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B3DB03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0502DEA4">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eastAsia="zh-CN"/>
                    </w:rPr>
                    <w:t>湿式喷砂机</w:t>
                  </w:r>
                </w:p>
              </w:tc>
              <w:tc>
                <w:tcPr>
                  <w:tcW w:w="247" w:type="pct"/>
                  <w:noWrap w:val="0"/>
                  <w:vAlign w:val="center"/>
                </w:tcPr>
                <w:p w14:paraId="7CFFA44E">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186F594">
                  <w:pPr>
                    <w:keepNext w:val="0"/>
                    <w:keepLines w:val="0"/>
                    <w:pageBreakBefore w:val="0"/>
                    <w:kinsoku/>
                    <w:wordWrap/>
                    <w:overflowPunct/>
                    <w:topLinePunct w:val="0"/>
                    <w:bidi w:val="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FF79229">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39436A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6DCB59D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42</w:t>
                  </w:r>
                </w:p>
              </w:tc>
              <w:tc>
                <w:tcPr>
                  <w:tcW w:w="269" w:type="pct"/>
                  <w:noWrap w:val="0"/>
                  <w:vAlign w:val="center"/>
                </w:tcPr>
                <w:p w14:paraId="5970AA66">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80</w:t>
                  </w:r>
                </w:p>
              </w:tc>
              <w:tc>
                <w:tcPr>
                  <w:tcW w:w="269" w:type="pct"/>
                  <w:noWrap w:val="0"/>
                  <w:vAlign w:val="center"/>
                </w:tcPr>
                <w:p w14:paraId="1CC9E3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4EAD7F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东：13</w:t>
                  </w:r>
                </w:p>
                <w:p w14:paraId="5F73CF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南：80</w:t>
                  </w:r>
                </w:p>
                <w:p w14:paraId="634A98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西：42</w:t>
                  </w:r>
                </w:p>
                <w:p w14:paraId="32F192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北：20</w:t>
                  </w:r>
                </w:p>
              </w:tc>
              <w:tc>
                <w:tcPr>
                  <w:tcW w:w="422" w:type="pct"/>
                  <w:noWrap w:val="0"/>
                  <w:vAlign w:val="center"/>
                </w:tcPr>
                <w:p w14:paraId="142FF22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东：42.7</w:t>
                  </w:r>
                </w:p>
                <w:p w14:paraId="74BC3A1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南：26.9</w:t>
                  </w:r>
                </w:p>
                <w:p w14:paraId="0871BF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西：32.5</w:t>
                  </w:r>
                </w:p>
                <w:p w14:paraId="6AF0818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北：39</w:t>
                  </w:r>
                </w:p>
              </w:tc>
              <w:tc>
                <w:tcPr>
                  <w:tcW w:w="455" w:type="pct"/>
                  <w:vMerge w:val="continue"/>
                  <w:noWrap w:val="0"/>
                  <w:vAlign w:val="center"/>
                </w:tcPr>
                <w:p w14:paraId="0E99D7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5A34792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739055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东：22.7</w:t>
                  </w:r>
                </w:p>
                <w:p w14:paraId="73A3C16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南：6.9</w:t>
                  </w:r>
                </w:p>
                <w:p w14:paraId="3AADC3A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西：12.5</w:t>
                  </w:r>
                </w:p>
                <w:p w14:paraId="3026392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北：19</w:t>
                  </w:r>
                </w:p>
              </w:tc>
              <w:tc>
                <w:tcPr>
                  <w:tcW w:w="206" w:type="pct"/>
                  <w:noWrap w:val="0"/>
                  <w:vAlign w:val="center"/>
                </w:tcPr>
                <w:p w14:paraId="12C93A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w:t>
                  </w:r>
                </w:p>
              </w:tc>
            </w:tr>
            <w:tr w14:paraId="7421B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60520F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0B8CF2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293603D7">
                  <w:pPr>
                    <w:keepNext w:val="0"/>
                    <w:keepLines w:val="0"/>
                    <w:pageBreakBefore w:val="0"/>
                    <w:kinsoku/>
                    <w:wordWrap/>
                    <w:overflowPunct/>
                    <w:topLinePunct w:val="0"/>
                    <w:bidi w:val="0"/>
                    <w:ind w:left="0" w:leftChars="0" w:right="0" w:rightChars="0"/>
                    <w:jc w:val="center"/>
                    <w:textAlignment w:val="auto"/>
                    <w:rPr>
                      <w:rFonts w:hint="eastAsia"/>
                      <w:color w:val="auto"/>
                      <w:sz w:val="18"/>
                      <w:szCs w:val="18"/>
                    </w:rPr>
                  </w:pPr>
                  <w:r>
                    <w:rPr>
                      <w:rFonts w:hint="eastAsia"/>
                      <w:color w:val="auto"/>
                      <w:sz w:val="18"/>
                      <w:szCs w:val="18"/>
                      <w:lang w:eastAsia="zh-CN"/>
                    </w:rPr>
                    <w:t>湿式喷砂机</w:t>
                  </w:r>
                </w:p>
              </w:tc>
              <w:tc>
                <w:tcPr>
                  <w:tcW w:w="247" w:type="pct"/>
                  <w:noWrap w:val="0"/>
                  <w:vAlign w:val="center"/>
                </w:tcPr>
                <w:p w14:paraId="43C8D7E2">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602B67F">
                  <w:pPr>
                    <w:keepNext w:val="0"/>
                    <w:keepLines w:val="0"/>
                    <w:pageBreakBefore w:val="0"/>
                    <w:kinsoku/>
                    <w:wordWrap/>
                    <w:overflowPunct/>
                    <w:topLinePunct w:val="0"/>
                    <w:bidi w:val="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04702F2E">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80</w:t>
                  </w:r>
                </w:p>
              </w:tc>
              <w:tc>
                <w:tcPr>
                  <w:tcW w:w="309" w:type="pct"/>
                  <w:vMerge w:val="continue"/>
                  <w:noWrap w:val="0"/>
                  <w:vAlign w:val="center"/>
                </w:tcPr>
                <w:p w14:paraId="47AABA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158E638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42</w:t>
                  </w:r>
                </w:p>
              </w:tc>
              <w:tc>
                <w:tcPr>
                  <w:tcW w:w="269" w:type="pct"/>
                  <w:noWrap w:val="0"/>
                  <w:vAlign w:val="center"/>
                </w:tcPr>
                <w:p w14:paraId="0B6EF05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85</w:t>
                  </w:r>
                </w:p>
              </w:tc>
              <w:tc>
                <w:tcPr>
                  <w:tcW w:w="269" w:type="pct"/>
                  <w:noWrap w:val="0"/>
                  <w:vAlign w:val="center"/>
                </w:tcPr>
                <w:p w14:paraId="37B776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noWrap w:val="0"/>
                  <w:vAlign w:val="center"/>
                </w:tcPr>
                <w:p w14:paraId="361B4E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东：13</w:t>
                  </w:r>
                </w:p>
                <w:p w14:paraId="1B40078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11B07B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西：42</w:t>
                  </w:r>
                </w:p>
                <w:p w14:paraId="130B56F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北：15</w:t>
                  </w:r>
                </w:p>
              </w:tc>
              <w:tc>
                <w:tcPr>
                  <w:tcW w:w="422" w:type="pct"/>
                  <w:noWrap w:val="0"/>
                  <w:vAlign w:val="center"/>
                </w:tcPr>
                <w:p w14:paraId="73B4FEC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东：42.7</w:t>
                  </w:r>
                </w:p>
                <w:p w14:paraId="24D0D4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南：26.4</w:t>
                  </w:r>
                </w:p>
                <w:p w14:paraId="1B8DD4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西：32.5</w:t>
                  </w:r>
                </w:p>
                <w:p w14:paraId="1CEDDF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北：41.5</w:t>
                  </w:r>
                </w:p>
              </w:tc>
              <w:tc>
                <w:tcPr>
                  <w:tcW w:w="455" w:type="pct"/>
                  <w:vMerge w:val="continue"/>
                  <w:noWrap w:val="0"/>
                  <w:vAlign w:val="center"/>
                </w:tcPr>
                <w:p w14:paraId="0AAD8CE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763BB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292AA1A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东：22.7</w:t>
                  </w:r>
                </w:p>
                <w:p w14:paraId="79D29A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南：6.4</w:t>
                  </w:r>
                </w:p>
                <w:p w14:paraId="4D0B01E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西：12.5</w:t>
                  </w:r>
                </w:p>
                <w:p w14:paraId="264773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北：21.5</w:t>
                  </w:r>
                </w:p>
              </w:tc>
              <w:tc>
                <w:tcPr>
                  <w:tcW w:w="206" w:type="pct"/>
                  <w:noWrap w:val="0"/>
                  <w:vAlign w:val="center"/>
                </w:tcPr>
                <w:p w14:paraId="6C7FAC4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w:t>
                  </w:r>
                </w:p>
              </w:tc>
            </w:tr>
            <w:tr w14:paraId="567B2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D5FE8C4">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76EAEE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7535CC7C">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olor w:val="auto"/>
                      <w:sz w:val="18"/>
                      <w:szCs w:val="18"/>
                    </w:rPr>
                    <w:t>水泵试验中心</w:t>
                  </w:r>
                </w:p>
              </w:tc>
              <w:tc>
                <w:tcPr>
                  <w:tcW w:w="247" w:type="pct"/>
                  <w:noWrap w:val="0"/>
                  <w:vAlign w:val="center"/>
                </w:tcPr>
                <w:p w14:paraId="05C91C81">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4351C10E">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1</w:t>
                  </w:r>
                </w:p>
              </w:tc>
              <w:tc>
                <w:tcPr>
                  <w:tcW w:w="328" w:type="pct"/>
                  <w:noWrap w:val="0"/>
                  <w:vAlign w:val="center"/>
                </w:tcPr>
                <w:p w14:paraId="168865BD">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noWrap w:val="0"/>
                  <w:vAlign w:val="center"/>
                </w:tcPr>
                <w:p w14:paraId="531F305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476C41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40</w:t>
                  </w:r>
                </w:p>
              </w:tc>
              <w:tc>
                <w:tcPr>
                  <w:tcW w:w="269" w:type="pct"/>
                  <w:noWrap w:val="0"/>
                  <w:vAlign w:val="center"/>
                </w:tcPr>
                <w:p w14:paraId="02D3EDC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85</w:t>
                  </w:r>
                </w:p>
              </w:tc>
              <w:tc>
                <w:tcPr>
                  <w:tcW w:w="269" w:type="pct"/>
                  <w:noWrap w:val="0"/>
                  <w:vAlign w:val="center"/>
                </w:tcPr>
                <w:p w14:paraId="4AEEBB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w:t>
                  </w:r>
                </w:p>
              </w:tc>
              <w:tc>
                <w:tcPr>
                  <w:tcW w:w="407" w:type="pct"/>
                  <w:noWrap w:val="0"/>
                  <w:vAlign w:val="center"/>
                </w:tcPr>
                <w:p w14:paraId="3BF95D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2F6C9B1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南：85</w:t>
                  </w:r>
                </w:p>
                <w:p w14:paraId="348357A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23B272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北：15</w:t>
                  </w:r>
                </w:p>
              </w:tc>
              <w:tc>
                <w:tcPr>
                  <w:tcW w:w="422" w:type="pct"/>
                  <w:noWrap w:val="0"/>
                  <w:vAlign w:val="center"/>
                </w:tcPr>
                <w:p w14:paraId="217BE04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东：46.5</w:t>
                  </w:r>
                </w:p>
                <w:p w14:paraId="0629D8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南：21.4</w:t>
                  </w:r>
                </w:p>
                <w:p w14:paraId="00CC53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both"/>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西：38</w:t>
                  </w:r>
                </w:p>
                <w:p w14:paraId="36BC1C3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北：46.5</w:t>
                  </w:r>
                </w:p>
              </w:tc>
              <w:tc>
                <w:tcPr>
                  <w:tcW w:w="455" w:type="pct"/>
                  <w:vMerge w:val="continue"/>
                  <w:noWrap w:val="0"/>
                  <w:vAlign w:val="center"/>
                </w:tcPr>
                <w:p w14:paraId="08FDC7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2791A1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noWrap w:val="0"/>
                  <w:vAlign w:val="center"/>
                </w:tcPr>
                <w:p w14:paraId="29309A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东：26.5</w:t>
                  </w:r>
                </w:p>
                <w:p w14:paraId="3DBF546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南：1.4</w:t>
                  </w:r>
                </w:p>
                <w:p w14:paraId="133A62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西：18</w:t>
                  </w:r>
                </w:p>
                <w:p w14:paraId="3A3A987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北：26.5</w:t>
                  </w:r>
                </w:p>
              </w:tc>
              <w:tc>
                <w:tcPr>
                  <w:tcW w:w="206" w:type="pct"/>
                  <w:noWrap w:val="0"/>
                  <w:vAlign w:val="center"/>
                </w:tcPr>
                <w:p w14:paraId="1F01303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558324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AA35289">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C176B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CC903A2">
                  <w:pPr>
                    <w:keepNext w:val="0"/>
                    <w:keepLines w:val="0"/>
                    <w:pageBreakBefore w:val="0"/>
                    <w:kinsoku/>
                    <w:wordWrap/>
                    <w:overflowPunct/>
                    <w:topLinePunct w:val="0"/>
                    <w:bidi w:val="0"/>
                    <w:ind w:left="0" w:leftChars="0" w:right="0" w:rightChars="0"/>
                    <w:jc w:val="center"/>
                    <w:textAlignment w:val="auto"/>
                    <w:rPr>
                      <w:rFonts w:hint="default" w:eastAsia="宋体"/>
                      <w:color w:val="auto"/>
                      <w:sz w:val="18"/>
                      <w:szCs w:val="18"/>
                      <w:lang w:val="en-US" w:eastAsia="zh-CN"/>
                    </w:rPr>
                  </w:pPr>
                  <w:r>
                    <w:rPr>
                      <w:rFonts w:hint="eastAsia"/>
                      <w:color w:val="auto"/>
                      <w:sz w:val="18"/>
                      <w:szCs w:val="18"/>
                      <w:lang w:val="en-US" w:eastAsia="zh-CN"/>
                    </w:rPr>
                    <w:t>自动喷塑机</w:t>
                  </w:r>
                </w:p>
              </w:tc>
              <w:tc>
                <w:tcPr>
                  <w:tcW w:w="247" w:type="pct"/>
                  <w:noWrap w:val="0"/>
                  <w:vAlign w:val="center"/>
                </w:tcPr>
                <w:p w14:paraId="19B4ABBE">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6FC0022F">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13CE9C8">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75</w:t>
                  </w:r>
                </w:p>
              </w:tc>
              <w:tc>
                <w:tcPr>
                  <w:tcW w:w="309" w:type="pct"/>
                  <w:vMerge w:val="continue"/>
                  <w:noWrap w:val="0"/>
                  <w:vAlign w:val="center"/>
                </w:tcPr>
                <w:p w14:paraId="63EF1D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5D74390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42</w:t>
                  </w:r>
                </w:p>
              </w:tc>
              <w:tc>
                <w:tcPr>
                  <w:tcW w:w="269" w:type="pct"/>
                  <w:noWrap w:val="0"/>
                  <w:vAlign w:val="center"/>
                </w:tcPr>
                <w:p w14:paraId="30CC084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10</w:t>
                  </w:r>
                </w:p>
              </w:tc>
              <w:tc>
                <w:tcPr>
                  <w:tcW w:w="269" w:type="pct"/>
                  <w:noWrap w:val="0"/>
                  <w:vAlign w:val="center"/>
                </w:tcPr>
                <w:p w14:paraId="2BA4C7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1145FFA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东：13</w:t>
                  </w:r>
                </w:p>
                <w:p w14:paraId="0B1E75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w:t>
                  </w:r>
                </w:p>
                <w:p w14:paraId="702BF8C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西：42</w:t>
                  </w:r>
                </w:p>
                <w:p w14:paraId="3B3AE6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北：90</w:t>
                  </w:r>
                </w:p>
              </w:tc>
              <w:tc>
                <w:tcPr>
                  <w:tcW w:w="422" w:type="pct"/>
                  <w:noWrap w:val="0"/>
                  <w:vAlign w:val="center"/>
                </w:tcPr>
                <w:p w14:paraId="670925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东：37.7</w:t>
                  </w:r>
                </w:p>
                <w:p w14:paraId="6FC4B1D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南：40</w:t>
                  </w:r>
                </w:p>
                <w:p w14:paraId="50E982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西：27.5</w:t>
                  </w:r>
                </w:p>
                <w:p w14:paraId="59238A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北：20.9</w:t>
                  </w:r>
                </w:p>
              </w:tc>
              <w:tc>
                <w:tcPr>
                  <w:tcW w:w="455" w:type="pct"/>
                  <w:vMerge w:val="continue"/>
                  <w:noWrap w:val="0"/>
                  <w:vAlign w:val="center"/>
                </w:tcPr>
                <w:p w14:paraId="1032BF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41F7432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42BCF2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东：17.7</w:t>
                  </w:r>
                </w:p>
                <w:p w14:paraId="10137A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w:t>
                  </w:r>
                </w:p>
                <w:p w14:paraId="1905782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西：7.5</w:t>
                  </w:r>
                </w:p>
                <w:p w14:paraId="42A411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北:0.9</w:t>
                  </w:r>
                </w:p>
              </w:tc>
              <w:tc>
                <w:tcPr>
                  <w:tcW w:w="206" w:type="pct"/>
                  <w:noWrap w:val="0"/>
                  <w:vAlign w:val="center"/>
                </w:tcPr>
                <w:p w14:paraId="38D4C7A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w:t>
                  </w:r>
                </w:p>
              </w:tc>
            </w:tr>
            <w:tr w14:paraId="3AC48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019C9BE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30A5A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30411019">
                  <w:pPr>
                    <w:keepNext w:val="0"/>
                    <w:keepLines w:val="0"/>
                    <w:pageBreakBefore w:val="0"/>
                    <w:kinsoku/>
                    <w:wordWrap/>
                    <w:overflowPunct/>
                    <w:topLinePunct w:val="0"/>
                    <w:bidi w:val="0"/>
                    <w:ind w:left="0" w:leftChars="0" w:right="0" w:rightChars="0"/>
                    <w:jc w:val="center"/>
                    <w:textAlignment w:val="auto"/>
                    <w:rPr>
                      <w:rFonts w:hint="default" w:eastAsia="宋体"/>
                      <w:color w:val="auto"/>
                      <w:sz w:val="18"/>
                      <w:szCs w:val="18"/>
                      <w:lang w:val="en-US" w:eastAsia="zh-CN"/>
                    </w:rPr>
                  </w:pPr>
                  <w:r>
                    <w:rPr>
                      <w:rFonts w:hint="eastAsia"/>
                      <w:color w:val="auto"/>
                      <w:sz w:val="18"/>
                      <w:szCs w:val="18"/>
                      <w:lang w:val="en-US" w:eastAsia="zh-CN"/>
                    </w:rPr>
                    <w:t>浸漆罐配套泵</w:t>
                  </w:r>
                </w:p>
              </w:tc>
              <w:tc>
                <w:tcPr>
                  <w:tcW w:w="247" w:type="pct"/>
                  <w:noWrap w:val="0"/>
                  <w:vAlign w:val="center"/>
                </w:tcPr>
                <w:p w14:paraId="4004FE5C">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3C932B1E">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6AC52B39">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noWrap w:val="0"/>
                  <w:vAlign w:val="center"/>
                </w:tcPr>
                <w:p w14:paraId="34358AD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45D94E8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25</w:t>
                  </w:r>
                </w:p>
              </w:tc>
              <w:tc>
                <w:tcPr>
                  <w:tcW w:w="269" w:type="pct"/>
                  <w:noWrap w:val="0"/>
                  <w:vAlign w:val="center"/>
                </w:tcPr>
                <w:p w14:paraId="6B2C0FC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25</w:t>
                  </w:r>
                </w:p>
              </w:tc>
              <w:tc>
                <w:tcPr>
                  <w:tcW w:w="269" w:type="pct"/>
                  <w:noWrap w:val="0"/>
                  <w:vAlign w:val="center"/>
                </w:tcPr>
                <w:p w14:paraId="6A08C17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4D1C1C7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东：30</w:t>
                  </w:r>
                </w:p>
                <w:p w14:paraId="1D79C0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2DBE6D8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0FBB52D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北：75</w:t>
                  </w:r>
                </w:p>
              </w:tc>
              <w:tc>
                <w:tcPr>
                  <w:tcW w:w="422" w:type="pct"/>
                  <w:noWrap w:val="0"/>
                  <w:vAlign w:val="center"/>
                </w:tcPr>
                <w:p w14:paraId="0B0925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东：40.5</w:t>
                  </w:r>
                </w:p>
                <w:p w14:paraId="7864D80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南：42</w:t>
                  </w:r>
                </w:p>
                <w:p w14:paraId="6DB86C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西：42</w:t>
                  </w:r>
                </w:p>
                <w:p w14:paraId="081E287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北：32.5</w:t>
                  </w:r>
                </w:p>
              </w:tc>
              <w:tc>
                <w:tcPr>
                  <w:tcW w:w="455" w:type="pct"/>
                  <w:vMerge w:val="continue"/>
                  <w:noWrap w:val="0"/>
                  <w:vAlign w:val="center"/>
                </w:tcPr>
                <w:p w14:paraId="33D94C9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0BD24B3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117E1B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东：20.5</w:t>
                  </w:r>
                </w:p>
                <w:p w14:paraId="749AABB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w:t>
                  </w:r>
                </w:p>
                <w:p w14:paraId="50BFDD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西：22</w:t>
                  </w:r>
                </w:p>
                <w:p w14:paraId="462AF7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北：12.5</w:t>
                  </w:r>
                </w:p>
              </w:tc>
              <w:tc>
                <w:tcPr>
                  <w:tcW w:w="206" w:type="pct"/>
                  <w:noWrap w:val="0"/>
                  <w:vAlign w:val="center"/>
                </w:tcPr>
                <w:p w14:paraId="5A10008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w:t>
                  </w:r>
                </w:p>
              </w:tc>
            </w:tr>
            <w:tr w14:paraId="245E58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2160B30A">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554DDB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4754A354">
                  <w:pPr>
                    <w:keepNext w:val="0"/>
                    <w:keepLines w:val="0"/>
                    <w:pageBreakBefore w:val="0"/>
                    <w:kinsoku/>
                    <w:wordWrap/>
                    <w:overflowPunct/>
                    <w:topLinePunct w:val="0"/>
                    <w:bidi w:val="0"/>
                    <w:ind w:left="0" w:leftChars="0" w:right="0" w:rightChars="0"/>
                    <w:jc w:val="center"/>
                    <w:textAlignment w:val="auto"/>
                    <w:rPr>
                      <w:rFonts w:hint="default"/>
                      <w:color w:val="auto"/>
                      <w:sz w:val="18"/>
                      <w:szCs w:val="18"/>
                      <w:lang w:val="en-US" w:eastAsia="zh-CN"/>
                    </w:rPr>
                  </w:pPr>
                  <w:r>
                    <w:rPr>
                      <w:rFonts w:hint="eastAsia"/>
                      <w:color w:val="auto"/>
                      <w:sz w:val="18"/>
                      <w:szCs w:val="18"/>
                      <w:lang w:val="en-US" w:eastAsia="zh-CN"/>
                    </w:rPr>
                    <w:t>储漆罐配套泵</w:t>
                  </w:r>
                </w:p>
              </w:tc>
              <w:tc>
                <w:tcPr>
                  <w:tcW w:w="247" w:type="pct"/>
                  <w:noWrap w:val="0"/>
                  <w:vAlign w:val="center"/>
                </w:tcPr>
                <w:p w14:paraId="528A7320">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5FF76613">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37F94363">
                  <w:pPr>
                    <w:keepNext w:val="0"/>
                    <w:keepLines w:val="0"/>
                    <w:pageBreakBefore w:val="0"/>
                    <w:kinsoku/>
                    <w:wordWrap/>
                    <w:overflowPunct/>
                    <w:topLinePunct w:val="0"/>
                    <w:bidi w:val="0"/>
                    <w:ind w:left="0" w:leftChars="0" w:right="0" w:rightChars="0"/>
                    <w:jc w:val="center"/>
                    <w:textAlignment w:val="auto"/>
                    <w:rPr>
                      <w:rFonts w:hint="eastAsia"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noWrap w:val="0"/>
                  <w:vAlign w:val="center"/>
                </w:tcPr>
                <w:p w14:paraId="15F4F6E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32CE686F">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27</w:t>
                  </w:r>
                </w:p>
              </w:tc>
              <w:tc>
                <w:tcPr>
                  <w:tcW w:w="269" w:type="pct"/>
                  <w:noWrap w:val="0"/>
                  <w:vAlign w:val="center"/>
                </w:tcPr>
                <w:p w14:paraId="7E62076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25</w:t>
                  </w:r>
                </w:p>
              </w:tc>
              <w:tc>
                <w:tcPr>
                  <w:tcW w:w="269" w:type="pct"/>
                  <w:noWrap w:val="0"/>
                  <w:vAlign w:val="center"/>
                </w:tcPr>
                <w:p w14:paraId="6BB4381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1.2</w:t>
                  </w:r>
                </w:p>
              </w:tc>
              <w:tc>
                <w:tcPr>
                  <w:tcW w:w="407" w:type="pct"/>
                  <w:noWrap w:val="0"/>
                  <w:vAlign w:val="center"/>
                </w:tcPr>
                <w:p w14:paraId="09CC05B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东：73</w:t>
                  </w:r>
                </w:p>
                <w:p w14:paraId="29D3924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43BE481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西：27</w:t>
                  </w:r>
                </w:p>
                <w:p w14:paraId="34D7698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北：75</w:t>
                  </w:r>
                </w:p>
              </w:tc>
              <w:tc>
                <w:tcPr>
                  <w:tcW w:w="422" w:type="pct"/>
                  <w:noWrap w:val="0"/>
                  <w:vAlign w:val="center"/>
                </w:tcPr>
                <w:p w14:paraId="2D8903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东：32.7</w:t>
                  </w:r>
                </w:p>
                <w:p w14:paraId="085D980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南：42</w:t>
                  </w:r>
                </w:p>
                <w:p w14:paraId="7A7846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西：41.4</w:t>
                  </w:r>
                </w:p>
                <w:p w14:paraId="075B08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北：32.5</w:t>
                  </w:r>
                </w:p>
              </w:tc>
              <w:tc>
                <w:tcPr>
                  <w:tcW w:w="455" w:type="pct"/>
                  <w:vMerge w:val="continue"/>
                  <w:noWrap w:val="0"/>
                  <w:vAlign w:val="center"/>
                </w:tcPr>
                <w:p w14:paraId="10C6FE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70507E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9DFDE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东：12.7</w:t>
                  </w:r>
                </w:p>
                <w:p w14:paraId="36B67AE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w:t>
                  </w:r>
                </w:p>
                <w:p w14:paraId="572429B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西：21.4</w:t>
                  </w:r>
                </w:p>
                <w:p w14:paraId="6FE8A2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北：12.5</w:t>
                  </w:r>
                </w:p>
              </w:tc>
              <w:tc>
                <w:tcPr>
                  <w:tcW w:w="206" w:type="pct"/>
                  <w:noWrap w:val="0"/>
                  <w:vAlign w:val="center"/>
                </w:tcPr>
                <w:p w14:paraId="376A95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w:t>
                  </w:r>
                </w:p>
              </w:tc>
            </w:tr>
            <w:tr w14:paraId="4B6735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noWrap w:val="0"/>
                  <w:vAlign w:val="center"/>
                </w:tcPr>
                <w:p w14:paraId="7CFD9B48">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noWrap w:val="0"/>
                  <w:vAlign w:val="center"/>
                </w:tcPr>
                <w:p w14:paraId="47A9927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noWrap w:val="0"/>
                  <w:vAlign w:val="center"/>
                </w:tcPr>
                <w:p w14:paraId="6EF22395">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eastAsia="zh-CN"/>
                    </w:rPr>
                  </w:pPr>
                  <w:r>
                    <w:rPr>
                      <w:rFonts w:hint="eastAsia"/>
                      <w:color w:val="auto"/>
                      <w:sz w:val="18"/>
                      <w:szCs w:val="18"/>
                      <w:lang w:eastAsia="zh-CN"/>
                    </w:rPr>
                    <w:t>真空泵</w:t>
                  </w:r>
                </w:p>
              </w:tc>
              <w:tc>
                <w:tcPr>
                  <w:tcW w:w="247" w:type="pct"/>
                  <w:noWrap w:val="0"/>
                  <w:vAlign w:val="center"/>
                </w:tcPr>
                <w:p w14:paraId="06A5C710">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noWrap w:val="0"/>
                  <w:vAlign w:val="center"/>
                </w:tcPr>
                <w:p w14:paraId="1A70167F">
                  <w:pPr>
                    <w:keepNext w:val="0"/>
                    <w:keepLines w:val="0"/>
                    <w:pageBreakBefore w:val="0"/>
                    <w:kinsoku/>
                    <w:wordWrap/>
                    <w:overflowPunct/>
                    <w:topLinePunct w:val="0"/>
                    <w:bidi w:val="0"/>
                    <w:ind w:left="0" w:leftChars="0" w:right="0" w:rightChars="0"/>
                    <w:jc w:val="center"/>
                    <w:textAlignment w:val="auto"/>
                    <w:rPr>
                      <w:rFonts w:hint="eastAsia" w:eastAsia="宋体"/>
                      <w:color w:val="auto"/>
                      <w:sz w:val="18"/>
                      <w:szCs w:val="18"/>
                      <w:lang w:val="en-US" w:eastAsia="zh-CN"/>
                    </w:rPr>
                  </w:pPr>
                  <w:r>
                    <w:rPr>
                      <w:rFonts w:hint="eastAsia"/>
                      <w:color w:val="auto"/>
                      <w:sz w:val="18"/>
                      <w:szCs w:val="18"/>
                      <w:lang w:val="en-US" w:eastAsia="zh-CN"/>
                    </w:rPr>
                    <w:t>1</w:t>
                  </w:r>
                </w:p>
              </w:tc>
              <w:tc>
                <w:tcPr>
                  <w:tcW w:w="328" w:type="pct"/>
                  <w:noWrap w:val="0"/>
                  <w:vAlign w:val="center"/>
                </w:tcPr>
                <w:p w14:paraId="741199FB">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noWrap w:val="0"/>
                  <w:vAlign w:val="center"/>
                </w:tcPr>
                <w:p w14:paraId="1EC49B1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noWrap w:val="0"/>
                  <w:vAlign w:val="center"/>
                </w:tcPr>
                <w:p w14:paraId="259DE205">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sz w:val="18"/>
                      <w:szCs w:val="18"/>
                      <w:highlight w:val="none"/>
                      <w:lang w:val="en-US" w:eastAsia="zh-CN"/>
                    </w:rPr>
                  </w:pPr>
                  <w:r>
                    <w:rPr>
                      <w:rFonts w:hint="eastAsia" w:cs="Times New Roman"/>
                      <w:color w:val="auto"/>
                      <w:spacing w:val="-2"/>
                      <w:sz w:val="18"/>
                      <w:szCs w:val="18"/>
                      <w:highlight w:val="none"/>
                      <w:lang w:val="en-US" w:eastAsia="zh-CN"/>
                    </w:rPr>
                    <w:t>40</w:t>
                  </w:r>
                </w:p>
              </w:tc>
              <w:tc>
                <w:tcPr>
                  <w:tcW w:w="269" w:type="pct"/>
                  <w:noWrap w:val="0"/>
                  <w:vAlign w:val="center"/>
                </w:tcPr>
                <w:p w14:paraId="3484199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25</w:t>
                  </w:r>
                </w:p>
              </w:tc>
              <w:tc>
                <w:tcPr>
                  <w:tcW w:w="269" w:type="pct"/>
                  <w:noWrap w:val="0"/>
                  <w:vAlign w:val="center"/>
                </w:tcPr>
                <w:p w14:paraId="7FDC68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w:t>
                  </w:r>
                </w:p>
              </w:tc>
              <w:tc>
                <w:tcPr>
                  <w:tcW w:w="407" w:type="pct"/>
                  <w:noWrap w:val="0"/>
                  <w:vAlign w:val="center"/>
                </w:tcPr>
                <w:p w14:paraId="1806C95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东：15</w:t>
                  </w:r>
                </w:p>
                <w:p w14:paraId="78C1A69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6FFAEF3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w:t>
                  </w:r>
                </w:p>
                <w:p w14:paraId="5D8066A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北：75</w:t>
                  </w:r>
                </w:p>
              </w:tc>
              <w:tc>
                <w:tcPr>
                  <w:tcW w:w="422" w:type="pct"/>
                  <w:noWrap w:val="0"/>
                  <w:vAlign w:val="center"/>
                </w:tcPr>
                <w:p w14:paraId="511FF68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东：46.5</w:t>
                  </w:r>
                </w:p>
                <w:p w14:paraId="7AFFE9D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南：42</w:t>
                  </w:r>
                </w:p>
                <w:p w14:paraId="0E3E86A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西：38</w:t>
                  </w:r>
                </w:p>
                <w:p w14:paraId="33EC6F2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北：32.5</w:t>
                  </w:r>
                </w:p>
              </w:tc>
              <w:tc>
                <w:tcPr>
                  <w:tcW w:w="455" w:type="pct"/>
                  <w:vMerge w:val="continue"/>
                  <w:noWrap w:val="0"/>
                  <w:vAlign w:val="center"/>
                </w:tcPr>
                <w:p w14:paraId="6444193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292" w:type="pct"/>
                  <w:noWrap w:val="0"/>
                  <w:vAlign w:val="center"/>
                </w:tcPr>
                <w:p w14:paraId="34D8CE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noWrap w:val="0"/>
                  <w:vAlign w:val="center"/>
                </w:tcPr>
                <w:p w14:paraId="57CCF01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东：26.5</w:t>
                  </w:r>
                </w:p>
                <w:p w14:paraId="0FD77F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南：22</w:t>
                  </w:r>
                </w:p>
                <w:p w14:paraId="3427D7F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西：18</w:t>
                  </w:r>
                </w:p>
                <w:p w14:paraId="61A64DA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北：12.5</w:t>
                  </w:r>
                </w:p>
              </w:tc>
              <w:tc>
                <w:tcPr>
                  <w:tcW w:w="206" w:type="pct"/>
                  <w:noWrap w:val="0"/>
                  <w:vAlign w:val="center"/>
                </w:tcPr>
                <w:p w14:paraId="531994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6D39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vAlign w:val="center"/>
                </w:tcPr>
                <w:p w14:paraId="01D0D65B">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tcPr>
                <w:p w14:paraId="7D2B0BF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vAlign w:val="center"/>
                </w:tcPr>
                <w:p w14:paraId="61D61801">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kern w:val="2"/>
                      <w:sz w:val="18"/>
                      <w:szCs w:val="18"/>
                      <w:highlight w:val="none"/>
                      <w:lang w:val="en-US" w:eastAsia="zh-CN" w:bidi="ar-SA"/>
                    </w:rPr>
                  </w:pPr>
                  <w:r>
                    <w:rPr>
                      <w:rFonts w:hint="eastAsia" w:cs="Times New Roman"/>
                      <w:kern w:val="2"/>
                      <w:sz w:val="18"/>
                      <w:szCs w:val="18"/>
                      <w:highlight w:val="none"/>
                      <w:lang w:val="en-US" w:eastAsia="zh-CN" w:bidi="ar-SA"/>
                    </w:rPr>
                    <w:t>风机</w:t>
                  </w:r>
                </w:p>
              </w:tc>
              <w:tc>
                <w:tcPr>
                  <w:tcW w:w="247" w:type="pct"/>
                  <w:vAlign w:val="center"/>
                </w:tcPr>
                <w:p w14:paraId="63FB40F5">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kern w:val="2"/>
                      <w:sz w:val="18"/>
                      <w:szCs w:val="18"/>
                      <w:highlight w:val="none"/>
                      <w:lang w:val="en-US" w:eastAsia="zh-CN" w:bidi="ar-SA"/>
                    </w:rPr>
                  </w:pPr>
                  <w:r>
                    <w:rPr>
                      <w:rFonts w:hint="eastAsia" w:cs="Times New Roman"/>
                      <w:color w:val="auto"/>
                      <w:kern w:val="2"/>
                      <w:sz w:val="18"/>
                      <w:szCs w:val="18"/>
                      <w:lang w:val="en-US" w:eastAsia="zh-CN" w:bidi="ar-SA"/>
                    </w:rPr>
                    <w:t>/</w:t>
                  </w:r>
                </w:p>
              </w:tc>
              <w:tc>
                <w:tcPr>
                  <w:tcW w:w="284" w:type="pct"/>
                  <w:vAlign w:val="center"/>
                </w:tcPr>
                <w:p w14:paraId="172B2234">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kern w:val="2"/>
                      <w:sz w:val="18"/>
                      <w:szCs w:val="18"/>
                      <w:highlight w:val="none"/>
                      <w:lang w:val="en-US" w:eastAsia="zh-CN" w:bidi="ar-SA"/>
                    </w:rPr>
                  </w:pPr>
                  <w:r>
                    <w:rPr>
                      <w:rFonts w:hint="eastAsia" w:cs="Times New Roman"/>
                      <w:kern w:val="2"/>
                      <w:sz w:val="18"/>
                      <w:szCs w:val="18"/>
                      <w:highlight w:val="none"/>
                      <w:lang w:val="en-US" w:eastAsia="zh-CN" w:bidi="ar-SA"/>
                    </w:rPr>
                    <w:t>1</w:t>
                  </w:r>
                </w:p>
              </w:tc>
              <w:tc>
                <w:tcPr>
                  <w:tcW w:w="0" w:type="auto"/>
                  <w:vAlign w:val="center"/>
                </w:tcPr>
                <w:p w14:paraId="64A9827F">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vMerge w:val="continue"/>
                </w:tcPr>
                <w:p w14:paraId="525F00E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vAlign w:val="center"/>
                </w:tcPr>
                <w:p w14:paraId="14D19D7C">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kern w:val="2"/>
                      <w:sz w:val="18"/>
                      <w:szCs w:val="18"/>
                      <w:highlight w:val="none"/>
                      <w:lang w:val="en-US" w:eastAsia="zh-CN" w:bidi="ar-SA"/>
                    </w:rPr>
                    <w:t>30</w:t>
                  </w:r>
                </w:p>
              </w:tc>
              <w:tc>
                <w:tcPr>
                  <w:tcW w:w="269" w:type="pct"/>
                  <w:vAlign w:val="center"/>
                </w:tcPr>
                <w:p w14:paraId="59723C0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3</w:t>
                  </w:r>
                </w:p>
              </w:tc>
              <w:tc>
                <w:tcPr>
                  <w:tcW w:w="0" w:type="auto"/>
                  <w:vAlign w:val="center"/>
                </w:tcPr>
                <w:p w14:paraId="6D9F17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1.5</w:t>
                  </w:r>
                </w:p>
              </w:tc>
              <w:tc>
                <w:tcPr>
                  <w:tcW w:w="407" w:type="pct"/>
                  <w:vAlign w:val="center"/>
                </w:tcPr>
                <w:p w14:paraId="1435C59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132E69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w:t>
                  </w:r>
                </w:p>
                <w:p w14:paraId="0CE44B5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西：30</w:t>
                  </w:r>
                </w:p>
                <w:p w14:paraId="786D2F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北：97</w:t>
                  </w:r>
                </w:p>
              </w:tc>
              <w:tc>
                <w:tcPr>
                  <w:tcW w:w="422" w:type="pct"/>
                  <w:vAlign w:val="center"/>
                </w:tcPr>
                <w:p w14:paraId="442874F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东：42</w:t>
                  </w:r>
                </w:p>
                <w:p w14:paraId="543A92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南：60.5</w:t>
                  </w:r>
                </w:p>
                <w:p w14:paraId="142BB69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西：40.5</w:t>
                  </w:r>
                </w:p>
                <w:p w14:paraId="19AEADF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z w:val="18"/>
                      <w:szCs w:val="18"/>
                      <w:highlight w:val="none"/>
                      <w:lang w:val="en-US" w:eastAsia="zh-CN"/>
                    </w:rPr>
                    <w:t>北：30.3</w:t>
                  </w:r>
                </w:p>
              </w:tc>
              <w:tc>
                <w:tcPr>
                  <w:tcW w:w="455" w:type="pct"/>
                  <w:vMerge w:val="continue"/>
                </w:tcPr>
                <w:p w14:paraId="053F35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0" w:type="auto"/>
                  <w:vAlign w:val="center"/>
                </w:tcPr>
                <w:p w14:paraId="21E8A09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438" w:type="pct"/>
                  <w:vAlign w:val="center"/>
                </w:tcPr>
                <w:p w14:paraId="7575C87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东：22</w:t>
                  </w:r>
                </w:p>
                <w:p w14:paraId="7059127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南：40.5</w:t>
                  </w:r>
                </w:p>
                <w:p w14:paraId="5C61FA1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西：20.5</w:t>
                  </w:r>
                </w:p>
                <w:p w14:paraId="38AE774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z w:val="18"/>
                      <w:szCs w:val="18"/>
                      <w:highlight w:val="none"/>
                      <w:lang w:val="en-US" w:eastAsia="zh-CN"/>
                    </w:rPr>
                    <w:t>北：10.3</w:t>
                  </w:r>
                </w:p>
              </w:tc>
              <w:tc>
                <w:tcPr>
                  <w:tcW w:w="206" w:type="pct"/>
                  <w:vAlign w:val="center"/>
                </w:tcPr>
                <w:p w14:paraId="4F88C54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kern w:val="2"/>
                      <w:sz w:val="18"/>
                      <w:szCs w:val="18"/>
                      <w:highlight w:val="none"/>
                      <w:lang w:val="en-US" w:eastAsia="zh-CN" w:bidi="ar-SA"/>
                    </w:rPr>
                  </w:pPr>
                  <w:r>
                    <w:rPr>
                      <w:rFonts w:hint="default" w:ascii="Times New Roman" w:hAnsi="Times New Roman" w:eastAsia="Times New Roman" w:cs="Times New Roman"/>
                      <w:color w:val="auto"/>
                      <w:sz w:val="18"/>
                      <w:szCs w:val="18"/>
                      <w:highlight w:val="none"/>
                    </w:rPr>
                    <w:t>1</w:t>
                  </w:r>
                </w:p>
              </w:tc>
            </w:tr>
            <w:tr w14:paraId="64A2A6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vAlign w:val="center"/>
                </w:tcPr>
                <w:p w14:paraId="4D75C861">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tcPr>
                <w:p w14:paraId="30E5FF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vAlign w:val="center"/>
                </w:tcPr>
                <w:p w14:paraId="300F3C1D">
                  <w:pPr>
                    <w:keepNext w:val="0"/>
                    <w:keepLines w:val="0"/>
                    <w:pageBreakBefore w:val="0"/>
                    <w:kinsoku/>
                    <w:wordWrap/>
                    <w:overflowPunct/>
                    <w:topLinePunct w:val="0"/>
                    <w:bidi w:val="0"/>
                    <w:ind w:left="0" w:leftChars="0" w:right="0" w:rightChars="0"/>
                    <w:jc w:val="center"/>
                    <w:textAlignment w:val="auto"/>
                    <w:rPr>
                      <w:rFonts w:hint="default" w:cs="Times New Roman"/>
                      <w:kern w:val="2"/>
                      <w:sz w:val="18"/>
                      <w:szCs w:val="18"/>
                      <w:highlight w:val="none"/>
                      <w:lang w:val="en-US" w:eastAsia="zh-CN" w:bidi="ar-SA"/>
                    </w:rPr>
                  </w:pPr>
                  <w:r>
                    <w:rPr>
                      <w:rFonts w:hint="eastAsia" w:cs="Times New Roman"/>
                      <w:kern w:val="2"/>
                      <w:sz w:val="18"/>
                      <w:szCs w:val="18"/>
                      <w:highlight w:val="none"/>
                      <w:lang w:val="en-US" w:eastAsia="zh-CN" w:bidi="ar-SA"/>
                    </w:rPr>
                    <w:t>风机</w:t>
                  </w:r>
                </w:p>
              </w:tc>
              <w:tc>
                <w:tcPr>
                  <w:tcW w:w="247" w:type="pct"/>
                  <w:vAlign w:val="center"/>
                </w:tcPr>
                <w:p w14:paraId="6E85AABD">
                  <w:pPr>
                    <w:keepNext w:val="0"/>
                    <w:keepLines w:val="0"/>
                    <w:pageBreakBefore w:val="0"/>
                    <w:kinsoku/>
                    <w:wordWrap/>
                    <w:overflowPunct/>
                    <w:topLinePunct w:val="0"/>
                    <w:bidi w:val="0"/>
                    <w:ind w:left="0" w:leftChars="0" w:right="0" w:rightChars="0"/>
                    <w:jc w:val="center"/>
                    <w:textAlignment w:val="auto"/>
                    <w:rPr>
                      <w:rFonts w:hint="default"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vAlign w:val="center"/>
                </w:tcPr>
                <w:p w14:paraId="6D64F662">
                  <w:pPr>
                    <w:keepNext w:val="0"/>
                    <w:keepLines w:val="0"/>
                    <w:pageBreakBefore w:val="0"/>
                    <w:kinsoku/>
                    <w:wordWrap/>
                    <w:overflowPunct/>
                    <w:topLinePunct w:val="0"/>
                    <w:bidi w:val="0"/>
                    <w:ind w:left="0" w:leftChars="0" w:right="0" w:rightChars="0"/>
                    <w:jc w:val="center"/>
                    <w:textAlignment w:val="auto"/>
                    <w:rPr>
                      <w:rFonts w:hint="default" w:cs="Times New Roman"/>
                      <w:kern w:val="2"/>
                      <w:sz w:val="18"/>
                      <w:szCs w:val="18"/>
                      <w:highlight w:val="none"/>
                      <w:lang w:val="en-US" w:eastAsia="zh-CN" w:bidi="ar-SA"/>
                    </w:rPr>
                  </w:pPr>
                  <w:r>
                    <w:rPr>
                      <w:rFonts w:hint="eastAsia" w:cs="Times New Roman"/>
                      <w:kern w:val="2"/>
                      <w:sz w:val="18"/>
                      <w:szCs w:val="18"/>
                      <w:highlight w:val="none"/>
                      <w:lang w:val="en-US" w:eastAsia="zh-CN" w:bidi="ar-SA"/>
                    </w:rPr>
                    <w:t>1</w:t>
                  </w:r>
                </w:p>
              </w:tc>
              <w:tc>
                <w:tcPr>
                  <w:tcW w:w="0" w:type="auto"/>
                  <w:vAlign w:val="center"/>
                </w:tcPr>
                <w:p w14:paraId="325575EE">
                  <w:pPr>
                    <w:keepNext w:val="0"/>
                    <w:keepLines w:val="0"/>
                    <w:pageBreakBefore w:val="0"/>
                    <w:kinsoku/>
                    <w:wordWrap/>
                    <w:overflowPunct/>
                    <w:topLinePunct w:val="0"/>
                    <w:bidi w:val="0"/>
                    <w:ind w:left="0" w:leftChars="0" w:right="0" w:rightChars="0"/>
                    <w:jc w:val="center"/>
                    <w:textAlignment w:val="auto"/>
                    <w:rPr>
                      <w:rFonts w:hint="default" w:cs="Times New Roman"/>
                      <w:color w:val="auto"/>
                      <w:spacing w:val="-3"/>
                      <w:sz w:val="18"/>
                      <w:szCs w:val="18"/>
                      <w:highlight w:val="none"/>
                      <w:lang w:val="en-US" w:eastAsia="zh-CN"/>
                    </w:rPr>
                  </w:pPr>
                  <w:r>
                    <w:rPr>
                      <w:rFonts w:hint="eastAsia" w:cs="Times New Roman"/>
                      <w:color w:val="auto"/>
                      <w:spacing w:val="-3"/>
                      <w:sz w:val="18"/>
                      <w:szCs w:val="18"/>
                      <w:highlight w:val="none"/>
                      <w:lang w:val="en-US" w:eastAsia="zh-CN"/>
                    </w:rPr>
                    <w:t>85</w:t>
                  </w:r>
                </w:p>
              </w:tc>
              <w:tc>
                <w:tcPr>
                  <w:tcW w:w="309" w:type="pct"/>
                </w:tcPr>
                <w:p w14:paraId="735BA53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eastAsia="宋体" w:cs="Times New Roman"/>
                      <w:color w:val="auto"/>
                      <w:spacing w:val="-1"/>
                      <w:sz w:val="18"/>
                      <w:szCs w:val="18"/>
                      <w:highlight w:val="none"/>
                    </w:rPr>
                  </w:pPr>
                </w:p>
              </w:tc>
              <w:tc>
                <w:tcPr>
                  <w:tcW w:w="288" w:type="pct"/>
                  <w:vAlign w:val="center"/>
                </w:tcPr>
                <w:p w14:paraId="3182238D">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2"/>
                      <w:kern w:val="2"/>
                      <w:sz w:val="18"/>
                      <w:szCs w:val="18"/>
                      <w:highlight w:val="none"/>
                      <w:lang w:val="en-US" w:eastAsia="zh-CN" w:bidi="ar-SA"/>
                    </w:rPr>
                  </w:pPr>
                  <w:r>
                    <w:rPr>
                      <w:rFonts w:hint="eastAsia" w:cs="Times New Roman"/>
                      <w:color w:val="auto"/>
                      <w:spacing w:val="-2"/>
                      <w:kern w:val="2"/>
                      <w:sz w:val="18"/>
                      <w:szCs w:val="18"/>
                      <w:highlight w:val="none"/>
                      <w:lang w:val="en-US" w:eastAsia="zh-CN" w:bidi="ar-SA"/>
                    </w:rPr>
                    <w:t>35</w:t>
                  </w:r>
                </w:p>
              </w:tc>
              <w:tc>
                <w:tcPr>
                  <w:tcW w:w="269" w:type="pct"/>
                  <w:vAlign w:val="center"/>
                </w:tcPr>
                <w:p w14:paraId="7D0B2DD1">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3</w:t>
                  </w:r>
                </w:p>
              </w:tc>
              <w:tc>
                <w:tcPr>
                  <w:tcW w:w="0" w:type="auto"/>
                  <w:vAlign w:val="center"/>
                </w:tcPr>
                <w:p w14:paraId="692BA24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1.5</w:t>
                  </w:r>
                </w:p>
              </w:tc>
              <w:tc>
                <w:tcPr>
                  <w:tcW w:w="407" w:type="pct"/>
                  <w:vAlign w:val="center"/>
                </w:tcPr>
                <w:p w14:paraId="70D690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东：20</w:t>
                  </w:r>
                </w:p>
                <w:p w14:paraId="6860D3D2">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w:t>
                  </w:r>
                </w:p>
                <w:p w14:paraId="5265257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西：35</w:t>
                  </w:r>
                </w:p>
                <w:p w14:paraId="3BAA6D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北：97</w:t>
                  </w:r>
                </w:p>
              </w:tc>
              <w:tc>
                <w:tcPr>
                  <w:tcW w:w="422" w:type="pct"/>
                  <w:vAlign w:val="center"/>
                </w:tcPr>
                <w:p w14:paraId="4790BDA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东：44</w:t>
                  </w:r>
                </w:p>
                <w:p w14:paraId="4902398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南：60.5</w:t>
                  </w:r>
                </w:p>
                <w:p w14:paraId="169F35C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西：39.1</w:t>
                  </w:r>
                </w:p>
                <w:p w14:paraId="3A936CE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北：30.3</w:t>
                  </w:r>
                </w:p>
              </w:tc>
              <w:tc>
                <w:tcPr>
                  <w:tcW w:w="455" w:type="pct"/>
                </w:tcPr>
                <w:p w14:paraId="71580C5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0" w:type="auto"/>
                  <w:vAlign w:val="center"/>
                </w:tcPr>
                <w:p w14:paraId="6C25EBA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vAlign w:val="center"/>
                </w:tcPr>
                <w:p w14:paraId="7501297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东：24</w:t>
                  </w:r>
                </w:p>
                <w:p w14:paraId="492546C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南：40.5</w:t>
                  </w:r>
                </w:p>
                <w:p w14:paraId="25B83EF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西：19.1</w:t>
                  </w:r>
                </w:p>
                <w:p w14:paraId="2BFB0C4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北：10.3</w:t>
                  </w:r>
                </w:p>
              </w:tc>
              <w:tc>
                <w:tcPr>
                  <w:tcW w:w="206" w:type="pct"/>
                  <w:vAlign w:val="center"/>
                </w:tcPr>
                <w:p w14:paraId="45C4517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sz w:val="18"/>
                      <w:szCs w:val="18"/>
                      <w:highlight w:val="none"/>
                      <w:lang w:val="en-US" w:eastAsia="zh-CN"/>
                    </w:rPr>
                  </w:pPr>
                  <w:r>
                    <w:rPr>
                      <w:rFonts w:hint="eastAsia" w:eastAsia="宋体" w:cs="Times New Roman"/>
                      <w:color w:val="auto"/>
                      <w:sz w:val="18"/>
                      <w:szCs w:val="18"/>
                      <w:highlight w:val="none"/>
                      <w:lang w:val="en-US" w:eastAsia="zh-CN"/>
                    </w:rPr>
                    <w:t>1</w:t>
                  </w:r>
                </w:p>
              </w:tc>
            </w:tr>
            <w:tr w14:paraId="355805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vAlign w:val="center"/>
                </w:tcPr>
                <w:p w14:paraId="52C70CE7">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restart"/>
                  <w:vAlign w:val="center"/>
                </w:tcPr>
                <w:p w14:paraId="617734B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eastAsia" w:ascii="Times New Roman" w:hAnsi="Times New Roman" w:eastAsia="宋体" w:cs="Times New Roman"/>
                      <w:color w:val="auto"/>
                      <w:sz w:val="18"/>
                      <w:szCs w:val="18"/>
                      <w:highlight w:val="none"/>
                      <w:lang w:eastAsia="zh-CN"/>
                    </w:rPr>
                  </w:pPr>
                  <w:r>
                    <w:rPr>
                      <w:rFonts w:hint="eastAsia" w:cs="Times New Roman"/>
                      <w:color w:val="auto"/>
                      <w:sz w:val="18"/>
                      <w:szCs w:val="18"/>
                      <w:highlight w:val="none"/>
                      <w:lang w:eastAsia="zh-CN"/>
                    </w:rPr>
                    <w:t>西侧生产车间</w:t>
                  </w:r>
                </w:p>
              </w:tc>
              <w:tc>
                <w:tcPr>
                  <w:tcW w:w="372" w:type="pct"/>
                  <w:vAlign w:val="center"/>
                </w:tcPr>
                <w:p w14:paraId="26DC876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行车</w:t>
                  </w:r>
                </w:p>
              </w:tc>
              <w:tc>
                <w:tcPr>
                  <w:tcW w:w="247" w:type="pct"/>
                  <w:vAlign w:val="center"/>
                </w:tcPr>
                <w:p w14:paraId="4F0A1F7A">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vAlign w:val="center"/>
                </w:tcPr>
                <w:p w14:paraId="26A5D9C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0" w:type="auto"/>
                  <w:vAlign w:val="center"/>
                </w:tcPr>
                <w:p w14:paraId="5BEBF26B">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spacing w:val="-3"/>
                      <w:kern w:val="2"/>
                      <w:sz w:val="18"/>
                      <w:szCs w:val="18"/>
                      <w:highlight w:val="none"/>
                      <w:lang w:val="en-US" w:eastAsia="zh-CN" w:bidi="ar-SA"/>
                    </w:rPr>
                  </w:pPr>
                  <w:r>
                    <w:rPr>
                      <w:rFonts w:hint="eastAsia" w:cs="Times New Roman"/>
                      <w:color w:val="auto"/>
                      <w:spacing w:val="-3"/>
                      <w:sz w:val="18"/>
                      <w:szCs w:val="18"/>
                      <w:highlight w:val="none"/>
                      <w:lang w:val="en-US" w:eastAsia="zh-CN"/>
                    </w:rPr>
                    <w:t>80</w:t>
                  </w:r>
                </w:p>
              </w:tc>
              <w:tc>
                <w:tcPr>
                  <w:tcW w:w="309" w:type="pct"/>
                  <w:vMerge w:val="restart"/>
                  <w:vAlign w:val="center"/>
                </w:tcPr>
                <w:p w14:paraId="16881B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default" w:ascii="Times New Roman" w:hAnsi="Times New Roman" w:eastAsia="宋体" w:cs="Times New Roman"/>
                      <w:i w:val="0"/>
                      <w:color w:val="auto"/>
                      <w:kern w:val="0"/>
                      <w:sz w:val="18"/>
                      <w:szCs w:val="18"/>
                      <w:highlight w:val="none"/>
                      <w:u w:val="none"/>
                      <w:lang w:val="en-US" w:eastAsia="zh-CN" w:bidi="ar"/>
                    </w:rPr>
                    <w:t>低噪声设备基础减振</w:t>
                  </w:r>
                  <w:r>
                    <w:rPr>
                      <w:rFonts w:hint="eastAsia" w:ascii="Times New Roman" w:hAnsi="Times New Roman" w:eastAsia="宋体" w:cs="Times New Roman"/>
                      <w:i w:val="0"/>
                      <w:color w:val="auto"/>
                      <w:kern w:val="0"/>
                      <w:sz w:val="18"/>
                      <w:szCs w:val="18"/>
                      <w:highlight w:val="none"/>
                      <w:u w:val="none"/>
                      <w:lang w:val="en-US" w:eastAsia="zh-CN" w:bidi="ar"/>
                    </w:rPr>
                    <w:t>-15</w:t>
                  </w:r>
                </w:p>
              </w:tc>
              <w:tc>
                <w:tcPr>
                  <w:tcW w:w="288" w:type="pct"/>
                  <w:vAlign w:val="center"/>
                </w:tcPr>
                <w:p w14:paraId="53D000F4">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-10</w:t>
                  </w:r>
                </w:p>
              </w:tc>
              <w:tc>
                <w:tcPr>
                  <w:tcW w:w="269" w:type="pct"/>
                  <w:vAlign w:val="center"/>
                </w:tcPr>
                <w:p w14:paraId="40D2D07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10</w:t>
                  </w:r>
                </w:p>
              </w:tc>
              <w:tc>
                <w:tcPr>
                  <w:tcW w:w="0" w:type="auto"/>
                  <w:vAlign w:val="center"/>
                </w:tcPr>
                <w:p w14:paraId="4525348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c>
                <w:tcPr>
                  <w:tcW w:w="407" w:type="pct"/>
                  <w:vAlign w:val="center"/>
                </w:tcPr>
                <w:p w14:paraId="6BAA53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039E93C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南：10</w:t>
                  </w:r>
                </w:p>
                <w:p w14:paraId="38C8172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3832AB6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北：90</w:t>
                  </w:r>
                </w:p>
              </w:tc>
              <w:tc>
                <w:tcPr>
                  <w:tcW w:w="422" w:type="pct"/>
                  <w:vAlign w:val="center"/>
                </w:tcPr>
                <w:p w14:paraId="03D447E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6A05EE9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南：45</w:t>
                  </w:r>
                </w:p>
                <w:p w14:paraId="5389211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41F062F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北：25.9</w:t>
                  </w:r>
                </w:p>
              </w:tc>
              <w:tc>
                <w:tcPr>
                  <w:tcW w:w="455" w:type="pct"/>
                  <w:vMerge w:val="restart"/>
                  <w:vAlign w:val="center"/>
                </w:tcPr>
                <w:p w14:paraId="419C17C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r>
                    <w:rPr>
                      <w:rFonts w:hint="eastAsia" w:cs="Times New Roman"/>
                      <w:color w:val="auto"/>
                      <w:sz w:val="18"/>
                      <w:szCs w:val="18"/>
                      <w:highlight w:val="none"/>
                      <w:lang w:val="en-US" w:eastAsia="zh-CN"/>
                    </w:rPr>
                    <w:t>昼间间断式生产2400h/a</w:t>
                  </w:r>
                </w:p>
              </w:tc>
              <w:tc>
                <w:tcPr>
                  <w:tcW w:w="0" w:type="auto"/>
                  <w:vAlign w:val="center"/>
                </w:tcPr>
                <w:p w14:paraId="47E2773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vAlign w:val="center"/>
                </w:tcPr>
                <w:p w14:paraId="65437EB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0696A8C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南：25</w:t>
                  </w:r>
                </w:p>
                <w:p w14:paraId="5AABD95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25DAD80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北：5.9</w:t>
                  </w:r>
                </w:p>
              </w:tc>
              <w:tc>
                <w:tcPr>
                  <w:tcW w:w="206" w:type="pct"/>
                  <w:vAlign w:val="center"/>
                </w:tcPr>
                <w:p w14:paraId="608A023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0F9C7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vAlign w:val="center"/>
                </w:tcPr>
                <w:p w14:paraId="2AD64D83">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tcPr>
                <w:p w14:paraId="08B0DE9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vAlign w:val="center"/>
                </w:tcPr>
                <w:p w14:paraId="78A06762">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行车</w:t>
                  </w:r>
                </w:p>
              </w:tc>
              <w:tc>
                <w:tcPr>
                  <w:tcW w:w="247" w:type="pct"/>
                  <w:vAlign w:val="center"/>
                </w:tcPr>
                <w:p w14:paraId="58A7D889">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vAlign w:val="center"/>
                </w:tcPr>
                <w:p w14:paraId="4345159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0" w:type="auto"/>
                  <w:vAlign w:val="center"/>
                </w:tcPr>
                <w:p w14:paraId="4A5ABA1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spacing w:val="-3"/>
                      <w:kern w:val="2"/>
                      <w:sz w:val="18"/>
                      <w:szCs w:val="18"/>
                      <w:highlight w:val="none"/>
                      <w:lang w:val="en-US" w:eastAsia="zh-CN" w:bidi="ar-SA"/>
                    </w:rPr>
                  </w:pPr>
                  <w:r>
                    <w:rPr>
                      <w:rFonts w:hint="eastAsia" w:cs="Times New Roman"/>
                      <w:color w:val="auto"/>
                      <w:spacing w:val="-3"/>
                      <w:sz w:val="18"/>
                      <w:szCs w:val="18"/>
                      <w:highlight w:val="none"/>
                      <w:lang w:val="en-US" w:eastAsia="zh-CN"/>
                    </w:rPr>
                    <w:t>80</w:t>
                  </w:r>
                </w:p>
              </w:tc>
              <w:tc>
                <w:tcPr>
                  <w:tcW w:w="309" w:type="pct"/>
                  <w:vMerge w:val="continue"/>
                  <w:vAlign w:val="center"/>
                </w:tcPr>
                <w:p w14:paraId="0DFE838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p>
              </w:tc>
              <w:tc>
                <w:tcPr>
                  <w:tcW w:w="288" w:type="pct"/>
                  <w:vAlign w:val="center"/>
                </w:tcPr>
                <w:p w14:paraId="719D1FA7">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-10</w:t>
                  </w:r>
                </w:p>
              </w:tc>
              <w:tc>
                <w:tcPr>
                  <w:tcW w:w="269" w:type="pct"/>
                  <w:vAlign w:val="center"/>
                </w:tcPr>
                <w:p w14:paraId="68FDB43B">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20</w:t>
                  </w:r>
                </w:p>
              </w:tc>
              <w:tc>
                <w:tcPr>
                  <w:tcW w:w="0" w:type="auto"/>
                  <w:vAlign w:val="center"/>
                </w:tcPr>
                <w:p w14:paraId="28149D3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c>
                <w:tcPr>
                  <w:tcW w:w="407" w:type="pct"/>
                  <w:vAlign w:val="center"/>
                </w:tcPr>
                <w:p w14:paraId="67BA444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2DD15BC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南：20</w:t>
                  </w:r>
                </w:p>
                <w:p w14:paraId="7CC083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4B5F594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北：80</w:t>
                  </w:r>
                </w:p>
              </w:tc>
              <w:tc>
                <w:tcPr>
                  <w:tcW w:w="422" w:type="pct"/>
                  <w:vAlign w:val="center"/>
                </w:tcPr>
                <w:p w14:paraId="0DC07EC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078EDE6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南：39</w:t>
                  </w:r>
                </w:p>
                <w:p w14:paraId="08DEA76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16617BF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北：26.9</w:t>
                  </w:r>
                </w:p>
              </w:tc>
              <w:tc>
                <w:tcPr>
                  <w:tcW w:w="455" w:type="pct"/>
                  <w:vMerge w:val="continue"/>
                </w:tcPr>
                <w:p w14:paraId="268B0AD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0" w:type="auto"/>
                  <w:vAlign w:val="center"/>
                </w:tcPr>
                <w:p w14:paraId="3851CBE3">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vAlign w:val="center"/>
                </w:tcPr>
                <w:p w14:paraId="5B9887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11C21FC8">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南：19</w:t>
                  </w:r>
                </w:p>
                <w:p w14:paraId="15E49E71">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18047A0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北：6.9</w:t>
                  </w:r>
                </w:p>
              </w:tc>
              <w:tc>
                <w:tcPr>
                  <w:tcW w:w="206" w:type="pct"/>
                  <w:vAlign w:val="center"/>
                </w:tcPr>
                <w:p w14:paraId="26F5880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1B99B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vAlign w:val="center"/>
                </w:tcPr>
                <w:p w14:paraId="7ACABD83">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tcPr>
                <w:p w14:paraId="23A013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vAlign w:val="center"/>
                </w:tcPr>
                <w:p w14:paraId="10E0D5EC">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行车</w:t>
                  </w:r>
                </w:p>
              </w:tc>
              <w:tc>
                <w:tcPr>
                  <w:tcW w:w="247" w:type="pct"/>
                  <w:vAlign w:val="center"/>
                </w:tcPr>
                <w:p w14:paraId="30FA47E7">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vAlign w:val="center"/>
                </w:tcPr>
                <w:p w14:paraId="136AFFA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0" w:type="auto"/>
                  <w:vAlign w:val="center"/>
                </w:tcPr>
                <w:p w14:paraId="4DF95924">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spacing w:val="-3"/>
                      <w:kern w:val="2"/>
                      <w:sz w:val="18"/>
                      <w:szCs w:val="18"/>
                      <w:highlight w:val="none"/>
                      <w:lang w:val="en-US" w:eastAsia="zh-CN" w:bidi="ar-SA"/>
                    </w:rPr>
                  </w:pPr>
                  <w:r>
                    <w:rPr>
                      <w:rFonts w:hint="eastAsia" w:cs="Times New Roman"/>
                      <w:color w:val="auto"/>
                      <w:spacing w:val="-3"/>
                      <w:sz w:val="18"/>
                      <w:szCs w:val="18"/>
                      <w:highlight w:val="none"/>
                      <w:lang w:val="en-US" w:eastAsia="zh-CN"/>
                    </w:rPr>
                    <w:t>80</w:t>
                  </w:r>
                </w:p>
              </w:tc>
              <w:tc>
                <w:tcPr>
                  <w:tcW w:w="309" w:type="pct"/>
                  <w:vMerge w:val="continue"/>
                  <w:vAlign w:val="center"/>
                </w:tcPr>
                <w:p w14:paraId="57B58E0D">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p>
              </w:tc>
              <w:tc>
                <w:tcPr>
                  <w:tcW w:w="288" w:type="pct"/>
                  <w:vAlign w:val="center"/>
                </w:tcPr>
                <w:p w14:paraId="265C2859">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-10</w:t>
                  </w:r>
                </w:p>
              </w:tc>
              <w:tc>
                <w:tcPr>
                  <w:tcW w:w="269" w:type="pct"/>
                  <w:vAlign w:val="center"/>
                </w:tcPr>
                <w:p w14:paraId="7BB9DC7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30</w:t>
                  </w:r>
                </w:p>
              </w:tc>
              <w:tc>
                <w:tcPr>
                  <w:tcW w:w="0" w:type="auto"/>
                  <w:vAlign w:val="center"/>
                </w:tcPr>
                <w:p w14:paraId="602ED2C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c>
                <w:tcPr>
                  <w:tcW w:w="407" w:type="pct"/>
                  <w:vAlign w:val="center"/>
                </w:tcPr>
                <w:p w14:paraId="18D8B3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4F1AD9F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南：30</w:t>
                  </w:r>
                </w:p>
                <w:p w14:paraId="3634C7B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77C47D5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北：70</w:t>
                  </w:r>
                </w:p>
              </w:tc>
              <w:tc>
                <w:tcPr>
                  <w:tcW w:w="422" w:type="pct"/>
                  <w:vAlign w:val="center"/>
                </w:tcPr>
                <w:p w14:paraId="1FC9136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57D20DF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南：35.5</w:t>
                  </w:r>
                </w:p>
                <w:p w14:paraId="11FD1BB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320982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北：28.1</w:t>
                  </w:r>
                </w:p>
              </w:tc>
              <w:tc>
                <w:tcPr>
                  <w:tcW w:w="455" w:type="pct"/>
                  <w:vMerge w:val="continue"/>
                </w:tcPr>
                <w:p w14:paraId="312F33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0" w:type="auto"/>
                  <w:vAlign w:val="center"/>
                </w:tcPr>
                <w:p w14:paraId="3C7D4FC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vAlign w:val="center"/>
                </w:tcPr>
                <w:p w14:paraId="7758346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5046B6D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南：15.5</w:t>
                  </w:r>
                </w:p>
                <w:p w14:paraId="33FCAD2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54060D6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北：8.1</w:t>
                  </w:r>
                </w:p>
              </w:tc>
              <w:tc>
                <w:tcPr>
                  <w:tcW w:w="206" w:type="pct"/>
                  <w:vAlign w:val="center"/>
                </w:tcPr>
                <w:p w14:paraId="41FCDC9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r w14:paraId="77E6F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72" w:hRule="atLeast"/>
              </w:trPr>
              <w:tc>
                <w:tcPr>
                  <w:tcW w:w="194" w:type="pct"/>
                  <w:vAlign w:val="center"/>
                </w:tcPr>
                <w:p w14:paraId="2AEB9FC6">
                  <w:pPr>
                    <w:keepNext w:val="0"/>
                    <w:keepLines w:val="0"/>
                    <w:pageBreakBefore w:val="0"/>
                    <w:widowControl/>
                    <w:numPr>
                      <w:ilvl w:val="0"/>
                      <w:numId w:val="20"/>
                    </w:numPr>
                    <w:kinsoku/>
                    <w:wordWrap/>
                    <w:overflowPunct/>
                    <w:topLinePunct w:val="0"/>
                    <w:autoSpaceDE/>
                    <w:autoSpaceDN/>
                    <w:bidi w:val="0"/>
                    <w:adjustRightInd w:val="0"/>
                    <w:snapToGrid w:val="0"/>
                    <w:spacing w:line="240" w:lineRule="auto"/>
                    <w:ind w:left="425" w:leftChars="0" w:right="0" w:rightChars="0" w:hanging="425" w:firstLineChars="0"/>
                    <w:jc w:val="center"/>
                    <w:textAlignment w:val="auto"/>
                    <w:rPr>
                      <w:rFonts w:hint="eastAsia" w:cs="Times New Roman"/>
                      <w:color w:val="auto"/>
                      <w:sz w:val="18"/>
                      <w:szCs w:val="18"/>
                      <w:highlight w:val="none"/>
                      <w:lang w:val="en-US" w:eastAsia="zh-CN"/>
                    </w:rPr>
                  </w:pPr>
                </w:p>
              </w:tc>
              <w:tc>
                <w:tcPr>
                  <w:tcW w:w="212" w:type="pct"/>
                  <w:vMerge w:val="continue"/>
                </w:tcPr>
                <w:p w14:paraId="49054B5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ascii="Times New Roman" w:hAnsi="Times New Roman" w:cs="Times New Roman"/>
                      <w:color w:val="auto"/>
                      <w:sz w:val="18"/>
                      <w:szCs w:val="18"/>
                      <w:highlight w:val="none"/>
                    </w:rPr>
                  </w:pPr>
                </w:p>
              </w:tc>
              <w:tc>
                <w:tcPr>
                  <w:tcW w:w="372" w:type="pct"/>
                  <w:vAlign w:val="center"/>
                </w:tcPr>
                <w:p w14:paraId="3AA97BDA">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rPr>
                    <w:t>行车</w:t>
                  </w:r>
                </w:p>
              </w:tc>
              <w:tc>
                <w:tcPr>
                  <w:tcW w:w="247" w:type="pct"/>
                  <w:vAlign w:val="center"/>
                </w:tcPr>
                <w:p w14:paraId="165EE3FB">
                  <w:pPr>
                    <w:keepNext w:val="0"/>
                    <w:keepLines w:val="0"/>
                    <w:pageBreakBefore w:val="0"/>
                    <w:kinsoku/>
                    <w:wordWrap/>
                    <w:overflowPunct/>
                    <w:topLinePunct w:val="0"/>
                    <w:bidi w:val="0"/>
                    <w:ind w:left="0" w:leftChars="0" w:right="0" w:rightChars="0"/>
                    <w:jc w:val="center"/>
                    <w:textAlignment w:val="auto"/>
                    <w:rPr>
                      <w:rFonts w:hint="default" w:ascii="Times New Roman" w:hAnsi="Times New Roman" w:eastAsia="宋体" w:cs="Times New Roman"/>
                      <w:color w:val="auto"/>
                      <w:kern w:val="2"/>
                      <w:sz w:val="18"/>
                      <w:szCs w:val="18"/>
                      <w:lang w:val="en-US" w:eastAsia="zh-CN" w:bidi="ar-SA"/>
                    </w:rPr>
                  </w:pPr>
                  <w:r>
                    <w:rPr>
                      <w:rFonts w:hint="eastAsia" w:cs="Times New Roman"/>
                      <w:color w:val="auto"/>
                      <w:kern w:val="2"/>
                      <w:sz w:val="18"/>
                      <w:szCs w:val="18"/>
                      <w:lang w:val="en-US" w:eastAsia="zh-CN" w:bidi="ar-SA"/>
                    </w:rPr>
                    <w:t>/</w:t>
                  </w:r>
                </w:p>
              </w:tc>
              <w:tc>
                <w:tcPr>
                  <w:tcW w:w="284" w:type="pct"/>
                  <w:vAlign w:val="center"/>
                </w:tcPr>
                <w:p w14:paraId="1E782EB3">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kern w:val="2"/>
                      <w:sz w:val="18"/>
                      <w:szCs w:val="18"/>
                      <w:lang w:val="en-US" w:eastAsia="zh-CN" w:bidi="ar-SA"/>
                    </w:rPr>
                  </w:pPr>
                  <w:r>
                    <w:rPr>
                      <w:rFonts w:hint="eastAsia"/>
                      <w:color w:val="auto"/>
                      <w:sz w:val="18"/>
                      <w:szCs w:val="18"/>
                      <w:lang w:val="en-US" w:eastAsia="zh-CN"/>
                    </w:rPr>
                    <w:t>1</w:t>
                  </w:r>
                </w:p>
              </w:tc>
              <w:tc>
                <w:tcPr>
                  <w:tcW w:w="0" w:type="auto"/>
                  <w:vAlign w:val="center"/>
                </w:tcPr>
                <w:p w14:paraId="0941A59F">
                  <w:pPr>
                    <w:keepNext w:val="0"/>
                    <w:keepLines w:val="0"/>
                    <w:pageBreakBefore w:val="0"/>
                    <w:kinsoku/>
                    <w:wordWrap/>
                    <w:overflowPunct/>
                    <w:topLinePunct w:val="0"/>
                    <w:bidi w:val="0"/>
                    <w:ind w:left="0" w:leftChars="0" w:right="0" w:rightChars="0"/>
                    <w:jc w:val="center"/>
                    <w:textAlignment w:val="auto"/>
                    <w:rPr>
                      <w:rFonts w:hint="eastAsia" w:ascii="Times New Roman" w:hAnsi="Times New Roman" w:eastAsia="宋体" w:cs="Times New Roman"/>
                      <w:color w:val="auto"/>
                      <w:spacing w:val="-3"/>
                      <w:kern w:val="2"/>
                      <w:sz w:val="18"/>
                      <w:szCs w:val="18"/>
                      <w:highlight w:val="none"/>
                      <w:lang w:val="en-US" w:eastAsia="zh-CN" w:bidi="ar-SA"/>
                    </w:rPr>
                  </w:pPr>
                  <w:r>
                    <w:rPr>
                      <w:rFonts w:hint="eastAsia" w:cs="Times New Roman"/>
                      <w:color w:val="auto"/>
                      <w:spacing w:val="-3"/>
                      <w:sz w:val="18"/>
                      <w:szCs w:val="18"/>
                      <w:highlight w:val="none"/>
                      <w:lang w:val="en-US" w:eastAsia="zh-CN"/>
                    </w:rPr>
                    <w:t>80</w:t>
                  </w:r>
                </w:p>
              </w:tc>
              <w:tc>
                <w:tcPr>
                  <w:tcW w:w="309" w:type="pct"/>
                  <w:vMerge w:val="continue"/>
                  <w:vAlign w:val="center"/>
                </w:tcPr>
                <w:p w14:paraId="24725CE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宋体" w:cs="Times New Roman"/>
                      <w:color w:val="auto"/>
                      <w:spacing w:val="-1"/>
                      <w:kern w:val="2"/>
                      <w:sz w:val="18"/>
                      <w:szCs w:val="18"/>
                      <w:highlight w:val="none"/>
                      <w:lang w:val="en-US" w:eastAsia="zh-CN" w:bidi="ar-SA"/>
                    </w:rPr>
                  </w:pPr>
                </w:p>
              </w:tc>
              <w:tc>
                <w:tcPr>
                  <w:tcW w:w="288" w:type="pct"/>
                  <w:vAlign w:val="center"/>
                </w:tcPr>
                <w:p w14:paraId="7E6E8968">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2"/>
                      <w:kern w:val="2"/>
                      <w:sz w:val="18"/>
                      <w:szCs w:val="18"/>
                      <w:highlight w:val="none"/>
                      <w:lang w:val="en-US" w:eastAsia="zh-CN" w:bidi="ar-SA"/>
                    </w:rPr>
                  </w:pPr>
                  <w:r>
                    <w:rPr>
                      <w:rFonts w:hint="eastAsia" w:cs="Times New Roman"/>
                      <w:color w:val="auto"/>
                      <w:spacing w:val="-2"/>
                      <w:sz w:val="18"/>
                      <w:szCs w:val="18"/>
                      <w:highlight w:val="none"/>
                      <w:lang w:val="en-US" w:eastAsia="zh-CN"/>
                    </w:rPr>
                    <w:t>-10</w:t>
                  </w:r>
                </w:p>
              </w:tc>
              <w:tc>
                <w:tcPr>
                  <w:tcW w:w="269" w:type="pct"/>
                  <w:vAlign w:val="center"/>
                </w:tcPr>
                <w:p w14:paraId="6A1D358A">
                  <w:pPr>
                    <w:keepNext w:val="0"/>
                    <w:keepLines w:val="0"/>
                    <w:pageBreakBefore w:val="0"/>
                    <w:widowControl w:val="0"/>
                    <w:kinsoku/>
                    <w:wordWrap/>
                    <w:overflowPunct/>
                    <w:topLinePunct w:val="0"/>
                    <w:autoSpaceDE w:val="0"/>
                    <w:autoSpaceDN w:val="0"/>
                    <w:bidi w:val="0"/>
                    <w:spacing w:line="360" w:lineRule="exact"/>
                    <w:ind w:left="0" w:leftChars="0" w:right="0" w:rightChars="0"/>
                    <w:jc w:val="center"/>
                    <w:textAlignment w:val="auto"/>
                    <w:rPr>
                      <w:rFonts w:hint="eastAsia" w:ascii="Times New Roman" w:hAnsi="Times New Roman" w:eastAsia="宋体" w:cs="Times New Roman"/>
                      <w:color w:val="auto"/>
                      <w:spacing w:val="-1"/>
                      <w:kern w:val="2"/>
                      <w:sz w:val="18"/>
                      <w:szCs w:val="18"/>
                      <w:highlight w:val="none"/>
                      <w:lang w:val="en-US" w:eastAsia="zh-CN" w:bidi="ar-SA"/>
                    </w:rPr>
                  </w:pPr>
                  <w:r>
                    <w:rPr>
                      <w:rFonts w:hint="eastAsia" w:cs="Times New Roman"/>
                      <w:color w:val="auto"/>
                      <w:spacing w:val="-1"/>
                      <w:sz w:val="18"/>
                      <w:szCs w:val="18"/>
                      <w:highlight w:val="none"/>
                      <w:lang w:val="en-US" w:eastAsia="zh-CN"/>
                    </w:rPr>
                    <w:t>50</w:t>
                  </w:r>
                </w:p>
              </w:tc>
              <w:tc>
                <w:tcPr>
                  <w:tcW w:w="0" w:type="auto"/>
                  <w:vAlign w:val="center"/>
                </w:tcPr>
                <w:p w14:paraId="1BF8448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10</w:t>
                  </w:r>
                </w:p>
              </w:tc>
              <w:tc>
                <w:tcPr>
                  <w:tcW w:w="407" w:type="pct"/>
                  <w:vAlign w:val="center"/>
                </w:tcPr>
                <w:p w14:paraId="3F08E7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东：10</w:t>
                  </w:r>
                </w:p>
                <w:p w14:paraId="6A0EF7E6">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南：50</w:t>
                  </w:r>
                </w:p>
                <w:p w14:paraId="00D38BE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西：10</w:t>
                  </w:r>
                </w:p>
                <w:p w14:paraId="60D7FB75">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color w:val="auto"/>
                      <w:sz w:val="18"/>
                      <w:szCs w:val="18"/>
                      <w:highlight w:val="none"/>
                      <w:lang w:val="en-US" w:eastAsia="zh-CN"/>
                    </w:rPr>
                    <w:t>北：50</w:t>
                  </w:r>
                </w:p>
              </w:tc>
              <w:tc>
                <w:tcPr>
                  <w:tcW w:w="422" w:type="pct"/>
                  <w:vAlign w:val="center"/>
                </w:tcPr>
                <w:p w14:paraId="1A2B370F">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东：45</w:t>
                  </w:r>
                </w:p>
                <w:p w14:paraId="1BF2867C">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南：31</w:t>
                  </w:r>
                </w:p>
                <w:p w14:paraId="02F541B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西：45</w:t>
                  </w:r>
                </w:p>
                <w:p w14:paraId="2A299EA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北：31</w:t>
                  </w:r>
                </w:p>
              </w:tc>
              <w:tc>
                <w:tcPr>
                  <w:tcW w:w="455" w:type="pct"/>
                  <w:vMerge w:val="continue"/>
                </w:tcPr>
                <w:p w14:paraId="6CCFA10B">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eastAsia="宋体" w:cs="Times New Roman"/>
                      <w:color w:val="auto"/>
                      <w:spacing w:val="-1"/>
                      <w:sz w:val="18"/>
                      <w:szCs w:val="18"/>
                      <w:highlight w:val="none"/>
                      <w:lang w:val="en-US" w:eastAsia="zh-CN"/>
                    </w:rPr>
                  </w:pPr>
                </w:p>
              </w:tc>
              <w:tc>
                <w:tcPr>
                  <w:tcW w:w="0" w:type="auto"/>
                  <w:vAlign w:val="center"/>
                </w:tcPr>
                <w:p w14:paraId="0E5A1ACE">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eastAsia" w:cs="Times New Roman"/>
                      <w:color w:val="auto"/>
                      <w:spacing w:val="-1"/>
                      <w:sz w:val="18"/>
                      <w:szCs w:val="18"/>
                      <w:highlight w:val="none"/>
                      <w:lang w:val="en-US" w:eastAsia="zh-CN"/>
                    </w:rPr>
                  </w:pPr>
                  <w:r>
                    <w:rPr>
                      <w:rFonts w:hint="eastAsia" w:cs="Times New Roman"/>
                      <w:color w:val="auto"/>
                      <w:spacing w:val="-1"/>
                      <w:sz w:val="18"/>
                      <w:szCs w:val="18"/>
                      <w:highlight w:val="none"/>
                      <w:lang w:val="en-US" w:eastAsia="zh-CN"/>
                    </w:rPr>
                    <w:t>20</w:t>
                  </w:r>
                </w:p>
              </w:tc>
              <w:tc>
                <w:tcPr>
                  <w:tcW w:w="438" w:type="pct"/>
                  <w:vAlign w:val="center"/>
                </w:tcPr>
                <w:p w14:paraId="55C18017">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东：25</w:t>
                  </w:r>
                </w:p>
                <w:p w14:paraId="6E99AB6A">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南：11</w:t>
                  </w:r>
                </w:p>
                <w:p w14:paraId="7C7A4930">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西：25</w:t>
                  </w:r>
                </w:p>
                <w:p w14:paraId="6C9997F9">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北：11</w:t>
                  </w:r>
                </w:p>
              </w:tc>
              <w:tc>
                <w:tcPr>
                  <w:tcW w:w="206" w:type="pct"/>
                  <w:vAlign w:val="center"/>
                </w:tcPr>
                <w:p w14:paraId="1216A184">
                  <w:pPr>
                    <w:keepNext w:val="0"/>
                    <w:keepLines w:val="0"/>
                    <w:pageBreakBefore w:val="0"/>
                    <w:widowControl/>
                    <w:kinsoku/>
                    <w:wordWrap/>
                    <w:overflowPunct/>
                    <w:topLinePunct w:val="0"/>
                    <w:autoSpaceDE/>
                    <w:autoSpaceDN/>
                    <w:bidi w:val="0"/>
                    <w:adjustRightInd w:val="0"/>
                    <w:snapToGrid w:val="0"/>
                    <w:spacing w:line="240" w:lineRule="auto"/>
                    <w:ind w:left="0" w:leftChars="0" w:right="0" w:rightChars="0" w:firstLine="0" w:firstLineChars="0"/>
                    <w:jc w:val="center"/>
                    <w:textAlignment w:val="auto"/>
                    <w:rPr>
                      <w:rFonts w:hint="default" w:ascii="Times New Roman" w:hAnsi="Times New Roman" w:eastAsia="Times New Roman" w:cs="Times New Roman"/>
                      <w:color w:val="auto"/>
                      <w:sz w:val="18"/>
                      <w:szCs w:val="18"/>
                      <w:highlight w:val="none"/>
                    </w:rPr>
                  </w:pPr>
                  <w:r>
                    <w:rPr>
                      <w:rFonts w:hint="default" w:ascii="Times New Roman" w:hAnsi="Times New Roman" w:eastAsia="Times New Roman" w:cs="Times New Roman"/>
                      <w:color w:val="auto"/>
                      <w:sz w:val="18"/>
                      <w:szCs w:val="18"/>
                      <w:highlight w:val="none"/>
                    </w:rPr>
                    <w:t>1</w:t>
                  </w:r>
                </w:p>
              </w:tc>
            </w:tr>
          </w:tbl>
          <w:p w14:paraId="637FFA6D">
            <w:pPr>
              <w:spacing w:line="420" w:lineRule="exact"/>
              <w:ind w:firstLine="422" w:firstLineChars="200"/>
              <w:rPr>
                <w:b/>
                <w:bCs/>
              </w:rPr>
            </w:pPr>
            <w:r>
              <w:rPr>
                <w:b/>
                <w:bCs/>
              </w:rPr>
              <w:t>2、达标分析</w:t>
            </w:r>
          </w:p>
          <w:p w14:paraId="13023DC7">
            <w:pPr>
              <w:spacing w:line="360" w:lineRule="auto"/>
              <w:ind w:firstLine="420" w:firstLineChars="200"/>
              <w:rPr>
                <w:rFonts w:hint="default" w:ascii="Times New Roman" w:hAnsi="Times New Roman" w:cs="Times New Roman"/>
                <w:color w:val="auto"/>
                <w:szCs w:val="21"/>
                <w:highlight w:val="none"/>
              </w:rPr>
            </w:pPr>
            <w:r>
              <w:rPr>
                <w:rFonts w:hint="default" w:ascii="Times New Roman" w:hAnsi="Times New Roman" w:cs="Times New Roman"/>
                <w:color w:val="auto"/>
                <w:szCs w:val="21"/>
                <w:highlight w:val="none"/>
              </w:rPr>
              <w:t>依据《环境工作手册-环境噪声控制卷》（高等教育出版社，2000年）可知，采取隔减振等措施均可达到10~25dB</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的隔声（消声）量，墙壁可降低23~30dB</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A</w:t>
            </w:r>
            <w:r>
              <w:rPr>
                <w:rFonts w:hint="default" w:ascii="Times New Roman" w:hAnsi="Times New Roman" w:cs="Times New Roman"/>
                <w:color w:val="auto"/>
                <w:szCs w:val="21"/>
                <w:highlight w:val="none"/>
                <w:lang w:eastAsia="zh-CN"/>
              </w:rPr>
              <w:t>）</w:t>
            </w:r>
            <w:r>
              <w:rPr>
                <w:rFonts w:hint="default" w:ascii="Times New Roman" w:hAnsi="Times New Roman" w:cs="Times New Roman"/>
                <w:color w:val="auto"/>
                <w:szCs w:val="21"/>
                <w:highlight w:val="none"/>
              </w:rPr>
              <w:t>的噪声。本项目各风机、泵类等设施均配套隔声罩。</w:t>
            </w:r>
          </w:p>
          <w:p w14:paraId="2D48211B">
            <w:pPr>
              <w:keepNext w:val="0"/>
              <w:keepLines w:val="0"/>
              <w:pageBreakBefore w:val="0"/>
              <w:widowControl w:val="0"/>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auto"/>
              </w:rPr>
            </w:pPr>
            <w:r>
              <w:rPr>
                <w:rFonts w:hint="default" w:ascii="Times New Roman" w:hAnsi="Times New Roman" w:cs="Times New Roman"/>
                <w:color w:val="auto"/>
              </w:rPr>
              <w:t>本次环境影响评价采用《环境影响评价技术导则</w:t>
            </w:r>
            <w:r>
              <w:rPr>
                <w:rFonts w:hint="default" w:ascii="Times New Roman" w:hAnsi="Times New Roman" w:cs="Times New Roman"/>
                <w:color w:val="auto"/>
                <w:lang w:val="en-US" w:eastAsia="zh-CN"/>
              </w:rPr>
              <w:t xml:space="preserve">  </w:t>
            </w:r>
            <w:r>
              <w:rPr>
                <w:rFonts w:hint="default" w:ascii="Times New Roman" w:hAnsi="Times New Roman" w:cs="Times New Roman"/>
                <w:color w:val="auto"/>
              </w:rPr>
              <w:t>声环境》（HJ2.4-20</w:t>
            </w:r>
            <w:r>
              <w:rPr>
                <w:rFonts w:hint="default" w:ascii="Times New Roman" w:hAnsi="Times New Roman" w:cs="Times New Roman"/>
                <w:color w:val="auto"/>
                <w:lang w:val="en-US" w:eastAsia="zh-CN"/>
              </w:rPr>
              <w:t>21</w:t>
            </w:r>
            <w:r>
              <w:rPr>
                <w:rFonts w:hint="default" w:ascii="Times New Roman" w:hAnsi="Times New Roman" w:cs="Times New Roman"/>
                <w:color w:val="auto"/>
              </w:rPr>
              <w:t>）中推荐的模式</w:t>
            </w:r>
            <w:r>
              <w:rPr>
                <w:rFonts w:hint="default" w:ascii="Times New Roman" w:hAnsi="Times New Roman" w:cs="Times New Roman"/>
                <w:color w:val="auto"/>
                <w:lang w:eastAsia="zh-CN"/>
              </w:rPr>
              <w:t>－－</w:t>
            </w:r>
            <w:r>
              <w:rPr>
                <w:rFonts w:hint="default" w:ascii="Times New Roman" w:hAnsi="Times New Roman" w:cs="Times New Roman"/>
                <w:color w:val="auto"/>
              </w:rPr>
              <w:t>工业噪声预测模式进行预测，预测模式如下：</w:t>
            </w:r>
          </w:p>
          <w:p w14:paraId="6EF507D0">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eastAsia"/>
                <w:sz w:val="21"/>
                <w:szCs w:val="21"/>
              </w:rPr>
              <w:t>①</w:t>
            </w:r>
            <w:r>
              <w:rPr>
                <w:rFonts w:hint="default"/>
                <w:sz w:val="21"/>
                <w:szCs w:val="21"/>
              </w:rPr>
              <w:t>室内声源在预测点的声压级计算：</w:t>
            </w:r>
          </w:p>
          <w:p w14:paraId="32DBB514">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a、首先计算某个室内声源在靠近围护结构处的声压级：</w:t>
            </w:r>
          </w:p>
          <w:p w14:paraId="2177C929">
            <w:pPr>
              <w:keepNext w:val="0"/>
              <w:keepLines w:val="0"/>
              <w:suppressLineNumbers w:val="0"/>
              <w:spacing w:before="0" w:beforeAutospacing="0" w:after="0" w:afterAutospacing="0" w:line="360" w:lineRule="auto"/>
              <w:ind w:left="0" w:right="0"/>
              <w:jc w:val="center"/>
              <w:rPr>
                <w:rFonts w:hint="default"/>
                <w:sz w:val="21"/>
                <w:szCs w:val="21"/>
              </w:rPr>
            </w:pPr>
            <w:r>
              <w:rPr>
                <w:rFonts w:hint="default"/>
                <w:sz w:val="21"/>
                <w:szCs w:val="21"/>
              </w:rPr>
              <w:t>L</w:t>
            </w:r>
            <w:r>
              <w:rPr>
                <w:rFonts w:hint="default"/>
                <w:sz w:val="21"/>
                <w:szCs w:val="21"/>
                <w:vertAlign w:val="subscript"/>
              </w:rPr>
              <w:t>p1</w:t>
            </w:r>
            <w:r>
              <w:rPr>
                <w:rFonts w:hint="default"/>
                <w:sz w:val="21"/>
                <w:szCs w:val="21"/>
              </w:rPr>
              <w:t>＝L</w:t>
            </w:r>
            <w:r>
              <w:rPr>
                <w:rFonts w:hint="default"/>
                <w:sz w:val="21"/>
                <w:szCs w:val="21"/>
                <w:vertAlign w:val="subscript"/>
              </w:rPr>
              <w:t>w</w:t>
            </w:r>
            <w:r>
              <w:rPr>
                <w:rFonts w:hint="default"/>
                <w:sz w:val="21"/>
                <w:szCs w:val="21"/>
              </w:rPr>
              <w:t>+10lg（Q/4πr2+4/R）</w:t>
            </w:r>
          </w:p>
          <w:p w14:paraId="6D46FF8A">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式中：L</w:t>
            </w:r>
            <w:r>
              <w:rPr>
                <w:rFonts w:hint="default"/>
                <w:sz w:val="21"/>
                <w:szCs w:val="21"/>
                <w:vertAlign w:val="subscript"/>
              </w:rPr>
              <w:t>p1</w:t>
            </w:r>
            <w:r>
              <w:rPr>
                <w:rFonts w:hint="default"/>
                <w:sz w:val="21"/>
                <w:szCs w:val="21"/>
              </w:rPr>
              <w:t>—靠近开口处（或窗户）室内某倍频带的声压级或A声级；</w:t>
            </w:r>
          </w:p>
          <w:p w14:paraId="7C6625A6">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L</w:t>
            </w:r>
            <w:r>
              <w:rPr>
                <w:rFonts w:hint="default"/>
                <w:sz w:val="21"/>
                <w:szCs w:val="21"/>
                <w:vertAlign w:val="subscript"/>
              </w:rPr>
              <w:t>w</w:t>
            </w:r>
            <w:r>
              <w:rPr>
                <w:rFonts w:hint="default"/>
                <w:sz w:val="21"/>
                <w:szCs w:val="21"/>
              </w:rPr>
              <w:t>—点声源声功率级（A计权或倍频带），dB；</w:t>
            </w:r>
          </w:p>
          <w:p w14:paraId="38908D69">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r—声源与靠近围护结构某点处的距离，m；</w:t>
            </w:r>
          </w:p>
          <w:p w14:paraId="6B8A9C3C">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R—房间常数；R=Sa/（1-a），S为房间内表面积，m</w:t>
            </w:r>
            <w:r>
              <w:rPr>
                <w:rFonts w:hint="default"/>
                <w:sz w:val="21"/>
                <w:szCs w:val="21"/>
                <w:vertAlign w:val="superscript"/>
              </w:rPr>
              <w:t>2</w:t>
            </w:r>
            <w:r>
              <w:rPr>
                <w:rFonts w:hint="default"/>
                <w:sz w:val="21"/>
                <w:szCs w:val="21"/>
              </w:rPr>
              <w:t>，a为平均吸声系数；</w:t>
            </w:r>
          </w:p>
          <w:p w14:paraId="7CDEFC28">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Q—指向性因数；通常对无指向性声源，当声源放在房间中心时，Q=1；当放在一面墙的中心时，Q=2；当放在两面墙夹角处时，Q=4；当放在三面墙夹角处时，Q=8。</w:t>
            </w:r>
          </w:p>
          <w:p w14:paraId="6C4F2F5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b、计算所有室内声源在围护结构处产生的i倍频带叠加声压级：</w:t>
            </w:r>
          </w:p>
          <w:p w14:paraId="55854D13">
            <w:pPr>
              <w:keepNext w:val="0"/>
              <w:keepLines w:val="0"/>
              <w:suppressLineNumbers w:val="0"/>
              <w:spacing w:before="0" w:beforeAutospacing="0" w:after="0" w:afterAutospacing="0" w:line="360" w:lineRule="auto"/>
              <w:ind w:left="0" w:right="0"/>
              <w:jc w:val="center"/>
              <w:rPr>
                <w:rFonts w:hint="default"/>
                <w:sz w:val="21"/>
                <w:szCs w:val="21"/>
              </w:rPr>
            </w:pPr>
            <w:r>
              <w:rPr>
                <w:rFonts w:hint="default"/>
                <w:sz w:val="21"/>
                <w:szCs w:val="21"/>
              </w:rPr>
              <w:drawing>
                <wp:inline distT="0" distB="0" distL="114300" distR="114300">
                  <wp:extent cx="1478280" cy="434340"/>
                  <wp:effectExtent l="0" t="0" r="7620" b="3810"/>
                  <wp:docPr id="10"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4"/>
                          <pic:cNvPicPr>
                            <a:picLocks noChangeAspect="1"/>
                          </pic:cNvPicPr>
                        </pic:nvPicPr>
                        <pic:blipFill>
                          <a:blip r:embed="rId48"/>
                          <a:stretch>
                            <a:fillRect/>
                          </a:stretch>
                        </pic:blipFill>
                        <pic:spPr>
                          <a:xfrm>
                            <a:off x="0" y="0"/>
                            <a:ext cx="1478280" cy="434340"/>
                          </a:xfrm>
                          <a:prstGeom prst="rect">
                            <a:avLst/>
                          </a:prstGeom>
                          <a:noFill/>
                          <a:ln>
                            <a:noFill/>
                          </a:ln>
                        </pic:spPr>
                      </pic:pic>
                    </a:graphicData>
                  </a:graphic>
                </wp:inline>
              </w:drawing>
            </w:r>
          </w:p>
          <w:p w14:paraId="5CAEEB76">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式中：L</w:t>
            </w:r>
            <w:r>
              <w:rPr>
                <w:rFonts w:hint="default"/>
                <w:sz w:val="21"/>
                <w:szCs w:val="21"/>
                <w:vertAlign w:val="subscript"/>
              </w:rPr>
              <w:t>pli</w:t>
            </w:r>
            <w:r>
              <w:rPr>
                <w:rFonts w:hint="default"/>
                <w:sz w:val="21"/>
                <w:szCs w:val="21"/>
              </w:rPr>
              <w:t>（T）—靠近围护结构处室外N个声源i倍频带的叠加声压级，dB；</w:t>
            </w:r>
          </w:p>
          <w:p w14:paraId="146B38ED">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L</w:t>
            </w:r>
            <w:r>
              <w:rPr>
                <w:rFonts w:hint="default"/>
                <w:sz w:val="21"/>
                <w:szCs w:val="21"/>
                <w:vertAlign w:val="subscript"/>
              </w:rPr>
              <w:t>1ij</w:t>
            </w:r>
            <w:r>
              <w:rPr>
                <w:rFonts w:hint="default"/>
                <w:sz w:val="21"/>
                <w:szCs w:val="21"/>
              </w:rPr>
              <w:t>—室内声源i倍频带的声压级，dB；</w:t>
            </w:r>
          </w:p>
          <w:p w14:paraId="4DE6413A">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N—室内声源总数。</w:t>
            </w:r>
          </w:p>
          <w:p w14:paraId="7AD60D4F">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c、将室外声源的声压级和透过面积换算成等效的室外声源，计算出中心位置位于透声面积（S）处的等效声源的倍频带声功率级。</w:t>
            </w:r>
          </w:p>
          <w:p w14:paraId="010FFD67">
            <w:pPr>
              <w:keepNext w:val="0"/>
              <w:keepLines w:val="0"/>
              <w:suppressLineNumbers w:val="0"/>
              <w:spacing w:before="0" w:beforeAutospacing="0" w:after="0" w:afterAutospacing="0" w:line="360" w:lineRule="auto"/>
              <w:ind w:left="0" w:right="0"/>
              <w:jc w:val="center"/>
              <w:rPr>
                <w:rFonts w:hint="default"/>
                <w:sz w:val="21"/>
                <w:szCs w:val="21"/>
              </w:rPr>
            </w:pPr>
            <w:r>
              <w:rPr>
                <w:rFonts w:hint="default"/>
                <w:sz w:val="21"/>
                <w:szCs w:val="21"/>
              </w:rPr>
              <w:t>L</w:t>
            </w:r>
            <w:r>
              <w:rPr>
                <w:rFonts w:hint="default"/>
                <w:sz w:val="21"/>
                <w:szCs w:val="21"/>
                <w:vertAlign w:val="subscript"/>
              </w:rPr>
              <w:t>w</w:t>
            </w:r>
            <w:r>
              <w:rPr>
                <w:rFonts w:hint="default"/>
                <w:sz w:val="21"/>
                <w:szCs w:val="21"/>
              </w:rPr>
              <w:t>＝L</w:t>
            </w:r>
            <w:r>
              <w:rPr>
                <w:rFonts w:hint="default"/>
                <w:sz w:val="21"/>
                <w:szCs w:val="21"/>
                <w:vertAlign w:val="subscript"/>
              </w:rPr>
              <w:t>p2</w:t>
            </w:r>
            <w:r>
              <w:rPr>
                <w:rFonts w:hint="default"/>
                <w:sz w:val="21"/>
                <w:szCs w:val="21"/>
              </w:rPr>
              <w:t>（T）+10lgS</w:t>
            </w:r>
          </w:p>
          <w:p w14:paraId="4AB722EE">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式中：L</w:t>
            </w:r>
            <w:r>
              <w:rPr>
                <w:rFonts w:hint="default"/>
                <w:sz w:val="21"/>
                <w:szCs w:val="21"/>
                <w:vertAlign w:val="subscript"/>
              </w:rPr>
              <w:t>w</w:t>
            </w:r>
            <w:r>
              <w:rPr>
                <w:rFonts w:hint="default"/>
                <w:sz w:val="21"/>
                <w:szCs w:val="21"/>
              </w:rPr>
              <w:t>—中心位置位于透声面积（S）处的等效声源的倍频带声功率级，dB；</w:t>
            </w:r>
          </w:p>
          <w:p w14:paraId="3936F910">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L</w:t>
            </w:r>
            <w:r>
              <w:rPr>
                <w:rFonts w:hint="default"/>
                <w:sz w:val="21"/>
                <w:szCs w:val="21"/>
                <w:vertAlign w:val="subscript"/>
              </w:rPr>
              <w:t>p2</w:t>
            </w:r>
            <w:r>
              <w:rPr>
                <w:rFonts w:hint="default"/>
                <w:sz w:val="21"/>
                <w:szCs w:val="21"/>
              </w:rPr>
              <w:t>（T）—靠近围护结构处室外声源的声压级，dB</w:t>
            </w:r>
          </w:p>
          <w:p w14:paraId="7674F95D">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S—透声面积，m</w:t>
            </w:r>
            <w:r>
              <w:rPr>
                <w:rFonts w:hint="default"/>
                <w:sz w:val="21"/>
                <w:szCs w:val="21"/>
                <w:vertAlign w:val="superscript"/>
              </w:rPr>
              <w:t>2</w:t>
            </w:r>
            <w:r>
              <w:rPr>
                <w:rFonts w:hint="default"/>
                <w:sz w:val="21"/>
                <w:szCs w:val="21"/>
              </w:rPr>
              <w:t>。</w:t>
            </w:r>
          </w:p>
          <w:p w14:paraId="5E5301D9">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eastAsia"/>
                <w:sz w:val="21"/>
                <w:szCs w:val="21"/>
              </w:rPr>
              <w:t>②</w:t>
            </w:r>
            <w:r>
              <w:rPr>
                <w:rFonts w:hint="default"/>
                <w:sz w:val="21"/>
                <w:szCs w:val="21"/>
              </w:rPr>
              <w:t>总声级的计算</w:t>
            </w:r>
          </w:p>
          <w:p w14:paraId="1AAD69D0">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设第i个室外声源在预测点产生的A声级为L</w:t>
            </w:r>
            <w:r>
              <w:rPr>
                <w:rFonts w:hint="default"/>
                <w:sz w:val="21"/>
                <w:szCs w:val="21"/>
                <w:vertAlign w:val="subscript"/>
              </w:rPr>
              <w:t>Ai</w:t>
            </w:r>
            <w:r>
              <w:rPr>
                <w:rFonts w:hint="default"/>
                <w:sz w:val="21"/>
                <w:szCs w:val="21"/>
              </w:rPr>
              <w:t>，在T时间内该声源工作时间为t</w:t>
            </w:r>
            <w:r>
              <w:rPr>
                <w:rFonts w:hint="default"/>
                <w:sz w:val="21"/>
                <w:szCs w:val="21"/>
                <w:vertAlign w:val="subscript"/>
              </w:rPr>
              <w:t>i</w:t>
            </w:r>
            <w:r>
              <w:rPr>
                <w:rFonts w:hint="default"/>
                <w:sz w:val="21"/>
                <w:szCs w:val="21"/>
              </w:rPr>
              <w:t>；第j个等效室外声源在预测点产生的A声级为L</w:t>
            </w:r>
            <w:r>
              <w:rPr>
                <w:rFonts w:hint="default"/>
                <w:sz w:val="21"/>
                <w:szCs w:val="21"/>
                <w:vertAlign w:val="subscript"/>
              </w:rPr>
              <w:t>Aj</w:t>
            </w:r>
            <w:r>
              <w:rPr>
                <w:rFonts w:hint="default"/>
                <w:sz w:val="21"/>
                <w:szCs w:val="21"/>
              </w:rPr>
              <w:t>，在T时间内该声源工作时间为t</w:t>
            </w:r>
            <w:r>
              <w:rPr>
                <w:rFonts w:hint="default"/>
                <w:sz w:val="21"/>
                <w:szCs w:val="21"/>
                <w:vertAlign w:val="subscript"/>
              </w:rPr>
              <w:t>j</w:t>
            </w:r>
            <w:r>
              <w:rPr>
                <w:rFonts w:hint="default"/>
                <w:sz w:val="21"/>
                <w:szCs w:val="21"/>
              </w:rPr>
              <w:t>，则预测点的总有效声级为：</w:t>
            </w:r>
          </w:p>
          <w:p w14:paraId="60EAF33E">
            <w:pPr>
              <w:keepNext w:val="0"/>
              <w:keepLines w:val="0"/>
              <w:suppressLineNumbers w:val="0"/>
              <w:spacing w:before="0" w:beforeAutospacing="0" w:after="0" w:afterAutospacing="0" w:line="360" w:lineRule="auto"/>
              <w:ind w:left="0" w:right="0"/>
              <w:jc w:val="center"/>
              <w:rPr>
                <w:rFonts w:hint="default"/>
                <w:sz w:val="21"/>
                <w:szCs w:val="21"/>
              </w:rPr>
            </w:pPr>
            <w:r>
              <w:rPr>
                <w:rFonts w:hint="default"/>
                <w:sz w:val="21"/>
                <w:szCs w:val="21"/>
              </w:rPr>
              <w:object>
                <v:shape id="_x0000_i1042" o:spt="75" type="#_x0000_t75" style="height:34.8pt;width:217.2pt;" o:ole="t" filled="f" o:preferrelative="t" stroked="f" coordsize="21600,21600">
                  <v:path/>
                  <v:fill on="f" focussize="0,0"/>
                  <v:stroke on="f"/>
                  <v:imagedata r:id="rId50" embosscolor="#FFFFFF" o:title=""/>
                  <o:lock v:ext="edit" grouping="f" rotation="f" text="f" aspectratio="t"/>
                  <w10:wrap type="none"/>
                  <w10:anchorlock/>
                </v:shape>
                <o:OLEObject Type="Embed" ProgID="Equation.3" ShapeID="_x0000_i1042" DrawAspect="Content" ObjectID="_1468075742" r:id="rId49">
                  <o:LockedField>false</o:LockedField>
                </o:OLEObject>
              </w:object>
            </w:r>
          </w:p>
          <w:p w14:paraId="1925F779">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式中：L</w:t>
            </w:r>
            <w:r>
              <w:rPr>
                <w:rFonts w:hint="default"/>
                <w:sz w:val="21"/>
                <w:szCs w:val="21"/>
                <w:vertAlign w:val="subscript"/>
              </w:rPr>
              <w:t>eqg</w:t>
            </w:r>
            <w:r>
              <w:rPr>
                <w:rFonts w:hint="default"/>
                <w:sz w:val="21"/>
                <w:szCs w:val="21"/>
              </w:rPr>
              <w:t>—建设项目声源在预测点产生的噪声贡献值，dB；</w:t>
            </w:r>
          </w:p>
          <w:p w14:paraId="4571BA96">
            <w:pPr>
              <w:keepNext w:val="0"/>
              <w:keepLines w:val="0"/>
              <w:suppressLineNumbers w:val="0"/>
              <w:spacing w:before="0" w:beforeAutospacing="0" w:after="0" w:afterAutospacing="0" w:line="360" w:lineRule="auto"/>
              <w:ind w:left="0" w:right="0" w:firstLine="1680" w:firstLineChars="800"/>
              <w:rPr>
                <w:rFonts w:hint="default"/>
                <w:sz w:val="21"/>
                <w:szCs w:val="21"/>
              </w:rPr>
            </w:pPr>
            <w:r>
              <w:rPr>
                <w:rFonts w:hint="default"/>
                <w:sz w:val="21"/>
                <w:szCs w:val="21"/>
              </w:rPr>
              <w:t>T—计算等效声级的时间，s；</w:t>
            </w:r>
          </w:p>
          <w:p w14:paraId="4D3C65B2">
            <w:pPr>
              <w:keepNext w:val="0"/>
              <w:keepLines w:val="0"/>
              <w:suppressLineNumbers w:val="0"/>
              <w:spacing w:before="0" w:beforeAutospacing="0" w:after="0" w:afterAutospacing="0" w:line="360" w:lineRule="auto"/>
              <w:ind w:left="0" w:right="0" w:firstLine="1680" w:firstLineChars="800"/>
              <w:rPr>
                <w:rFonts w:hint="default"/>
                <w:sz w:val="21"/>
                <w:szCs w:val="21"/>
              </w:rPr>
            </w:pPr>
            <w:r>
              <w:rPr>
                <w:rFonts w:hint="default"/>
                <w:sz w:val="21"/>
                <w:szCs w:val="21"/>
              </w:rPr>
              <w:t>N—室外声源个数；</w:t>
            </w:r>
          </w:p>
          <w:p w14:paraId="0369FE18">
            <w:pPr>
              <w:keepNext w:val="0"/>
              <w:keepLines w:val="0"/>
              <w:suppressLineNumbers w:val="0"/>
              <w:spacing w:before="0" w:beforeAutospacing="0" w:after="0" w:afterAutospacing="0" w:line="360" w:lineRule="auto"/>
              <w:ind w:left="0" w:right="0" w:firstLine="1680" w:firstLineChars="800"/>
              <w:rPr>
                <w:rFonts w:hint="default"/>
                <w:sz w:val="21"/>
                <w:szCs w:val="21"/>
              </w:rPr>
            </w:pPr>
            <w:r>
              <w:rPr>
                <w:rFonts w:hint="default"/>
                <w:sz w:val="21"/>
                <w:szCs w:val="21"/>
              </w:rPr>
              <w:t>M—等效室外声源个数。</w:t>
            </w:r>
          </w:p>
          <w:p w14:paraId="38119B33">
            <w:pPr>
              <w:keepNext w:val="0"/>
              <w:keepLines w:val="0"/>
              <w:suppressLineNumbers w:val="0"/>
              <w:spacing w:before="0" w:beforeAutospacing="0" w:after="0" w:afterAutospacing="0" w:line="360" w:lineRule="auto"/>
              <w:ind w:left="0" w:right="0" w:firstLine="420" w:firstLineChars="200"/>
              <w:rPr>
                <w:rFonts w:hint="default"/>
                <w:b w:val="0"/>
                <w:bCs w:val="0"/>
                <w:sz w:val="21"/>
                <w:szCs w:val="21"/>
              </w:rPr>
            </w:pPr>
            <w:r>
              <w:rPr>
                <w:rFonts w:hint="default"/>
                <w:b w:val="0"/>
                <w:bCs w:val="0"/>
                <w:sz w:val="21"/>
                <w:szCs w:val="21"/>
              </w:rPr>
              <w:t>参数的确定</w:t>
            </w:r>
          </w:p>
          <w:p w14:paraId="26F29FCA">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①声波几何发散引起的A声级衰减量（A</w:t>
            </w:r>
            <w:r>
              <w:rPr>
                <w:rFonts w:hint="default"/>
                <w:sz w:val="21"/>
                <w:szCs w:val="21"/>
                <w:vertAlign w:val="subscript"/>
              </w:rPr>
              <w:t>div</w:t>
            </w:r>
            <w:r>
              <w:rPr>
                <w:rFonts w:hint="default"/>
                <w:sz w:val="21"/>
                <w:szCs w:val="21"/>
              </w:rPr>
              <w:t>）</w:t>
            </w:r>
          </w:p>
          <w:p w14:paraId="1A5E265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a.点声源：A</w:t>
            </w:r>
            <w:r>
              <w:rPr>
                <w:rFonts w:hint="default"/>
                <w:sz w:val="21"/>
                <w:szCs w:val="21"/>
                <w:vertAlign w:val="subscript"/>
              </w:rPr>
              <w:t>div</w:t>
            </w:r>
            <w:r>
              <w:rPr>
                <w:rFonts w:hint="default"/>
                <w:sz w:val="21"/>
                <w:szCs w:val="21"/>
              </w:rPr>
              <w:t>=20lg（r/r0）</w:t>
            </w:r>
          </w:p>
          <w:p w14:paraId="2DD1234D">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式中：r—预测点到噪声源距离，m；</w:t>
            </w:r>
          </w:p>
          <w:p w14:paraId="435421D8">
            <w:pPr>
              <w:keepNext w:val="0"/>
              <w:keepLines w:val="0"/>
              <w:suppressLineNumbers w:val="0"/>
              <w:spacing w:before="0" w:beforeAutospacing="0" w:after="0" w:afterAutospacing="0" w:line="360" w:lineRule="auto"/>
              <w:ind w:left="0" w:right="0" w:firstLine="1050" w:firstLineChars="500"/>
              <w:rPr>
                <w:rFonts w:hint="default"/>
                <w:sz w:val="21"/>
                <w:szCs w:val="21"/>
              </w:rPr>
            </w:pPr>
            <w:r>
              <w:rPr>
                <w:rFonts w:hint="default"/>
                <w:sz w:val="21"/>
                <w:szCs w:val="21"/>
              </w:rPr>
              <w:t>r</w:t>
            </w:r>
            <w:r>
              <w:rPr>
                <w:rFonts w:hint="default"/>
                <w:sz w:val="21"/>
                <w:szCs w:val="21"/>
                <w:vertAlign w:val="subscript"/>
              </w:rPr>
              <w:t>0</w:t>
            </w:r>
            <w:r>
              <w:rPr>
                <w:rFonts w:hint="default"/>
                <w:sz w:val="21"/>
                <w:szCs w:val="21"/>
              </w:rPr>
              <w:t>—参考点到噪声源距离，m。</w:t>
            </w:r>
          </w:p>
          <w:p w14:paraId="3571BEDC">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b、有限长线声源（设线声源长为L</w:t>
            </w:r>
            <w:r>
              <w:rPr>
                <w:rFonts w:hint="default"/>
                <w:sz w:val="21"/>
                <w:szCs w:val="21"/>
                <w:vertAlign w:val="subscript"/>
              </w:rPr>
              <w:t>0</w:t>
            </w:r>
            <w:r>
              <w:rPr>
                <w:rFonts w:hint="default"/>
                <w:sz w:val="21"/>
                <w:szCs w:val="21"/>
              </w:rPr>
              <w:t>）</w:t>
            </w:r>
          </w:p>
          <w:p w14:paraId="30AE6818">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当r&gt;L</w:t>
            </w:r>
            <w:r>
              <w:rPr>
                <w:rFonts w:hint="default"/>
                <w:sz w:val="21"/>
                <w:szCs w:val="21"/>
                <w:vertAlign w:val="subscript"/>
              </w:rPr>
              <w:t>0</w:t>
            </w:r>
            <w:r>
              <w:rPr>
                <w:rFonts w:hint="default"/>
                <w:sz w:val="21"/>
                <w:szCs w:val="21"/>
              </w:rPr>
              <w:t>，且r</w:t>
            </w:r>
            <w:r>
              <w:rPr>
                <w:rFonts w:hint="default"/>
                <w:sz w:val="21"/>
                <w:szCs w:val="21"/>
                <w:vertAlign w:val="subscript"/>
              </w:rPr>
              <w:t>0</w:t>
            </w:r>
            <w:r>
              <w:rPr>
                <w:rFonts w:hint="default"/>
                <w:sz w:val="21"/>
                <w:szCs w:val="21"/>
              </w:rPr>
              <w:t>&gt;L</w:t>
            </w:r>
            <w:r>
              <w:rPr>
                <w:rFonts w:hint="default"/>
                <w:sz w:val="21"/>
                <w:szCs w:val="21"/>
                <w:vertAlign w:val="subscript"/>
              </w:rPr>
              <w:t>0</w:t>
            </w:r>
            <w:r>
              <w:rPr>
                <w:rFonts w:hint="default"/>
                <w:sz w:val="21"/>
                <w:szCs w:val="21"/>
              </w:rPr>
              <w:t>时：A</w:t>
            </w:r>
            <w:r>
              <w:rPr>
                <w:rFonts w:hint="default"/>
                <w:sz w:val="21"/>
                <w:szCs w:val="21"/>
                <w:vertAlign w:val="subscript"/>
              </w:rPr>
              <w:t>div</w:t>
            </w:r>
            <w:r>
              <w:rPr>
                <w:rFonts w:hint="default"/>
                <w:sz w:val="21"/>
                <w:szCs w:val="21"/>
              </w:rPr>
              <w:t>=20lg（r/r</w:t>
            </w:r>
            <w:r>
              <w:rPr>
                <w:rFonts w:hint="default"/>
                <w:sz w:val="21"/>
                <w:szCs w:val="21"/>
                <w:vertAlign w:val="subscript"/>
              </w:rPr>
              <w:t>0</w:t>
            </w:r>
            <w:r>
              <w:rPr>
                <w:rFonts w:hint="default"/>
                <w:sz w:val="21"/>
                <w:szCs w:val="21"/>
              </w:rPr>
              <w:t>）</w:t>
            </w:r>
          </w:p>
          <w:p w14:paraId="64936E58">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当r&lt;L</w:t>
            </w:r>
            <w:r>
              <w:rPr>
                <w:rFonts w:hint="default"/>
                <w:sz w:val="21"/>
                <w:szCs w:val="21"/>
                <w:vertAlign w:val="subscript"/>
              </w:rPr>
              <w:t>0</w:t>
            </w:r>
            <w:r>
              <w:rPr>
                <w:rFonts w:hint="default"/>
                <w:sz w:val="21"/>
                <w:szCs w:val="21"/>
              </w:rPr>
              <w:t>/3，且r</w:t>
            </w:r>
            <w:r>
              <w:rPr>
                <w:rFonts w:hint="default"/>
                <w:sz w:val="21"/>
                <w:szCs w:val="21"/>
                <w:vertAlign w:val="subscript"/>
              </w:rPr>
              <w:t>0</w:t>
            </w:r>
            <w:r>
              <w:rPr>
                <w:rFonts w:hint="default"/>
                <w:sz w:val="21"/>
                <w:szCs w:val="21"/>
              </w:rPr>
              <w:t>&lt;L</w:t>
            </w:r>
            <w:r>
              <w:rPr>
                <w:rFonts w:hint="default"/>
                <w:sz w:val="21"/>
                <w:szCs w:val="21"/>
                <w:vertAlign w:val="subscript"/>
              </w:rPr>
              <w:t>0</w:t>
            </w:r>
            <w:r>
              <w:rPr>
                <w:rFonts w:hint="default"/>
                <w:sz w:val="21"/>
                <w:szCs w:val="21"/>
              </w:rPr>
              <w:t>/3时：A</w:t>
            </w:r>
            <w:r>
              <w:rPr>
                <w:rFonts w:hint="default"/>
                <w:sz w:val="21"/>
                <w:szCs w:val="21"/>
                <w:vertAlign w:val="subscript"/>
              </w:rPr>
              <w:t>div</w:t>
            </w:r>
            <w:r>
              <w:rPr>
                <w:rFonts w:hint="default"/>
                <w:sz w:val="21"/>
                <w:szCs w:val="21"/>
              </w:rPr>
              <w:t>=10lg（r/r</w:t>
            </w:r>
            <w:r>
              <w:rPr>
                <w:rFonts w:hint="default"/>
                <w:sz w:val="21"/>
                <w:szCs w:val="21"/>
                <w:vertAlign w:val="subscript"/>
              </w:rPr>
              <w:t>0</w:t>
            </w:r>
            <w:r>
              <w:rPr>
                <w:rFonts w:hint="default"/>
                <w:sz w:val="21"/>
                <w:szCs w:val="21"/>
              </w:rPr>
              <w:t>）</w:t>
            </w:r>
          </w:p>
          <w:p w14:paraId="4E1A95F7">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当L</w:t>
            </w:r>
            <w:r>
              <w:rPr>
                <w:rFonts w:hint="default"/>
                <w:sz w:val="21"/>
                <w:szCs w:val="21"/>
                <w:vertAlign w:val="subscript"/>
              </w:rPr>
              <w:t>0</w:t>
            </w:r>
            <w:r>
              <w:rPr>
                <w:rFonts w:hint="default"/>
                <w:sz w:val="21"/>
                <w:szCs w:val="21"/>
              </w:rPr>
              <w:t>/3&lt;r&lt;L</w:t>
            </w:r>
            <w:r>
              <w:rPr>
                <w:rFonts w:hint="default"/>
                <w:sz w:val="21"/>
                <w:szCs w:val="21"/>
                <w:vertAlign w:val="subscript"/>
              </w:rPr>
              <w:t>0</w:t>
            </w:r>
            <w:r>
              <w:rPr>
                <w:rFonts w:hint="default"/>
                <w:sz w:val="21"/>
                <w:szCs w:val="21"/>
              </w:rPr>
              <w:t>，且L</w:t>
            </w:r>
            <w:r>
              <w:rPr>
                <w:rFonts w:hint="default"/>
                <w:sz w:val="21"/>
                <w:szCs w:val="21"/>
                <w:vertAlign w:val="subscript"/>
              </w:rPr>
              <w:t>0</w:t>
            </w:r>
            <w:r>
              <w:rPr>
                <w:rFonts w:hint="default"/>
                <w:sz w:val="21"/>
                <w:szCs w:val="21"/>
              </w:rPr>
              <w:t>/3&lt;r</w:t>
            </w:r>
            <w:r>
              <w:rPr>
                <w:rFonts w:hint="default"/>
                <w:sz w:val="21"/>
                <w:szCs w:val="21"/>
                <w:vertAlign w:val="subscript"/>
              </w:rPr>
              <w:t>0</w:t>
            </w:r>
            <w:r>
              <w:rPr>
                <w:rFonts w:hint="default"/>
                <w:sz w:val="21"/>
                <w:szCs w:val="21"/>
              </w:rPr>
              <w:t>&lt;L</w:t>
            </w:r>
            <w:r>
              <w:rPr>
                <w:rFonts w:hint="default"/>
                <w:sz w:val="21"/>
                <w:szCs w:val="21"/>
                <w:vertAlign w:val="subscript"/>
              </w:rPr>
              <w:t>0</w:t>
            </w:r>
            <w:r>
              <w:rPr>
                <w:rFonts w:hint="default"/>
                <w:sz w:val="21"/>
                <w:szCs w:val="21"/>
              </w:rPr>
              <w:t>时：A</w:t>
            </w:r>
            <w:r>
              <w:rPr>
                <w:rFonts w:hint="default"/>
                <w:sz w:val="21"/>
                <w:szCs w:val="21"/>
                <w:vertAlign w:val="subscript"/>
              </w:rPr>
              <w:t>div</w:t>
            </w:r>
            <w:r>
              <w:rPr>
                <w:rFonts w:hint="default"/>
                <w:sz w:val="21"/>
                <w:szCs w:val="21"/>
              </w:rPr>
              <w:t>=15lg（r/r</w:t>
            </w:r>
            <w:r>
              <w:rPr>
                <w:rFonts w:hint="default"/>
                <w:sz w:val="21"/>
                <w:szCs w:val="21"/>
                <w:vertAlign w:val="subscript"/>
              </w:rPr>
              <w:t>0</w:t>
            </w:r>
            <w:r>
              <w:rPr>
                <w:rFonts w:hint="default"/>
                <w:sz w:val="21"/>
                <w:szCs w:val="21"/>
              </w:rPr>
              <w:t>）</w:t>
            </w:r>
          </w:p>
          <w:p w14:paraId="1207CDA5">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c、面声源（设面声源高度为a，长度为b，且a＜b）</w:t>
            </w:r>
          </w:p>
          <w:p w14:paraId="45123FD5">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当r&lt;a/3时，且r</w:t>
            </w:r>
            <w:r>
              <w:rPr>
                <w:rFonts w:hint="default"/>
                <w:sz w:val="21"/>
                <w:szCs w:val="21"/>
                <w:vertAlign w:val="subscript"/>
              </w:rPr>
              <w:t>0</w:t>
            </w:r>
            <w:r>
              <w:rPr>
                <w:rFonts w:hint="default"/>
                <w:sz w:val="21"/>
                <w:szCs w:val="21"/>
              </w:rPr>
              <w:t>&lt;a/3时：A</w:t>
            </w:r>
            <w:r>
              <w:rPr>
                <w:rFonts w:hint="default"/>
                <w:sz w:val="21"/>
                <w:szCs w:val="21"/>
                <w:vertAlign w:val="subscript"/>
              </w:rPr>
              <w:t>div</w:t>
            </w:r>
            <w:r>
              <w:rPr>
                <w:rFonts w:hint="default"/>
                <w:sz w:val="21"/>
                <w:szCs w:val="21"/>
              </w:rPr>
              <w:t>=0</w:t>
            </w:r>
          </w:p>
          <w:p w14:paraId="085FD1B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当a/3&lt;r&lt;b/3，且a/3&lt;r</w:t>
            </w:r>
            <w:r>
              <w:rPr>
                <w:rFonts w:hint="default"/>
                <w:sz w:val="21"/>
                <w:szCs w:val="21"/>
                <w:vertAlign w:val="subscript"/>
              </w:rPr>
              <w:t>0</w:t>
            </w:r>
            <w:r>
              <w:rPr>
                <w:rFonts w:hint="default"/>
                <w:sz w:val="21"/>
                <w:szCs w:val="21"/>
              </w:rPr>
              <w:t>&lt;b/3时：A</w:t>
            </w:r>
            <w:r>
              <w:rPr>
                <w:rFonts w:hint="default"/>
                <w:sz w:val="21"/>
                <w:szCs w:val="21"/>
                <w:vertAlign w:val="subscript"/>
              </w:rPr>
              <w:t>div</w:t>
            </w:r>
            <w:r>
              <w:rPr>
                <w:rFonts w:hint="default"/>
                <w:sz w:val="21"/>
                <w:szCs w:val="21"/>
              </w:rPr>
              <w:t>=10lg（r/r</w:t>
            </w:r>
            <w:r>
              <w:rPr>
                <w:rFonts w:hint="default"/>
                <w:sz w:val="21"/>
                <w:szCs w:val="21"/>
                <w:vertAlign w:val="subscript"/>
              </w:rPr>
              <w:t>0</w:t>
            </w:r>
            <w:r>
              <w:rPr>
                <w:rFonts w:hint="default"/>
                <w:sz w:val="21"/>
                <w:szCs w:val="21"/>
              </w:rPr>
              <w:t>）</w:t>
            </w:r>
          </w:p>
          <w:p w14:paraId="370683B6">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当b/3&lt;r&lt;b，且b/3&lt;r</w:t>
            </w:r>
            <w:r>
              <w:rPr>
                <w:rFonts w:hint="default"/>
                <w:sz w:val="21"/>
                <w:szCs w:val="21"/>
                <w:vertAlign w:val="subscript"/>
              </w:rPr>
              <w:t>0</w:t>
            </w:r>
            <w:r>
              <w:rPr>
                <w:rFonts w:hint="default"/>
                <w:sz w:val="21"/>
                <w:szCs w:val="21"/>
              </w:rPr>
              <w:t>&lt;b时：A</w:t>
            </w:r>
            <w:r>
              <w:rPr>
                <w:rFonts w:hint="default"/>
                <w:sz w:val="21"/>
                <w:szCs w:val="21"/>
                <w:vertAlign w:val="subscript"/>
              </w:rPr>
              <w:t>div</w:t>
            </w:r>
            <w:r>
              <w:rPr>
                <w:rFonts w:hint="default"/>
                <w:sz w:val="21"/>
                <w:szCs w:val="21"/>
              </w:rPr>
              <w:t>=15lg（r/r</w:t>
            </w:r>
            <w:r>
              <w:rPr>
                <w:rFonts w:hint="default"/>
                <w:sz w:val="21"/>
                <w:szCs w:val="21"/>
                <w:vertAlign w:val="subscript"/>
              </w:rPr>
              <w:t>0</w:t>
            </w:r>
            <w:r>
              <w:rPr>
                <w:rFonts w:hint="default"/>
                <w:sz w:val="21"/>
                <w:szCs w:val="21"/>
              </w:rPr>
              <w:t>）</w:t>
            </w:r>
          </w:p>
          <w:p w14:paraId="61AA97D5">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当b&lt;r时，且b&lt;r</w:t>
            </w:r>
            <w:r>
              <w:rPr>
                <w:rFonts w:hint="default"/>
                <w:sz w:val="21"/>
                <w:szCs w:val="21"/>
                <w:vertAlign w:val="subscript"/>
              </w:rPr>
              <w:t>0</w:t>
            </w:r>
            <w:r>
              <w:rPr>
                <w:rFonts w:hint="default"/>
                <w:sz w:val="21"/>
                <w:szCs w:val="21"/>
              </w:rPr>
              <w:t>时：A</w:t>
            </w:r>
            <w:r>
              <w:rPr>
                <w:rFonts w:hint="default"/>
                <w:sz w:val="21"/>
                <w:szCs w:val="21"/>
                <w:vertAlign w:val="subscript"/>
              </w:rPr>
              <w:t>div</w:t>
            </w:r>
            <w:r>
              <w:rPr>
                <w:rFonts w:hint="default"/>
                <w:sz w:val="21"/>
                <w:szCs w:val="21"/>
              </w:rPr>
              <w:t>=20lg（r/r</w:t>
            </w:r>
            <w:r>
              <w:rPr>
                <w:rFonts w:hint="default"/>
                <w:sz w:val="21"/>
                <w:szCs w:val="21"/>
                <w:vertAlign w:val="subscript"/>
              </w:rPr>
              <w:t>0</w:t>
            </w:r>
            <w:r>
              <w:rPr>
                <w:rFonts w:hint="default"/>
                <w:sz w:val="21"/>
                <w:szCs w:val="21"/>
              </w:rPr>
              <w:t>）</w:t>
            </w:r>
          </w:p>
          <w:p w14:paraId="08532A5E">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②空气吸收衰减量Aatm</w:t>
            </w:r>
          </w:p>
          <w:p w14:paraId="2B4E3369">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空气吸收引起的A声级衰减量按下式计算：</w:t>
            </w:r>
          </w:p>
          <w:p w14:paraId="20441161">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A</w:t>
            </w:r>
            <w:r>
              <w:rPr>
                <w:rFonts w:hint="default"/>
                <w:sz w:val="21"/>
                <w:szCs w:val="21"/>
                <w:vertAlign w:val="subscript"/>
              </w:rPr>
              <w:t>atm</w:t>
            </w:r>
            <w:r>
              <w:rPr>
                <w:rFonts w:hint="default"/>
                <w:sz w:val="21"/>
                <w:szCs w:val="21"/>
              </w:rPr>
              <w:t>＝a（r－r</w:t>
            </w:r>
            <w:r>
              <w:rPr>
                <w:rFonts w:hint="default"/>
                <w:sz w:val="21"/>
                <w:szCs w:val="21"/>
                <w:vertAlign w:val="subscript"/>
              </w:rPr>
              <w:t>0</w:t>
            </w:r>
            <w:r>
              <w:rPr>
                <w:rFonts w:hint="default"/>
                <w:sz w:val="21"/>
                <w:szCs w:val="21"/>
              </w:rPr>
              <w:t>）/100</w:t>
            </w:r>
          </w:p>
          <w:p w14:paraId="7E71B5E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式中a为每100m空气吸收系数，是温度、湿度和声波频率的函数。本评价由于计算距离较近，A</w:t>
            </w:r>
            <w:r>
              <w:rPr>
                <w:rFonts w:hint="default"/>
                <w:sz w:val="21"/>
                <w:szCs w:val="21"/>
                <w:vertAlign w:val="subscript"/>
              </w:rPr>
              <w:t>atm</w:t>
            </w:r>
            <w:r>
              <w:rPr>
                <w:rFonts w:hint="default"/>
                <w:sz w:val="21"/>
                <w:szCs w:val="21"/>
              </w:rPr>
              <w:t>计算值较小，故在计算时忽略此项。</w:t>
            </w:r>
          </w:p>
          <w:p w14:paraId="112A011D">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③遮挡物引起的衰减量A</w:t>
            </w:r>
            <w:r>
              <w:rPr>
                <w:rFonts w:hint="default"/>
                <w:sz w:val="21"/>
                <w:szCs w:val="21"/>
                <w:vertAlign w:val="subscript"/>
              </w:rPr>
              <w:t>bar</w:t>
            </w:r>
          </w:p>
          <w:p w14:paraId="48C3241B">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位于声源和预测点之间的实体障碍物，如围墙、建筑物、土坡、地堑或绿化林带都能起声屏障作用，从而引起声能量的衰减，具体衰减根据不同声级的传播途径而定，一般取20~25dB（A）。</w:t>
            </w:r>
          </w:p>
          <w:p w14:paraId="58516847">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④附加衰减量Aexc</w:t>
            </w:r>
          </w:p>
          <w:p w14:paraId="130ED668">
            <w:pPr>
              <w:keepNext w:val="0"/>
              <w:keepLines w:val="0"/>
              <w:suppressLineNumbers w:val="0"/>
              <w:spacing w:before="0" w:beforeAutospacing="0" w:after="0" w:afterAutospacing="0" w:line="360" w:lineRule="auto"/>
              <w:ind w:left="0" w:right="0" w:firstLine="420" w:firstLineChars="200"/>
              <w:rPr>
                <w:rFonts w:hint="default"/>
                <w:sz w:val="21"/>
                <w:szCs w:val="21"/>
              </w:rPr>
            </w:pPr>
            <w:r>
              <w:rPr>
                <w:rFonts w:hint="default"/>
                <w:sz w:val="21"/>
                <w:szCs w:val="21"/>
              </w:rPr>
              <w:t>根据导则规定，满足下列条件需考虑地面效应引起的附加衰减：a.预测点距声源50m以上；b.声源距地面高度和预测点距地面高度的平均值小于3m；c.声源与预测点之间的地面被草地、灌木等覆盖（软地面）。此时，地面效应引起附加衰减量按下式计算：</w:t>
            </w:r>
          </w:p>
          <w:p w14:paraId="6627178D">
            <w:pPr>
              <w:keepNext w:val="0"/>
              <w:keepLines w:val="0"/>
              <w:suppressLineNumbers w:val="0"/>
              <w:spacing w:before="0" w:beforeAutospacing="0" w:after="0" w:afterAutospacing="0" w:line="500" w:lineRule="exact"/>
              <w:ind w:right="0" w:firstLine="420" w:firstLineChars="200"/>
              <w:rPr>
                <w:rFonts w:hint="default"/>
                <w:sz w:val="21"/>
                <w:szCs w:val="21"/>
              </w:rPr>
            </w:pPr>
            <w:r>
              <w:rPr>
                <w:rFonts w:hint="default"/>
                <w:sz w:val="21"/>
                <w:szCs w:val="21"/>
              </w:rPr>
              <w:t>A</w:t>
            </w:r>
            <w:r>
              <w:rPr>
                <w:rFonts w:hint="default"/>
                <w:sz w:val="21"/>
                <w:szCs w:val="21"/>
                <w:vertAlign w:val="subscript"/>
              </w:rPr>
              <w:t>exc</w:t>
            </w:r>
            <w:r>
              <w:rPr>
                <w:rFonts w:hint="default"/>
                <w:sz w:val="21"/>
                <w:szCs w:val="21"/>
              </w:rPr>
              <w:t>=5lg（r/r</w:t>
            </w:r>
            <w:r>
              <w:rPr>
                <w:rFonts w:hint="default"/>
                <w:sz w:val="21"/>
                <w:szCs w:val="21"/>
                <w:vertAlign w:val="subscript"/>
              </w:rPr>
              <w:t>0</w:t>
            </w:r>
            <w:r>
              <w:rPr>
                <w:rFonts w:hint="default"/>
                <w:sz w:val="21"/>
                <w:szCs w:val="21"/>
              </w:rPr>
              <w:t>）</w:t>
            </w:r>
          </w:p>
          <w:p w14:paraId="1ECBAAF8">
            <w:pPr>
              <w:spacing w:line="420" w:lineRule="exact"/>
              <w:ind w:firstLine="420" w:firstLineChars="200"/>
              <w:rPr>
                <w:bCs/>
              </w:rPr>
            </w:pPr>
            <w:r>
              <w:rPr>
                <w:rFonts w:hint="default"/>
                <w:sz w:val="21"/>
                <w:szCs w:val="21"/>
              </w:rPr>
              <w:t>不管传播距离多远，地面效应引起附加衰减量的上限为10dB（A）。根据厂区布置和噪声源强及外环境状况，本环评忽略不计。</w:t>
            </w:r>
          </w:p>
          <w:p w14:paraId="0F20A1F7">
            <w:pPr>
              <w:autoSpaceDE w:val="0"/>
              <w:autoSpaceDN w:val="0"/>
              <w:adjustRightInd w:val="0"/>
              <w:snapToGrid w:val="0"/>
              <w:spacing w:before="120" w:beforeLines="50"/>
              <w:jc w:val="center"/>
              <w:rPr>
                <w:rFonts w:hint="default" w:ascii="Times New Roman" w:hAnsi="Times New Roman" w:eastAsia="宋体" w:cs="Times New Roman"/>
                <w:b/>
                <w:bCs/>
                <w:kern w:val="0"/>
                <w:sz w:val="21"/>
                <w:szCs w:val="18"/>
                <w:lang w:val="en-US" w:eastAsia="zh-CN"/>
              </w:rPr>
            </w:pPr>
            <w:r>
              <w:rPr>
                <w:rFonts w:hint="default" w:ascii="Times New Roman" w:hAnsi="Times New Roman" w:eastAsia="宋体" w:cs="Times New Roman"/>
                <w:b/>
                <w:bCs/>
                <w:kern w:val="0"/>
                <w:sz w:val="21"/>
                <w:szCs w:val="18"/>
                <w:lang w:val="en-US" w:eastAsia="zh-CN"/>
              </w:rPr>
              <w:t>表4-2</w:t>
            </w:r>
            <w:r>
              <w:rPr>
                <w:rFonts w:hint="eastAsia" w:ascii="Times New Roman" w:hAnsi="Times New Roman" w:eastAsia="宋体" w:cs="Times New Roman"/>
                <w:b/>
                <w:bCs/>
                <w:kern w:val="0"/>
                <w:sz w:val="21"/>
                <w:szCs w:val="18"/>
                <w:lang w:val="en-US" w:eastAsia="zh-CN"/>
              </w:rPr>
              <w:t>2</w:t>
            </w:r>
            <w:r>
              <w:rPr>
                <w:rFonts w:hint="default" w:ascii="Times New Roman" w:hAnsi="Times New Roman" w:eastAsia="宋体" w:cs="Times New Roman"/>
                <w:b/>
                <w:bCs/>
                <w:kern w:val="0"/>
                <w:sz w:val="21"/>
                <w:szCs w:val="18"/>
                <w:lang w:val="en-US" w:eastAsia="zh-CN"/>
              </w:rPr>
              <w:t xml:space="preserve"> 主要噪声源距离厂界距离一览表</w:t>
            </w:r>
          </w:p>
          <w:tbl>
            <w:tblPr>
              <w:tblStyle w:val="82"/>
              <w:tblW w:w="5000"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44"/>
              <w:gridCol w:w="1654"/>
              <w:gridCol w:w="1543"/>
              <w:gridCol w:w="1414"/>
              <w:gridCol w:w="1444"/>
              <w:gridCol w:w="1464"/>
            </w:tblGrid>
            <w:tr w14:paraId="65B86B9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4" w:type="pct"/>
                  <w:vMerge w:val="restart"/>
                  <w:tcBorders>
                    <w:tl2br w:val="nil"/>
                    <w:tr2bl w:val="nil"/>
                  </w:tcBorders>
                  <w:noWrap w:val="0"/>
                  <w:vAlign w:val="center"/>
                </w:tcPr>
                <w:p w14:paraId="686238E4">
                  <w:pPr>
                    <w:spacing w:line="240" w:lineRule="auto"/>
                    <w:ind w:left="0" w:leftChars="0" w:right="0" w:rightChars="0" w:firstLine="0" w:firstLineChars="0"/>
                    <w:jc w:val="center"/>
                    <w:rPr>
                      <w:rFonts w:hint="default"/>
                      <w:color w:val="auto"/>
                      <w:sz w:val="18"/>
                      <w:szCs w:val="18"/>
                      <w:lang w:eastAsia="zh-CN"/>
                    </w:rPr>
                  </w:pPr>
                  <w:r>
                    <w:rPr>
                      <w:rFonts w:hint="default"/>
                      <w:color w:val="auto"/>
                      <w:sz w:val="18"/>
                      <w:szCs w:val="18"/>
                      <w:lang w:eastAsia="zh-CN"/>
                    </w:rPr>
                    <w:t>序号</w:t>
                  </w:r>
                </w:p>
              </w:tc>
              <w:tc>
                <w:tcPr>
                  <w:tcW w:w="988" w:type="pct"/>
                  <w:vMerge w:val="restart"/>
                  <w:tcBorders>
                    <w:tl2br w:val="nil"/>
                    <w:tr2bl w:val="nil"/>
                  </w:tcBorders>
                  <w:noWrap w:val="0"/>
                  <w:vAlign w:val="center"/>
                </w:tcPr>
                <w:p w14:paraId="28EEF81E">
                  <w:pPr>
                    <w:spacing w:line="240" w:lineRule="auto"/>
                    <w:ind w:left="0" w:leftChars="0" w:right="0" w:rightChars="0" w:firstLine="0" w:firstLineChars="0"/>
                    <w:jc w:val="center"/>
                    <w:rPr>
                      <w:rFonts w:hint="default"/>
                      <w:color w:val="auto"/>
                      <w:sz w:val="18"/>
                      <w:szCs w:val="18"/>
                      <w:lang w:eastAsia="zh-CN"/>
                    </w:rPr>
                  </w:pPr>
                  <w:r>
                    <w:rPr>
                      <w:rFonts w:hint="default"/>
                      <w:color w:val="auto"/>
                      <w:sz w:val="18"/>
                      <w:szCs w:val="18"/>
                      <w:lang w:eastAsia="zh-CN"/>
                    </w:rPr>
                    <w:t>噪声源</w:t>
                  </w:r>
                </w:p>
              </w:tc>
              <w:tc>
                <w:tcPr>
                  <w:tcW w:w="3506" w:type="pct"/>
                  <w:gridSpan w:val="4"/>
                  <w:tcBorders>
                    <w:tl2br w:val="nil"/>
                    <w:tr2bl w:val="nil"/>
                  </w:tcBorders>
                  <w:noWrap w:val="0"/>
                  <w:vAlign w:val="center"/>
                </w:tcPr>
                <w:p w14:paraId="1262B7F1">
                  <w:pPr>
                    <w:spacing w:line="240" w:lineRule="auto"/>
                    <w:ind w:left="0" w:leftChars="0" w:right="0" w:rightChars="0" w:firstLine="0" w:firstLineChars="0"/>
                    <w:jc w:val="center"/>
                    <w:rPr>
                      <w:rFonts w:hint="default"/>
                      <w:color w:val="auto"/>
                      <w:sz w:val="18"/>
                      <w:szCs w:val="18"/>
                    </w:rPr>
                  </w:pPr>
                  <w:r>
                    <w:rPr>
                      <w:rFonts w:hint="default"/>
                      <w:color w:val="auto"/>
                      <w:sz w:val="18"/>
                      <w:szCs w:val="18"/>
                      <w:lang w:eastAsia="zh-CN"/>
                    </w:rPr>
                    <w:t>与厂界距离（</w:t>
                  </w:r>
                  <w:r>
                    <w:rPr>
                      <w:rFonts w:hint="default"/>
                      <w:color w:val="auto"/>
                      <w:sz w:val="18"/>
                      <w:szCs w:val="18"/>
                      <w:lang w:val="en-US" w:eastAsia="zh-CN"/>
                    </w:rPr>
                    <w:t>m</w:t>
                  </w:r>
                  <w:r>
                    <w:rPr>
                      <w:rFonts w:hint="default"/>
                      <w:color w:val="auto"/>
                      <w:sz w:val="18"/>
                      <w:szCs w:val="18"/>
                      <w:lang w:eastAsia="zh-CN"/>
                    </w:rPr>
                    <w:t>）</w:t>
                  </w:r>
                </w:p>
              </w:tc>
            </w:tr>
            <w:tr w14:paraId="7293725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504" w:type="pct"/>
                  <w:vMerge w:val="continue"/>
                  <w:tcBorders>
                    <w:tl2br w:val="nil"/>
                    <w:tr2bl w:val="nil"/>
                  </w:tcBorders>
                  <w:noWrap w:val="0"/>
                  <w:vAlign w:val="center"/>
                </w:tcPr>
                <w:p w14:paraId="6AD5AA0F">
                  <w:pPr>
                    <w:spacing w:line="240" w:lineRule="auto"/>
                    <w:ind w:left="0" w:leftChars="0" w:right="0" w:rightChars="0" w:firstLine="0" w:firstLineChars="0"/>
                    <w:jc w:val="center"/>
                    <w:rPr>
                      <w:rFonts w:hint="default"/>
                      <w:color w:val="auto"/>
                      <w:sz w:val="18"/>
                      <w:szCs w:val="18"/>
                      <w:lang w:val="en-US" w:eastAsia="zh-CN"/>
                    </w:rPr>
                  </w:pPr>
                </w:p>
              </w:tc>
              <w:tc>
                <w:tcPr>
                  <w:tcW w:w="988" w:type="pct"/>
                  <w:vMerge w:val="continue"/>
                  <w:tcBorders>
                    <w:tl2br w:val="nil"/>
                    <w:tr2bl w:val="nil"/>
                  </w:tcBorders>
                  <w:noWrap w:val="0"/>
                  <w:vAlign w:val="center"/>
                </w:tcPr>
                <w:p w14:paraId="4AB4A217">
                  <w:pPr>
                    <w:spacing w:line="240" w:lineRule="auto"/>
                    <w:ind w:left="0" w:leftChars="0" w:right="0" w:rightChars="0" w:firstLine="0" w:firstLineChars="0"/>
                    <w:jc w:val="center"/>
                    <w:rPr>
                      <w:rFonts w:hint="default"/>
                      <w:color w:val="auto"/>
                      <w:sz w:val="18"/>
                      <w:szCs w:val="18"/>
                    </w:rPr>
                  </w:pPr>
                </w:p>
              </w:tc>
              <w:tc>
                <w:tcPr>
                  <w:tcW w:w="922" w:type="pct"/>
                  <w:tcBorders>
                    <w:tl2br w:val="nil"/>
                    <w:tr2bl w:val="nil"/>
                  </w:tcBorders>
                  <w:noWrap w:val="0"/>
                  <w:vAlign w:val="center"/>
                </w:tcPr>
                <w:p w14:paraId="2B069DC0">
                  <w:pPr>
                    <w:spacing w:line="240" w:lineRule="auto"/>
                    <w:ind w:left="0" w:leftChars="0" w:right="0" w:rightChars="0" w:firstLine="0" w:firstLineChars="0"/>
                    <w:jc w:val="center"/>
                    <w:rPr>
                      <w:rFonts w:hint="default"/>
                      <w:color w:val="auto"/>
                      <w:sz w:val="18"/>
                      <w:szCs w:val="18"/>
                      <w:lang w:val="en-US" w:eastAsia="zh-CN"/>
                    </w:rPr>
                  </w:pPr>
                  <w:r>
                    <w:rPr>
                      <w:rFonts w:hint="default"/>
                      <w:color w:val="auto"/>
                      <w:sz w:val="18"/>
                      <w:szCs w:val="18"/>
                      <w:lang w:val="en-US" w:eastAsia="zh-CN"/>
                    </w:rPr>
                    <w:t>东厂界</w:t>
                  </w:r>
                </w:p>
              </w:tc>
              <w:tc>
                <w:tcPr>
                  <w:tcW w:w="845" w:type="pct"/>
                  <w:tcBorders>
                    <w:tl2br w:val="nil"/>
                    <w:tr2bl w:val="nil"/>
                  </w:tcBorders>
                  <w:noWrap w:val="0"/>
                  <w:vAlign w:val="center"/>
                </w:tcPr>
                <w:p w14:paraId="091ED046">
                  <w:pPr>
                    <w:spacing w:line="240" w:lineRule="auto"/>
                    <w:ind w:left="0" w:leftChars="0" w:right="0" w:rightChars="0" w:firstLine="0" w:firstLineChars="0"/>
                    <w:jc w:val="center"/>
                    <w:rPr>
                      <w:rFonts w:hint="default"/>
                      <w:color w:val="auto"/>
                      <w:sz w:val="18"/>
                      <w:szCs w:val="18"/>
                      <w:lang w:eastAsia="zh-CN"/>
                    </w:rPr>
                  </w:pPr>
                  <w:r>
                    <w:rPr>
                      <w:rFonts w:hint="default"/>
                      <w:color w:val="auto"/>
                      <w:sz w:val="18"/>
                      <w:szCs w:val="18"/>
                      <w:lang w:eastAsia="zh-CN"/>
                    </w:rPr>
                    <w:t>北厂界</w:t>
                  </w:r>
                </w:p>
              </w:tc>
              <w:tc>
                <w:tcPr>
                  <w:tcW w:w="863" w:type="pct"/>
                  <w:tcBorders>
                    <w:tl2br w:val="nil"/>
                    <w:tr2bl w:val="nil"/>
                  </w:tcBorders>
                  <w:noWrap w:val="0"/>
                  <w:vAlign w:val="center"/>
                </w:tcPr>
                <w:p w14:paraId="6ED66733">
                  <w:pPr>
                    <w:spacing w:line="240" w:lineRule="auto"/>
                    <w:ind w:left="0" w:leftChars="0" w:right="0" w:rightChars="0" w:firstLine="0" w:firstLineChars="0"/>
                    <w:jc w:val="center"/>
                    <w:rPr>
                      <w:rFonts w:hint="default"/>
                      <w:color w:val="auto"/>
                      <w:sz w:val="18"/>
                      <w:szCs w:val="18"/>
                      <w:lang w:val="en-US" w:eastAsia="zh-CN"/>
                    </w:rPr>
                  </w:pPr>
                  <w:r>
                    <w:rPr>
                      <w:rFonts w:hint="default"/>
                      <w:color w:val="auto"/>
                      <w:sz w:val="18"/>
                      <w:szCs w:val="18"/>
                      <w:lang w:val="en-US" w:eastAsia="zh-CN"/>
                    </w:rPr>
                    <w:t>西厂界</w:t>
                  </w:r>
                </w:p>
              </w:tc>
              <w:tc>
                <w:tcPr>
                  <w:tcW w:w="875" w:type="pct"/>
                  <w:tcBorders>
                    <w:tl2br w:val="nil"/>
                    <w:tr2bl w:val="nil"/>
                  </w:tcBorders>
                  <w:noWrap w:val="0"/>
                  <w:vAlign w:val="center"/>
                </w:tcPr>
                <w:p w14:paraId="64047D63">
                  <w:pPr>
                    <w:spacing w:line="240" w:lineRule="auto"/>
                    <w:ind w:left="0" w:leftChars="0" w:right="0" w:rightChars="0" w:firstLine="0" w:firstLineChars="0"/>
                    <w:jc w:val="center"/>
                    <w:rPr>
                      <w:rFonts w:hint="default"/>
                      <w:color w:val="auto"/>
                      <w:sz w:val="18"/>
                      <w:szCs w:val="18"/>
                      <w:lang w:val="en-US" w:eastAsia="zh-CN"/>
                    </w:rPr>
                  </w:pPr>
                  <w:r>
                    <w:rPr>
                      <w:rFonts w:hint="default"/>
                      <w:color w:val="auto"/>
                      <w:sz w:val="18"/>
                      <w:szCs w:val="18"/>
                      <w:lang w:val="en-US" w:eastAsia="zh-CN"/>
                    </w:rPr>
                    <w:t>南厂界</w:t>
                  </w:r>
                </w:p>
              </w:tc>
            </w:tr>
            <w:tr w14:paraId="4D1CAE5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5" w:hRule="atLeast"/>
                <w:jc w:val="center"/>
              </w:trPr>
              <w:tc>
                <w:tcPr>
                  <w:tcW w:w="504" w:type="pct"/>
                  <w:tcBorders>
                    <w:tl2br w:val="nil"/>
                    <w:tr2bl w:val="nil"/>
                  </w:tcBorders>
                  <w:noWrap w:val="0"/>
                  <w:vAlign w:val="center"/>
                </w:tcPr>
                <w:p w14:paraId="4144C3DF">
                  <w:pPr>
                    <w:spacing w:line="240" w:lineRule="auto"/>
                    <w:ind w:left="0" w:leftChars="0" w:right="0" w:rightChars="0" w:firstLine="0" w:firstLineChars="0"/>
                    <w:jc w:val="center"/>
                    <w:rPr>
                      <w:rFonts w:hint="default"/>
                      <w:color w:val="auto"/>
                      <w:sz w:val="18"/>
                      <w:szCs w:val="18"/>
                      <w:lang w:val="en-US" w:eastAsia="zh-CN"/>
                    </w:rPr>
                  </w:pPr>
                  <w:r>
                    <w:rPr>
                      <w:rFonts w:hint="default"/>
                      <w:color w:val="auto"/>
                      <w:sz w:val="18"/>
                      <w:szCs w:val="18"/>
                      <w:lang w:val="en-US" w:eastAsia="zh-CN"/>
                    </w:rPr>
                    <w:t>1</w:t>
                  </w:r>
                </w:p>
              </w:tc>
              <w:tc>
                <w:tcPr>
                  <w:tcW w:w="988" w:type="pct"/>
                  <w:tcBorders>
                    <w:tl2br w:val="nil"/>
                    <w:tr2bl w:val="nil"/>
                  </w:tcBorders>
                  <w:noWrap w:val="0"/>
                  <w:vAlign w:val="center"/>
                </w:tcPr>
                <w:p w14:paraId="796E71D8">
                  <w:pPr>
                    <w:spacing w:line="240" w:lineRule="auto"/>
                    <w:ind w:left="0" w:leftChars="0" w:right="0" w:rightChars="0" w:firstLine="0" w:firstLineChars="0"/>
                    <w:jc w:val="center"/>
                    <w:rPr>
                      <w:rFonts w:hint="default"/>
                      <w:color w:val="auto"/>
                      <w:sz w:val="18"/>
                      <w:szCs w:val="18"/>
                      <w:lang w:val="en-US" w:eastAsia="zh-CN"/>
                    </w:rPr>
                  </w:pPr>
                  <w:r>
                    <w:rPr>
                      <w:rFonts w:hint="eastAsia" w:ascii="宋体" w:hAnsi="宋体" w:cs="宋体"/>
                      <w:color w:val="000000"/>
                      <w:sz w:val="18"/>
                      <w:szCs w:val="18"/>
                      <w:lang w:eastAsia="zh-CN"/>
                    </w:rPr>
                    <w:t>东侧生产车间</w:t>
                  </w:r>
                </w:p>
              </w:tc>
              <w:tc>
                <w:tcPr>
                  <w:tcW w:w="922" w:type="pct"/>
                  <w:tcBorders>
                    <w:tl2br w:val="nil"/>
                    <w:tr2bl w:val="nil"/>
                  </w:tcBorders>
                  <w:noWrap w:val="0"/>
                  <w:vAlign w:val="center"/>
                </w:tcPr>
                <w:p w14:paraId="2DC1A258">
                  <w:pPr>
                    <w:spacing w:line="240" w:lineRule="auto"/>
                    <w:ind w:left="0" w:leftChars="0" w:right="0" w:rightChars="0"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84</w:t>
                  </w:r>
                </w:p>
              </w:tc>
              <w:tc>
                <w:tcPr>
                  <w:tcW w:w="845" w:type="pct"/>
                  <w:tcBorders>
                    <w:tl2br w:val="nil"/>
                    <w:tr2bl w:val="nil"/>
                  </w:tcBorders>
                  <w:noWrap w:val="0"/>
                  <w:vAlign w:val="center"/>
                </w:tcPr>
                <w:p w14:paraId="2AB00496">
                  <w:pPr>
                    <w:spacing w:line="240" w:lineRule="auto"/>
                    <w:ind w:left="0" w:leftChars="0" w:right="0" w:rightChars="0"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5</w:t>
                  </w:r>
                </w:p>
              </w:tc>
              <w:tc>
                <w:tcPr>
                  <w:tcW w:w="863" w:type="pct"/>
                  <w:tcBorders>
                    <w:tl2br w:val="nil"/>
                    <w:tr2bl w:val="nil"/>
                  </w:tcBorders>
                  <w:noWrap w:val="0"/>
                  <w:vAlign w:val="center"/>
                </w:tcPr>
                <w:p w14:paraId="49A5778C">
                  <w:pPr>
                    <w:spacing w:line="240" w:lineRule="auto"/>
                    <w:ind w:left="0" w:leftChars="0" w:right="0" w:rightChars="0"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30</w:t>
                  </w:r>
                </w:p>
              </w:tc>
              <w:tc>
                <w:tcPr>
                  <w:tcW w:w="875" w:type="pct"/>
                  <w:tcBorders>
                    <w:tl2br w:val="nil"/>
                    <w:tr2bl w:val="nil"/>
                  </w:tcBorders>
                  <w:noWrap w:val="0"/>
                  <w:vAlign w:val="center"/>
                </w:tcPr>
                <w:p w14:paraId="75F996C4">
                  <w:pPr>
                    <w:spacing w:line="240" w:lineRule="auto"/>
                    <w:ind w:left="0" w:leftChars="0" w:right="0" w:rightChars="0" w:firstLine="0" w:firstLineChars="0"/>
                    <w:jc w:val="center"/>
                    <w:rPr>
                      <w:rFonts w:hint="default"/>
                      <w:color w:val="auto"/>
                      <w:sz w:val="18"/>
                      <w:szCs w:val="18"/>
                      <w:highlight w:val="none"/>
                      <w:lang w:val="en-US" w:eastAsia="zh-CN"/>
                    </w:rPr>
                  </w:pPr>
                  <w:r>
                    <w:rPr>
                      <w:rFonts w:hint="eastAsia"/>
                      <w:color w:val="auto"/>
                      <w:sz w:val="18"/>
                      <w:szCs w:val="18"/>
                      <w:highlight w:val="none"/>
                      <w:lang w:val="en-US" w:eastAsia="zh-CN"/>
                    </w:rPr>
                    <w:t>2</w:t>
                  </w:r>
                </w:p>
              </w:tc>
            </w:tr>
            <w:tr w14:paraId="05D10B8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15" w:hRule="atLeast"/>
                <w:jc w:val="center"/>
              </w:trPr>
              <w:tc>
                <w:tcPr>
                  <w:tcW w:w="504" w:type="pct"/>
                  <w:tcBorders>
                    <w:tl2br w:val="nil"/>
                    <w:tr2bl w:val="nil"/>
                  </w:tcBorders>
                  <w:noWrap w:val="0"/>
                  <w:vAlign w:val="center"/>
                </w:tcPr>
                <w:p w14:paraId="75667A42">
                  <w:pPr>
                    <w:spacing w:line="240" w:lineRule="auto"/>
                    <w:ind w:left="0" w:leftChars="0" w:right="0" w:rightChars="0" w:firstLine="0" w:firstLineChars="0"/>
                    <w:jc w:val="center"/>
                    <w:rPr>
                      <w:rFonts w:hint="default"/>
                      <w:color w:val="auto"/>
                      <w:sz w:val="18"/>
                      <w:szCs w:val="18"/>
                      <w:lang w:val="en-US" w:eastAsia="zh-CN"/>
                    </w:rPr>
                  </w:pPr>
                  <w:r>
                    <w:rPr>
                      <w:rFonts w:hint="eastAsia"/>
                      <w:color w:val="auto"/>
                      <w:sz w:val="18"/>
                      <w:szCs w:val="18"/>
                      <w:lang w:val="en-US" w:eastAsia="zh-CN"/>
                    </w:rPr>
                    <w:t>2</w:t>
                  </w:r>
                </w:p>
              </w:tc>
              <w:tc>
                <w:tcPr>
                  <w:tcW w:w="988" w:type="pct"/>
                  <w:tcBorders>
                    <w:tl2br w:val="nil"/>
                    <w:tr2bl w:val="nil"/>
                  </w:tcBorders>
                  <w:noWrap w:val="0"/>
                  <w:vAlign w:val="center"/>
                </w:tcPr>
                <w:p w14:paraId="34A157EB">
                  <w:pPr>
                    <w:spacing w:line="240" w:lineRule="auto"/>
                    <w:ind w:left="0" w:leftChars="0" w:right="0" w:rightChars="0" w:firstLine="0" w:firstLineChars="0"/>
                    <w:jc w:val="center"/>
                    <w:rPr>
                      <w:rFonts w:hint="default"/>
                      <w:color w:val="auto"/>
                      <w:sz w:val="18"/>
                      <w:szCs w:val="18"/>
                      <w:lang w:val="en-US" w:eastAsia="zh-CN"/>
                    </w:rPr>
                  </w:pPr>
                  <w:r>
                    <w:rPr>
                      <w:rFonts w:hint="eastAsia" w:ascii="宋体" w:hAnsi="宋体" w:cs="宋体"/>
                      <w:color w:val="000000"/>
                      <w:sz w:val="18"/>
                      <w:szCs w:val="18"/>
                      <w:lang w:eastAsia="zh-CN"/>
                    </w:rPr>
                    <w:t>西侧生产车间</w:t>
                  </w:r>
                </w:p>
              </w:tc>
              <w:tc>
                <w:tcPr>
                  <w:tcW w:w="922" w:type="pct"/>
                  <w:tcBorders>
                    <w:tl2br w:val="nil"/>
                    <w:tr2bl w:val="nil"/>
                  </w:tcBorders>
                  <w:noWrap w:val="0"/>
                  <w:vAlign w:val="center"/>
                </w:tcPr>
                <w:p w14:paraId="43D60191">
                  <w:pPr>
                    <w:spacing w:line="240" w:lineRule="auto"/>
                    <w:ind w:left="0" w:leftChars="0" w:right="0" w:rightChars="0" w:firstLine="0" w:firstLineChars="0"/>
                    <w:jc w:val="center"/>
                    <w:rPr>
                      <w:rFonts w:hint="default"/>
                      <w:color w:val="auto"/>
                      <w:sz w:val="18"/>
                      <w:szCs w:val="18"/>
                      <w:lang w:val="en-US" w:eastAsia="zh-CN"/>
                    </w:rPr>
                  </w:pPr>
                  <w:r>
                    <w:rPr>
                      <w:rFonts w:hint="eastAsia"/>
                      <w:color w:val="auto"/>
                      <w:sz w:val="18"/>
                      <w:szCs w:val="18"/>
                      <w:lang w:val="en-US" w:eastAsia="zh-CN"/>
                    </w:rPr>
                    <w:t>148</w:t>
                  </w:r>
                </w:p>
              </w:tc>
              <w:tc>
                <w:tcPr>
                  <w:tcW w:w="845" w:type="pct"/>
                  <w:tcBorders>
                    <w:tl2br w:val="nil"/>
                    <w:tr2bl w:val="nil"/>
                  </w:tcBorders>
                  <w:noWrap w:val="0"/>
                  <w:vAlign w:val="center"/>
                </w:tcPr>
                <w:p w14:paraId="1376C65F">
                  <w:pPr>
                    <w:spacing w:line="240" w:lineRule="auto"/>
                    <w:ind w:left="0" w:leftChars="0" w:right="0" w:rightChars="0" w:firstLine="0" w:firstLineChars="0"/>
                    <w:jc w:val="center"/>
                    <w:rPr>
                      <w:rFonts w:hint="default"/>
                      <w:color w:val="auto"/>
                      <w:sz w:val="18"/>
                      <w:szCs w:val="18"/>
                      <w:lang w:val="en-US" w:eastAsia="zh-CN"/>
                    </w:rPr>
                  </w:pPr>
                  <w:r>
                    <w:rPr>
                      <w:rFonts w:hint="eastAsia"/>
                      <w:color w:val="auto"/>
                      <w:sz w:val="18"/>
                      <w:szCs w:val="18"/>
                      <w:lang w:val="en-US" w:eastAsia="zh-CN"/>
                    </w:rPr>
                    <w:t>5</w:t>
                  </w:r>
                </w:p>
              </w:tc>
              <w:tc>
                <w:tcPr>
                  <w:tcW w:w="863" w:type="pct"/>
                  <w:tcBorders>
                    <w:tl2br w:val="nil"/>
                    <w:tr2bl w:val="nil"/>
                  </w:tcBorders>
                  <w:noWrap w:val="0"/>
                  <w:vAlign w:val="center"/>
                </w:tcPr>
                <w:p w14:paraId="4C8D2B4C">
                  <w:pPr>
                    <w:spacing w:line="240" w:lineRule="auto"/>
                    <w:ind w:left="0" w:leftChars="0" w:right="0" w:rightChars="0" w:firstLine="0" w:firstLineChars="0"/>
                    <w:jc w:val="center"/>
                    <w:rPr>
                      <w:rFonts w:hint="default"/>
                      <w:color w:val="auto"/>
                      <w:sz w:val="18"/>
                      <w:szCs w:val="18"/>
                      <w:lang w:val="en-US" w:eastAsia="zh-CN"/>
                    </w:rPr>
                  </w:pPr>
                  <w:r>
                    <w:rPr>
                      <w:rFonts w:hint="eastAsia"/>
                      <w:color w:val="auto"/>
                      <w:sz w:val="18"/>
                      <w:szCs w:val="18"/>
                      <w:lang w:val="en-US" w:eastAsia="zh-CN"/>
                    </w:rPr>
                    <w:t>2</w:t>
                  </w:r>
                </w:p>
              </w:tc>
              <w:tc>
                <w:tcPr>
                  <w:tcW w:w="875" w:type="pct"/>
                  <w:tcBorders>
                    <w:tl2br w:val="nil"/>
                    <w:tr2bl w:val="nil"/>
                  </w:tcBorders>
                  <w:noWrap w:val="0"/>
                  <w:vAlign w:val="center"/>
                </w:tcPr>
                <w:p w14:paraId="710EFAB5">
                  <w:pPr>
                    <w:spacing w:line="240" w:lineRule="auto"/>
                    <w:ind w:left="0" w:leftChars="0" w:right="0" w:rightChars="0" w:firstLine="0" w:firstLineChars="0"/>
                    <w:jc w:val="center"/>
                    <w:rPr>
                      <w:rFonts w:hint="default"/>
                      <w:color w:val="auto"/>
                      <w:sz w:val="18"/>
                      <w:szCs w:val="18"/>
                      <w:lang w:val="en-US" w:eastAsia="zh-CN"/>
                    </w:rPr>
                  </w:pPr>
                  <w:r>
                    <w:rPr>
                      <w:rFonts w:hint="eastAsia"/>
                      <w:color w:val="auto"/>
                      <w:sz w:val="18"/>
                      <w:szCs w:val="18"/>
                      <w:lang w:val="en-US" w:eastAsia="zh-CN"/>
                    </w:rPr>
                    <w:t>2</w:t>
                  </w:r>
                </w:p>
              </w:tc>
            </w:tr>
          </w:tbl>
          <w:p w14:paraId="6F5AF679">
            <w:pPr>
              <w:spacing w:line="420" w:lineRule="exact"/>
              <w:ind w:firstLine="420" w:firstLineChars="200"/>
            </w:pPr>
            <w:r>
              <w:t>噪声影响评价选取4个厂界点位作为此次本工程对环境的影响预测点，预测、评价工程噪声对环境的影响。利用以上模式和参数计算得出项目建成后，主要噪声设备对厂界和敏感点的噪声</w:t>
            </w:r>
            <w:r>
              <w:rPr>
                <w:rFonts w:hint="eastAsia"/>
                <w:lang w:eastAsia="zh-CN"/>
              </w:rPr>
              <w:t>贡献</w:t>
            </w:r>
            <w:r>
              <w:t>值。结果见下表。</w:t>
            </w:r>
          </w:p>
          <w:p w14:paraId="18B6F2EB">
            <w:pPr>
              <w:spacing w:line="420" w:lineRule="exact"/>
              <w:jc w:val="center"/>
              <w:rPr>
                <w:b/>
                <w:spacing w:val="8"/>
                <w:kern w:val="24"/>
                <w:highlight w:val="none"/>
              </w:rPr>
            </w:pPr>
            <w:r>
              <w:rPr>
                <w:b/>
                <w:spacing w:val="8"/>
                <w:kern w:val="24"/>
                <w:highlight w:val="none"/>
              </w:rPr>
              <w:t>表4-</w:t>
            </w:r>
            <w:r>
              <w:rPr>
                <w:rFonts w:hint="eastAsia"/>
                <w:b/>
                <w:spacing w:val="8"/>
                <w:kern w:val="24"/>
                <w:highlight w:val="none"/>
                <w:lang w:val="en-US" w:eastAsia="zh-CN"/>
              </w:rPr>
              <w:t>23</w:t>
            </w:r>
            <w:r>
              <w:rPr>
                <w:b/>
                <w:spacing w:val="8"/>
                <w:kern w:val="24"/>
                <w:highlight w:val="none"/>
              </w:rPr>
              <w:t>项目建成后各厂界</w:t>
            </w:r>
            <w:r>
              <w:rPr>
                <w:rFonts w:hint="eastAsia"/>
                <w:b/>
                <w:spacing w:val="8"/>
                <w:kern w:val="24"/>
                <w:highlight w:val="none"/>
                <w:lang w:eastAsia="zh-CN"/>
              </w:rPr>
              <w:t>噪声贡献</w:t>
            </w:r>
            <w:r>
              <w:rPr>
                <w:b/>
                <w:spacing w:val="8"/>
                <w:kern w:val="24"/>
                <w:highlight w:val="none"/>
              </w:rPr>
              <w:t>值一览表  单位：dB（A）</w:t>
            </w:r>
          </w:p>
          <w:tbl>
            <w:tblPr>
              <w:tblStyle w:val="82"/>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287"/>
              <w:gridCol w:w="3485"/>
              <w:gridCol w:w="2325"/>
            </w:tblGrid>
            <w:tr w14:paraId="2ECF6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vMerge w:val="restart"/>
                  <w:tcBorders>
                    <w:tl2br w:val="nil"/>
                    <w:tr2bl w:val="nil"/>
                  </w:tcBorders>
                  <w:noWrap w:val="0"/>
                  <w:vAlign w:val="center"/>
                </w:tcPr>
                <w:p w14:paraId="1B79D413">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z w:val="18"/>
                      <w:szCs w:val="18"/>
                      <w:highlight w:val="none"/>
                      <w:lang w:val="zh-CN" w:eastAsia="zh-CN"/>
                    </w:rPr>
                  </w:pPr>
                  <w:r>
                    <w:rPr>
                      <w:rFonts w:hint="default" w:ascii="Times New Roman" w:hAnsi="Times New Roman" w:eastAsia="宋体" w:cs="Times New Roman"/>
                      <w:b/>
                      <w:bCs/>
                      <w:color w:val="auto"/>
                      <w:sz w:val="18"/>
                      <w:szCs w:val="18"/>
                      <w:highlight w:val="none"/>
                      <w:lang w:val="zh-CN" w:eastAsia="zh-CN"/>
                    </w:rPr>
                    <w:t>序号</w:t>
                  </w:r>
                </w:p>
              </w:tc>
              <w:tc>
                <w:tcPr>
                  <w:tcW w:w="769" w:type="pct"/>
                  <w:vMerge w:val="restart"/>
                  <w:tcBorders>
                    <w:tl2br w:val="nil"/>
                    <w:tr2bl w:val="nil"/>
                  </w:tcBorders>
                  <w:noWrap w:val="0"/>
                  <w:vAlign w:val="center"/>
                </w:tcPr>
                <w:p w14:paraId="39059066">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z w:val="18"/>
                      <w:szCs w:val="18"/>
                      <w:highlight w:val="none"/>
                      <w:lang w:val="zh-CN" w:eastAsia="zh-CN"/>
                    </w:rPr>
                  </w:pPr>
                  <w:r>
                    <w:rPr>
                      <w:rFonts w:hint="default" w:ascii="Times New Roman" w:hAnsi="Times New Roman" w:eastAsia="宋体" w:cs="Times New Roman"/>
                      <w:b/>
                      <w:bCs/>
                      <w:color w:val="auto"/>
                      <w:sz w:val="18"/>
                      <w:szCs w:val="18"/>
                      <w:highlight w:val="none"/>
                      <w:lang w:val="zh-CN" w:eastAsia="zh-CN"/>
                    </w:rPr>
                    <w:t>声环境保护目标名称</w:t>
                  </w:r>
                </w:p>
              </w:tc>
              <w:tc>
                <w:tcPr>
                  <w:tcW w:w="2082" w:type="pct"/>
                  <w:tcBorders>
                    <w:tl2br w:val="nil"/>
                    <w:tr2bl w:val="nil"/>
                  </w:tcBorders>
                  <w:noWrap w:val="0"/>
                  <w:vAlign w:val="center"/>
                </w:tcPr>
                <w:p w14:paraId="084656BA">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z w:val="18"/>
                      <w:szCs w:val="18"/>
                      <w:highlight w:val="none"/>
                      <w:lang w:val="zh-CN" w:eastAsia="zh-CN"/>
                    </w:rPr>
                  </w:pPr>
                  <w:r>
                    <w:rPr>
                      <w:rFonts w:hint="default" w:ascii="Times New Roman" w:hAnsi="Times New Roman" w:eastAsia="宋体" w:cs="Times New Roman"/>
                      <w:b/>
                      <w:bCs/>
                      <w:color w:val="auto"/>
                      <w:sz w:val="18"/>
                      <w:szCs w:val="18"/>
                      <w:highlight w:val="none"/>
                      <w:lang w:val="zh-CN" w:eastAsia="zh-CN"/>
                    </w:rPr>
                    <w:t>噪声贡献值</w:t>
                  </w:r>
                  <w:r>
                    <w:rPr>
                      <w:rFonts w:hint="default" w:ascii="Times New Roman" w:hAnsi="Times New Roman" w:eastAsia="宋体" w:cs="Times New Roman"/>
                      <w:b/>
                      <w:bCs/>
                      <w:color w:val="auto"/>
                      <w:sz w:val="18"/>
                      <w:szCs w:val="18"/>
                      <w:highlight w:val="none"/>
                      <w:lang w:val="en-US" w:eastAsia="zh-CN"/>
                    </w:rPr>
                    <w:t>/dB（A）</w:t>
                  </w:r>
                </w:p>
              </w:tc>
              <w:tc>
                <w:tcPr>
                  <w:tcW w:w="1389" w:type="pct"/>
                  <w:tcBorders>
                    <w:tl2br w:val="nil"/>
                    <w:tr2bl w:val="nil"/>
                  </w:tcBorders>
                  <w:noWrap w:val="0"/>
                  <w:vAlign w:val="center"/>
                </w:tcPr>
                <w:p w14:paraId="499A7FAC">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z w:val="18"/>
                      <w:szCs w:val="18"/>
                      <w:highlight w:val="none"/>
                      <w:lang w:val="zh-CN" w:eastAsia="zh-CN"/>
                    </w:rPr>
                  </w:pPr>
                  <w:r>
                    <w:rPr>
                      <w:rFonts w:hint="default" w:ascii="Times New Roman" w:hAnsi="Times New Roman" w:eastAsia="宋体" w:cs="Times New Roman"/>
                      <w:b/>
                      <w:bCs/>
                      <w:color w:val="auto"/>
                      <w:sz w:val="18"/>
                      <w:szCs w:val="18"/>
                      <w:highlight w:val="none"/>
                      <w:lang w:val="zh-CN" w:eastAsia="zh-CN"/>
                    </w:rPr>
                    <w:t>超标和达标情况</w:t>
                  </w:r>
                </w:p>
              </w:tc>
            </w:tr>
            <w:tr w14:paraId="5A0060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vMerge w:val="continue"/>
                  <w:tcBorders>
                    <w:tl2br w:val="nil"/>
                    <w:tr2bl w:val="nil"/>
                  </w:tcBorders>
                  <w:noWrap w:val="0"/>
                  <w:vAlign w:val="center"/>
                </w:tcPr>
                <w:p w14:paraId="7548E44B">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z w:val="18"/>
                      <w:szCs w:val="18"/>
                      <w:highlight w:val="none"/>
                      <w:lang w:val="en-US" w:eastAsia="zh-CN"/>
                    </w:rPr>
                  </w:pPr>
                </w:p>
              </w:tc>
              <w:tc>
                <w:tcPr>
                  <w:tcW w:w="769" w:type="pct"/>
                  <w:vMerge w:val="continue"/>
                  <w:tcBorders>
                    <w:tl2br w:val="nil"/>
                    <w:tr2bl w:val="nil"/>
                  </w:tcBorders>
                  <w:noWrap w:val="0"/>
                  <w:vAlign w:val="center"/>
                </w:tcPr>
                <w:p w14:paraId="13BC10F7">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z w:val="18"/>
                      <w:szCs w:val="18"/>
                      <w:highlight w:val="none"/>
                      <w:lang w:val="zh-CN" w:eastAsia="zh-CN"/>
                    </w:rPr>
                  </w:pPr>
                </w:p>
              </w:tc>
              <w:tc>
                <w:tcPr>
                  <w:tcW w:w="2082" w:type="pct"/>
                  <w:tcBorders>
                    <w:tl2br w:val="nil"/>
                    <w:tr2bl w:val="nil"/>
                  </w:tcBorders>
                  <w:noWrap w:val="0"/>
                  <w:vAlign w:val="center"/>
                </w:tcPr>
                <w:p w14:paraId="65C4854E">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z w:val="18"/>
                      <w:szCs w:val="18"/>
                      <w:highlight w:val="none"/>
                      <w:lang w:val="zh-CN" w:eastAsia="zh-CN"/>
                    </w:rPr>
                  </w:pPr>
                  <w:r>
                    <w:rPr>
                      <w:rFonts w:hint="default" w:ascii="Times New Roman" w:hAnsi="Times New Roman" w:eastAsia="宋体" w:cs="Times New Roman"/>
                      <w:b/>
                      <w:bCs/>
                      <w:color w:val="auto"/>
                      <w:sz w:val="18"/>
                      <w:szCs w:val="18"/>
                      <w:highlight w:val="none"/>
                      <w:lang w:val="zh-CN" w:eastAsia="zh-CN"/>
                    </w:rPr>
                    <w:t>昼间</w:t>
                  </w:r>
                </w:p>
              </w:tc>
              <w:tc>
                <w:tcPr>
                  <w:tcW w:w="1389" w:type="pct"/>
                  <w:tcBorders>
                    <w:tl2br w:val="nil"/>
                    <w:tr2bl w:val="nil"/>
                  </w:tcBorders>
                  <w:noWrap w:val="0"/>
                  <w:vAlign w:val="center"/>
                </w:tcPr>
                <w:p w14:paraId="74DD2D4C">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b/>
                      <w:bCs/>
                      <w:color w:val="auto"/>
                      <w:sz w:val="18"/>
                      <w:szCs w:val="18"/>
                      <w:highlight w:val="none"/>
                      <w:lang w:val="zh-CN" w:eastAsia="zh-CN"/>
                    </w:rPr>
                  </w:pPr>
                  <w:r>
                    <w:rPr>
                      <w:rFonts w:hint="default" w:ascii="Times New Roman" w:hAnsi="Times New Roman" w:eastAsia="宋体" w:cs="Times New Roman"/>
                      <w:b/>
                      <w:bCs/>
                      <w:color w:val="auto"/>
                      <w:sz w:val="18"/>
                      <w:szCs w:val="18"/>
                      <w:highlight w:val="none"/>
                      <w:lang w:val="zh-CN" w:eastAsia="zh-CN"/>
                    </w:rPr>
                    <w:t>昼间</w:t>
                  </w:r>
                </w:p>
              </w:tc>
            </w:tr>
            <w:tr w14:paraId="46E9AE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tcBorders>
                    <w:tl2br w:val="nil"/>
                    <w:tr2bl w:val="nil"/>
                  </w:tcBorders>
                  <w:noWrap w:val="0"/>
                  <w:vAlign w:val="center"/>
                </w:tcPr>
                <w:p w14:paraId="46DB62A7">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1</w:t>
                  </w:r>
                </w:p>
              </w:tc>
              <w:tc>
                <w:tcPr>
                  <w:tcW w:w="769" w:type="pct"/>
                  <w:tcBorders>
                    <w:tl2br w:val="nil"/>
                    <w:tr2bl w:val="nil"/>
                  </w:tcBorders>
                  <w:noWrap w:val="0"/>
                  <w:vAlign w:val="center"/>
                </w:tcPr>
                <w:p w14:paraId="4B9AFDA1">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zh-CN" w:eastAsia="zh-CN"/>
                    </w:rPr>
                    <w:t>东厂界</w:t>
                  </w:r>
                </w:p>
              </w:tc>
              <w:tc>
                <w:tcPr>
                  <w:tcW w:w="2082" w:type="pct"/>
                  <w:tcBorders>
                    <w:tl2br w:val="nil"/>
                    <w:tr2bl w:val="nil"/>
                  </w:tcBorders>
                  <w:noWrap w:val="0"/>
                  <w:vAlign w:val="center"/>
                </w:tcPr>
                <w:p w14:paraId="264D202B">
                  <w:pPr>
                    <w:widowControl/>
                    <w:spacing w:line="300" w:lineRule="exact"/>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1.45</w:t>
                  </w:r>
                </w:p>
              </w:tc>
              <w:tc>
                <w:tcPr>
                  <w:tcW w:w="1389" w:type="pct"/>
                  <w:tcBorders>
                    <w:tl2br w:val="nil"/>
                    <w:tr2bl w:val="nil"/>
                  </w:tcBorders>
                  <w:noWrap w:val="0"/>
                  <w:vAlign w:val="center"/>
                </w:tcPr>
                <w:p w14:paraId="42DA4CB9">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zh-CN" w:eastAsia="zh-CN"/>
                    </w:rPr>
                    <w:t>达标</w:t>
                  </w:r>
                </w:p>
              </w:tc>
            </w:tr>
            <w:tr w14:paraId="594734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tcBorders>
                    <w:tl2br w:val="nil"/>
                    <w:tr2bl w:val="nil"/>
                  </w:tcBorders>
                  <w:noWrap w:val="0"/>
                  <w:vAlign w:val="center"/>
                </w:tcPr>
                <w:p w14:paraId="5B964174">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2</w:t>
                  </w:r>
                </w:p>
              </w:tc>
              <w:tc>
                <w:tcPr>
                  <w:tcW w:w="769" w:type="pct"/>
                  <w:tcBorders>
                    <w:tl2br w:val="nil"/>
                    <w:tr2bl w:val="nil"/>
                  </w:tcBorders>
                  <w:noWrap w:val="0"/>
                  <w:vAlign w:val="center"/>
                </w:tcPr>
                <w:p w14:paraId="410348F7">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en-US" w:eastAsia="zh-CN"/>
                    </w:rPr>
                    <w:t>南</w:t>
                  </w:r>
                  <w:r>
                    <w:rPr>
                      <w:rFonts w:hint="default" w:ascii="Times New Roman" w:hAnsi="Times New Roman" w:eastAsia="宋体" w:cs="Times New Roman"/>
                      <w:color w:val="auto"/>
                      <w:sz w:val="18"/>
                      <w:szCs w:val="18"/>
                      <w:highlight w:val="none"/>
                      <w:lang w:val="zh-CN" w:eastAsia="zh-CN"/>
                    </w:rPr>
                    <w:t>厂界</w:t>
                  </w:r>
                </w:p>
              </w:tc>
              <w:tc>
                <w:tcPr>
                  <w:tcW w:w="2082" w:type="pct"/>
                  <w:tcBorders>
                    <w:tl2br w:val="nil"/>
                    <w:tr2bl w:val="nil"/>
                  </w:tcBorders>
                  <w:noWrap w:val="0"/>
                  <w:vAlign w:val="center"/>
                </w:tcPr>
                <w:p w14:paraId="02275FCD">
                  <w:pPr>
                    <w:widowControl/>
                    <w:spacing w:line="300" w:lineRule="exact"/>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43.94</w:t>
                  </w:r>
                </w:p>
              </w:tc>
              <w:tc>
                <w:tcPr>
                  <w:tcW w:w="1389" w:type="pct"/>
                  <w:tcBorders>
                    <w:tl2br w:val="nil"/>
                    <w:tr2bl w:val="nil"/>
                  </w:tcBorders>
                  <w:noWrap w:val="0"/>
                  <w:vAlign w:val="center"/>
                </w:tcPr>
                <w:p w14:paraId="152DE4F0">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zh-CN" w:eastAsia="zh-CN"/>
                    </w:rPr>
                    <w:t>达标</w:t>
                  </w:r>
                </w:p>
              </w:tc>
            </w:tr>
            <w:tr w14:paraId="4F0C12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tcBorders>
                    <w:tl2br w:val="nil"/>
                    <w:tr2bl w:val="nil"/>
                  </w:tcBorders>
                  <w:noWrap w:val="0"/>
                  <w:vAlign w:val="center"/>
                </w:tcPr>
                <w:p w14:paraId="3773C785">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3</w:t>
                  </w:r>
                </w:p>
              </w:tc>
              <w:tc>
                <w:tcPr>
                  <w:tcW w:w="769" w:type="pct"/>
                  <w:tcBorders>
                    <w:tl2br w:val="nil"/>
                    <w:tr2bl w:val="nil"/>
                  </w:tcBorders>
                  <w:noWrap w:val="0"/>
                  <w:vAlign w:val="center"/>
                </w:tcPr>
                <w:p w14:paraId="1F9A4D65">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en-US" w:eastAsia="zh-CN"/>
                    </w:rPr>
                    <w:t>西</w:t>
                  </w:r>
                  <w:r>
                    <w:rPr>
                      <w:rFonts w:hint="default" w:ascii="Times New Roman" w:hAnsi="Times New Roman" w:eastAsia="宋体" w:cs="Times New Roman"/>
                      <w:color w:val="auto"/>
                      <w:sz w:val="18"/>
                      <w:szCs w:val="18"/>
                      <w:highlight w:val="none"/>
                      <w:lang w:val="zh-CN" w:eastAsia="zh-CN"/>
                    </w:rPr>
                    <w:t>厂界</w:t>
                  </w:r>
                </w:p>
              </w:tc>
              <w:tc>
                <w:tcPr>
                  <w:tcW w:w="2082" w:type="pct"/>
                  <w:tcBorders>
                    <w:tl2br w:val="nil"/>
                    <w:tr2bl w:val="nil"/>
                  </w:tcBorders>
                  <w:noWrap w:val="0"/>
                  <w:vAlign w:val="center"/>
                </w:tcPr>
                <w:p w14:paraId="1C2CC1F9">
                  <w:pPr>
                    <w:widowControl/>
                    <w:spacing w:line="300" w:lineRule="exact"/>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18.97</w:t>
                  </w:r>
                </w:p>
              </w:tc>
              <w:tc>
                <w:tcPr>
                  <w:tcW w:w="1389" w:type="pct"/>
                  <w:tcBorders>
                    <w:tl2br w:val="nil"/>
                    <w:tr2bl w:val="nil"/>
                  </w:tcBorders>
                  <w:noWrap w:val="0"/>
                  <w:vAlign w:val="center"/>
                </w:tcPr>
                <w:p w14:paraId="240E74AE">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zh-CN" w:eastAsia="zh-CN"/>
                    </w:rPr>
                    <w:t>达标</w:t>
                  </w:r>
                </w:p>
              </w:tc>
            </w:tr>
            <w:tr w14:paraId="47946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59" w:type="pct"/>
                  <w:tcBorders>
                    <w:tl2br w:val="nil"/>
                    <w:tr2bl w:val="nil"/>
                  </w:tcBorders>
                  <w:noWrap w:val="0"/>
                  <w:vAlign w:val="center"/>
                </w:tcPr>
                <w:p w14:paraId="48A2ACB5">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4</w:t>
                  </w:r>
                </w:p>
              </w:tc>
              <w:tc>
                <w:tcPr>
                  <w:tcW w:w="769" w:type="pct"/>
                  <w:tcBorders>
                    <w:tl2br w:val="nil"/>
                    <w:tr2bl w:val="nil"/>
                  </w:tcBorders>
                  <w:noWrap w:val="0"/>
                  <w:vAlign w:val="center"/>
                </w:tcPr>
                <w:p w14:paraId="3369E04E">
                  <w:pPr>
                    <w:pStyle w:val="324"/>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zh-CN" w:eastAsia="zh-CN"/>
                    </w:rPr>
                    <w:t>北厂界</w:t>
                  </w:r>
                </w:p>
              </w:tc>
              <w:tc>
                <w:tcPr>
                  <w:tcW w:w="2082" w:type="pct"/>
                  <w:tcBorders>
                    <w:tl2br w:val="nil"/>
                    <w:tr2bl w:val="nil"/>
                  </w:tcBorders>
                  <w:noWrap w:val="0"/>
                  <w:vAlign w:val="center"/>
                </w:tcPr>
                <w:p w14:paraId="2B04E20C">
                  <w:pPr>
                    <w:widowControl/>
                    <w:spacing w:line="300" w:lineRule="exact"/>
                    <w:jc w:val="center"/>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13.02</w:t>
                  </w:r>
                </w:p>
              </w:tc>
              <w:tc>
                <w:tcPr>
                  <w:tcW w:w="1389" w:type="pct"/>
                  <w:tcBorders>
                    <w:tl2br w:val="nil"/>
                    <w:tr2bl w:val="nil"/>
                  </w:tcBorders>
                  <w:noWrap w:val="0"/>
                  <w:vAlign w:val="center"/>
                </w:tcPr>
                <w:p w14:paraId="27FCE1D1">
                  <w:pPr>
                    <w:keepNext w:val="0"/>
                    <w:keepLines w:val="0"/>
                    <w:pageBreakBefore w:val="0"/>
                    <w:kinsoku/>
                    <w:wordWrap/>
                    <w:overflowPunct/>
                    <w:topLinePunct w:val="0"/>
                    <w:autoSpaceDE/>
                    <w:autoSpaceDN/>
                    <w:bidi w:val="0"/>
                    <w:adjustRightInd w:val="0"/>
                    <w:snapToGrid w:val="0"/>
                    <w:spacing w:line="240" w:lineRule="auto"/>
                    <w:ind w:firstLine="0" w:firstLineChars="0"/>
                    <w:jc w:val="center"/>
                    <w:rPr>
                      <w:rFonts w:hint="default" w:ascii="Times New Roman" w:hAnsi="Times New Roman" w:eastAsia="宋体" w:cs="Times New Roman"/>
                      <w:color w:val="auto"/>
                      <w:sz w:val="18"/>
                      <w:szCs w:val="18"/>
                      <w:highlight w:val="none"/>
                      <w:lang w:val="zh-CN" w:eastAsia="zh-CN"/>
                    </w:rPr>
                  </w:pPr>
                  <w:r>
                    <w:rPr>
                      <w:rFonts w:hint="default" w:ascii="Times New Roman" w:hAnsi="Times New Roman" w:eastAsia="宋体" w:cs="Times New Roman"/>
                      <w:color w:val="auto"/>
                      <w:sz w:val="18"/>
                      <w:szCs w:val="18"/>
                      <w:highlight w:val="none"/>
                      <w:lang w:val="zh-CN" w:eastAsia="zh-CN"/>
                    </w:rPr>
                    <w:t>达标</w:t>
                  </w:r>
                </w:p>
              </w:tc>
            </w:tr>
          </w:tbl>
          <w:p w14:paraId="50F32012">
            <w:pPr>
              <w:spacing w:line="420" w:lineRule="exact"/>
              <w:ind w:firstLine="420" w:firstLineChars="200"/>
            </w:pPr>
            <w:r>
              <w:rPr>
                <w:rFonts w:hint="eastAsia"/>
                <w:lang w:eastAsia="zh-CN"/>
              </w:rPr>
              <w:t>项目夜间不生产，</w:t>
            </w:r>
            <w:r>
              <w:t>由上表可知项目运营后厂界昼间噪声能满足《工业企业厂界环境噪声排放标准》（GB12348-2008）中2类标准（昼间60dB（A））。</w:t>
            </w:r>
          </w:p>
          <w:p w14:paraId="2B7E0ACC">
            <w:pPr>
              <w:spacing w:line="420" w:lineRule="exact"/>
              <w:ind w:firstLine="422" w:firstLineChars="200"/>
              <w:rPr>
                <w:b/>
                <w:bCs/>
                <w:szCs w:val="18"/>
              </w:rPr>
            </w:pPr>
            <w:r>
              <w:rPr>
                <w:b/>
                <w:bCs/>
                <w:szCs w:val="18"/>
              </w:rPr>
              <w:t>3、监测要求</w:t>
            </w:r>
          </w:p>
          <w:p w14:paraId="72824EB9">
            <w:pPr>
              <w:spacing w:line="420" w:lineRule="exact"/>
              <w:ind w:firstLine="420" w:firstLineChars="200"/>
            </w:pPr>
            <w:r>
              <w:t xml:space="preserve">依据《排污单位自行监测技术指南 </w:t>
            </w:r>
            <w:r>
              <w:rPr>
                <w:rFonts w:hint="eastAsia"/>
                <w:lang w:eastAsia="zh-CN"/>
              </w:rPr>
              <w:t>总则</w:t>
            </w:r>
            <w:r>
              <w:t>》（HJ</w:t>
            </w:r>
            <w:r>
              <w:rPr>
                <w:rFonts w:hint="eastAsia"/>
                <w:lang w:val="en-US" w:eastAsia="zh-CN"/>
              </w:rPr>
              <w:t>819-2017</w:t>
            </w:r>
            <w:r>
              <w:t>）</w:t>
            </w:r>
            <w:r>
              <w:rPr>
                <w:rFonts w:hint="eastAsia"/>
                <w:lang w:eastAsia="zh-CN"/>
              </w:rPr>
              <w:t>及《排污许可证申请与核发技术规范 工业噪声》（HJ 1301—2023）要求</w:t>
            </w:r>
            <w:r>
              <w:t>，对本项目噪声的日常监测要求见下表：</w:t>
            </w:r>
          </w:p>
          <w:p w14:paraId="4B5E2D42">
            <w:pPr>
              <w:spacing w:line="420" w:lineRule="exact"/>
              <w:ind w:firstLine="25" w:firstLineChars="12"/>
              <w:jc w:val="center"/>
              <w:rPr>
                <w:b/>
                <w:bCs/>
              </w:rPr>
            </w:pPr>
            <w:r>
              <w:rPr>
                <w:b/>
                <w:bCs/>
              </w:rPr>
              <w:t>表4-</w:t>
            </w:r>
            <w:r>
              <w:rPr>
                <w:rFonts w:hint="eastAsia"/>
                <w:b/>
                <w:bCs/>
                <w:lang w:val="en-US" w:eastAsia="zh-CN"/>
              </w:rPr>
              <w:t>24</w:t>
            </w:r>
            <w:r>
              <w:rPr>
                <w:b/>
                <w:bCs/>
              </w:rPr>
              <w:t>噪声监测要求</w:t>
            </w:r>
          </w:p>
          <w:tbl>
            <w:tblPr>
              <w:tblStyle w:val="81"/>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82"/>
              <w:gridCol w:w="5684"/>
            </w:tblGrid>
            <w:tr w14:paraId="63D405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603" w:type="pct"/>
                  <w:vAlign w:val="center"/>
                </w:tcPr>
                <w:p w14:paraId="752D38C3">
                  <w:pPr>
                    <w:pStyle w:val="381"/>
                    <w:spacing w:line="240" w:lineRule="auto"/>
                    <w:ind w:firstLine="0" w:firstLineChars="0"/>
                    <w:jc w:val="center"/>
                    <w:rPr>
                      <w:b/>
                      <w:bCs/>
                      <w:sz w:val="18"/>
                      <w:szCs w:val="18"/>
                    </w:rPr>
                  </w:pPr>
                  <w:r>
                    <w:rPr>
                      <w:b/>
                      <w:bCs/>
                      <w:sz w:val="18"/>
                      <w:szCs w:val="18"/>
                    </w:rPr>
                    <w:t>监测点位</w:t>
                  </w:r>
                </w:p>
              </w:tc>
              <w:tc>
                <w:tcPr>
                  <w:tcW w:w="3396" w:type="pct"/>
                  <w:vAlign w:val="center"/>
                </w:tcPr>
                <w:p w14:paraId="6F2D1E99">
                  <w:pPr>
                    <w:pStyle w:val="381"/>
                    <w:spacing w:line="240" w:lineRule="auto"/>
                    <w:ind w:firstLine="0" w:firstLineChars="0"/>
                    <w:jc w:val="center"/>
                    <w:rPr>
                      <w:sz w:val="18"/>
                      <w:szCs w:val="18"/>
                    </w:rPr>
                  </w:pPr>
                  <w:r>
                    <w:rPr>
                      <w:sz w:val="18"/>
                      <w:szCs w:val="18"/>
                    </w:rPr>
                    <w:t>厂界外1m</w:t>
                  </w:r>
                </w:p>
              </w:tc>
            </w:tr>
            <w:tr w14:paraId="4AEB7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9" w:hRule="atLeast"/>
                <w:jc w:val="center"/>
              </w:trPr>
              <w:tc>
                <w:tcPr>
                  <w:tcW w:w="1603" w:type="pct"/>
                  <w:vAlign w:val="center"/>
                </w:tcPr>
                <w:p w14:paraId="20F44B4B">
                  <w:pPr>
                    <w:pStyle w:val="381"/>
                    <w:spacing w:line="240" w:lineRule="auto"/>
                    <w:ind w:firstLine="0" w:firstLineChars="0"/>
                    <w:jc w:val="center"/>
                    <w:rPr>
                      <w:b/>
                      <w:bCs/>
                      <w:sz w:val="18"/>
                      <w:szCs w:val="18"/>
                    </w:rPr>
                  </w:pPr>
                  <w:r>
                    <w:rPr>
                      <w:b/>
                      <w:bCs/>
                      <w:sz w:val="18"/>
                      <w:szCs w:val="18"/>
                    </w:rPr>
                    <w:t>监测</w:t>
                  </w:r>
                  <w:r>
                    <w:rPr>
                      <w:rFonts w:hint="eastAsia"/>
                      <w:b/>
                      <w:bCs/>
                      <w:sz w:val="18"/>
                      <w:szCs w:val="18"/>
                      <w:lang w:eastAsia="zh-CN"/>
                    </w:rPr>
                    <w:t>因子及</w:t>
                  </w:r>
                  <w:r>
                    <w:rPr>
                      <w:b/>
                      <w:bCs/>
                      <w:sz w:val="18"/>
                      <w:szCs w:val="18"/>
                    </w:rPr>
                    <w:t>频次</w:t>
                  </w:r>
                </w:p>
              </w:tc>
              <w:tc>
                <w:tcPr>
                  <w:tcW w:w="3396" w:type="pct"/>
                  <w:vAlign w:val="center"/>
                </w:tcPr>
                <w:p w14:paraId="344C7B14">
                  <w:pPr>
                    <w:pStyle w:val="381"/>
                    <w:spacing w:line="240" w:lineRule="auto"/>
                    <w:ind w:firstLine="0" w:firstLineChars="0"/>
                    <w:jc w:val="center"/>
                    <w:rPr>
                      <w:sz w:val="18"/>
                      <w:szCs w:val="18"/>
                      <w:lang w:val="en-US"/>
                    </w:rPr>
                  </w:pPr>
                  <w:r>
                    <w:rPr>
                      <w:rFonts w:hint="eastAsia"/>
                      <w:sz w:val="18"/>
                      <w:szCs w:val="18"/>
                      <w:lang w:val="en-US" w:eastAsia="zh-CN"/>
                    </w:rPr>
                    <w:t>昼间噪声</w:t>
                  </w:r>
                  <w:r>
                    <w:rPr>
                      <w:rFonts w:hint="default"/>
                      <w:color w:val="auto"/>
                      <w:sz w:val="18"/>
                      <w:szCs w:val="18"/>
                      <w:lang w:val="en-US" w:eastAsia="zh-CN"/>
                    </w:rPr>
                    <w:t>Leq</w:t>
                  </w:r>
                  <w:r>
                    <w:rPr>
                      <w:sz w:val="18"/>
                      <w:szCs w:val="18"/>
                      <w:lang w:val="en-US"/>
                    </w:rPr>
                    <w:t>每</w:t>
                  </w:r>
                  <w:r>
                    <w:rPr>
                      <w:rFonts w:hint="eastAsia"/>
                      <w:sz w:val="18"/>
                      <w:szCs w:val="18"/>
                      <w:lang w:val="en-US" w:eastAsia="zh-CN"/>
                    </w:rPr>
                    <w:t>季度</w:t>
                  </w:r>
                  <w:r>
                    <w:rPr>
                      <w:sz w:val="18"/>
                      <w:szCs w:val="18"/>
                      <w:lang w:val="en-US"/>
                    </w:rPr>
                    <w:t>1次</w:t>
                  </w:r>
                </w:p>
              </w:tc>
            </w:tr>
            <w:tr w14:paraId="5810E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jc w:val="center"/>
              </w:trPr>
              <w:tc>
                <w:tcPr>
                  <w:tcW w:w="1603" w:type="pct"/>
                  <w:vAlign w:val="center"/>
                </w:tcPr>
                <w:p w14:paraId="335095D0">
                  <w:pPr>
                    <w:pStyle w:val="381"/>
                    <w:spacing w:line="240" w:lineRule="auto"/>
                    <w:ind w:firstLine="0" w:firstLineChars="0"/>
                    <w:jc w:val="center"/>
                    <w:rPr>
                      <w:b/>
                      <w:bCs/>
                      <w:sz w:val="18"/>
                      <w:szCs w:val="18"/>
                    </w:rPr>
                  </w:pPr>
                  <w:r>
                    <w:rPr>
                      <w:b/>
                      <w:bCs/>
                      <w:sz w:val="18"/>
                      <w:szCs w:val="18"/>
                    </w:rPr>
                    <w:t>执行标准</w:t>
                  </w:r>
                </w:p>
              </w:tc>
              <w:tc>
                <w:tcPr>
                  <w:tcW w:w="3396" w:type="pct"/>
                  <w:vAlign w:val="center"/>
                </w:tcPr>
                <w:p w14:paraId="48D431CE">
                  <w:pPr>
                    <w:pStyle w:val="381"/>
                    <w:spacing w:line="240" w:lineRule="auto"/>
                    <w:ind w:firstLine="0" w:firstLineChars="0"/>
                    <w:jc w:val="center"/>
                    <w:rPr>
                      <w:sz w:val="18"/>
                      <w:szCs w:val="18"/>
                    </w:rPr>
                  </w:pPr>
                  <w:r>
                    <w:rPr>
                      <w:sz w:val="18"/>
                      <w:szCs w:val="18"/>
                    </w:rPr>
                    <w:t>《工业企业厂界环境噪声排放标准》（GB12348-2008）2类区标准</w:t>
                  </w:r>
                </w:p>
              </w:tc>
            </w:tr>
          </w:tbl>
          <w:p w14:paraId="5C8164DD">
            <w:pPr>
              <w:adjustRightInd w:val="0"/>
              <w:snapToGrid w:val="0"/>
              <w:spacing w:line="360" w:lineRule="auto"/>
              <w:ind w:firstLine="422" w:firstLineChars="200"/>
              <w:rPr>
                <w:b/>
                <w:bCs/>
              </w:rPr>
            </w:pPr>
            <w:r>
              <w:rPr>
                <w:b/>
                <w:bCs/>
              </w:rPr>
              <w:t>四、固体废物</w:t>
            </w:r>
          </w:p>
          <w:p w14:paraId="63FEBCDE">
            <w:pPr>
              <w:adjustRightInd w:val="0"/>
              <w:snapToGrid w:val="0"/>
              <w:spacing w:line="360" w:lineRule="auto"/>
              <w:ind w:firstLine="422" w:firstLineChars="200"/>
              <w:rPr>
                <w:b/>
                <w:bCs/>
              </w:rPr>
            </w:pPr>
            <w:r>
              <w:rPr>
                <w:b/>
                <w:bCs/>
              </w:rPr>
              <w:t>1、固体废弃物产生环节及处置</w:t>
            </w:r>
          </w:p>
          <w:p w14:paraId="0BF1542B">
            <w:pPr>
              <w:spacing w:line="360" w:lineRule="auto"/>
              <w:ind w:firstLine="482"/>
              <w:rPr>
                <w:rFonts w:hint="default" w:ascii="Times New Roman" w:hAnsi="Times New Roman" w:cs="Times New Roman"/>
              </w:rPr>
            </w:pPr>
            <w:r>
              <w:rPr>
                <w:rFonts w:hint="default" w:ascii="Times New Roman" w:hAnsi="Times New Roman" w:cs="Times New Roman"/>
              </w:rPr>
              <w:t>本项目</w:t>
            </w:r>
            <w:r>
              <w:rPr>
                <w:rFonts w:hint="eastAsia" w:cs="Times New Roman"/>
                <w:lang w:eastAsia="zh-CN"/>
              </w:rPr>
              <w:t>不饱和聚酯树脂</w:t>
            </w:r>
            <w:r>
              <w:rPr>
                <w:rFonts w:hint="default" w:ascii="Times New Roman" w:hAnsi="Times New Roman" w:cs="Times New Roman"/>
                <w:lang w:eastAsia="zh-CN"/>
              </w:rPr>
              <w:t>桶</w:t>
            </w:r>
            <w:r>
              <w:rPr>
                <w:rFonts w:hint="default" w:ascii="Times New Roman" w:hAnsi="Times New Roman" w:cs="Times New Roman"/>
              </w:rPr>
              <w:t>使用完毕后由生产厂家回收直接罐装后运回</w:t>
            </w:r>
            <w:r>
              <w:rPr>
                <w:rFonts w:hint="eastAsia" w:cs="Times New Roman"/>
                <w:lang w:eastAsia="zh-CN"/>
              </w:rPr>
              <w:t>，布袋除尘器收集的塑粉现场直接回用，不储存</w:t>
            </w:r>
            <w:r>
              <w:rPr>
                <w:rFonts w:hint="default" w:ascii="Times New Roman" w:hAnsi="Times New Roman" w:cs="Times New Roman"/>
              </w:rPr>
              <w:t>。根据《工业固体废物鉴别标准通则》（GB34330-2017）</w:t>
            </w:r>
            <w:r>
              <w:rPr>
                <w:rFonts w:hint="default" w:ascii="Times New Roman" w:hAnsi="Times New Roman" w:eastAsia="宋体" w:cs="Times New Roman"/>
                <w:lang w:val="en-US" w:eastAsia="zh-CN"/>
              </w:rPr>
              <w:t>第6条6.1的要求</w:t>
            </w:r>
            <w:r>
              <w:rPr>
                <w:rFonts w:hint="eastAsia" w:ascii="Times New Roman" w:hAnsi="Times New Roman" w:eastAsia="宋体" w:cs="Times New Roman"/>
                <w:lang w:eastAsia="zh-CN"/>
              </w:rPr>
              <w:t>：</w:t>
            </w:r>
            <w:r>
              <w:rPr>
                <w:rFonts w:hint="default" w:ascii="Times New Roman" w:hAnsi="Times New Roman" w:eastAsia="宋体" w:cs="Times New Roman"/>
                <w:lang w:val="en-US" w:eastAsia="zh-CN"/>
              </w:rPr>
              <w:t>任何不需要修复和加工即可用于原始用途的物质，或者在产生点经过修复和加工后满足国家、地方制定或行业通行的产品质量标准并且用于其原始用途的物质</w:t>
            </w:r>
            <w:r>
              <w:rPr>
                <w:rFonts w:hint="eastAsia" w:ascii="Times New Roman" w:hAnsi="Times New Roman" w:eastAsia="宋体" w:cs="Times New Roman"/>
                <w:lang w:val="en-US" w:eastAsia="zh-CN"/>
              </w:rPr>
              <w:t>，不经过贮存或堆积过程而在现场直接返回到原生产过程或返回其产生过程的物质，</w:t>
            </w:r>
            <w:r>
              <w:rPr>
                <w:rFonts w:hint="default" w:ascii="Times New Roman" w:hAnsi="Times New Roman" w:eastAsia="宋体" w:cs="Times New Roman"/>
                <w:lang w:val="en-US" w:eastAsia="zh-CN"/>
              </w:rPr>
              <w:t>不作为固体废物管理</w:t>
            </w:r>
            <w:r>
              <w:rPr>
                <w:rFonts w:hint="eastAsia" w:ascii="Times New Roman" w:hAnsi="Times New Roman" w:eastAsia="宋体" w:cs="Times New Roman"/>
                <w:lang w:val="en-US" w:eastAsia="zh-CN"/>
              </w:rPr>
              <w:t>。</w:t>
            </w:r>
            <w:r>
              <w:rPr>
                <w:rFonts w:hint="default" w:ascii="Times New Roman" w:hAnsi="Times New Roman" w:eastAsia="宋体" w:cs="Times New Roman"/>
                <w:lang w:eastAsia="zh-CN"/>
              </w:rPr>
              <w:t>本项目</w:t>
            </w:r>
            <w:r>
              <w:rPr>
                <w:rFonts w:hint="eastAsia" w:ascii="Times New Roman" w:hAnsi="Times New Roman" w:eastAsia="宋体" w:cs="Times New Roman"/>
                <w:lang w:eastAsia="zh-CN"/>
              </w:rPr>
              <w:t>不饱和聚酯树脂</w:t>
            </w:r>
            <w:r>
              <w:rPr>
                <w:rFonts w:hint="default" w:ascii="Times New Roman" w:hAnsi="Times New Roman" w:eastAsia="宋体" w:cs="Times New Roman"/>
                <w:lang w:eastAsia="zh-CN"/>
              </w:rPr>
              <w:t>桶</w:t>
            </w:r>
            <w:r>
              <w:rPr>
                <w:rFonts w:hint="eastAsia" w:ascii="Times New Roman" w:hAnsi="Times New Roman" w:eastAsia="宋体" w:cs="Times New Roman"/>
                <w:lang w:eastAsia="zh-CN"/>
              </w:rPr>
              <w:t>及除尘器收集的塑粉</w:t>
            </w:r>
            <w:r>
              <w:rPr>
                <w:rFonts w:hint="default" w:ascii="Times New Roman" w:hAnsi="Times New Roman" w:eastAsia="宋体" w:cs="Times New Roman"/>
                <w:lang w:eastAsia="zh-CN"/>
              </w:rPr>
              <w:t>不作为固体废物进行管</w:t>
            </w:r>
            <w:r>
              <w:rPr>
                <w:rFonts w:hint="default" w:ascii="Times New Roman" w:hAnsi="Times New Roman" w:cs="Times New Roman"/>
              </w:rPr>
              <w:t>理，当</w:t>
            </w:r>
            <w:r>
              <w:rPr>
                <w:rFonts w:hint="eastAsia" w:ascii="Times New Roman" w:hAnsi="Times New Roman" w:eastAsia="宋体" w:cs="Times New Roman"/>
                <w:lang w:eastAsia="zh-CN"/>
              </w:rPr>
              <w:t>不饱和聚酯树脂</w:t>
            </w:r>
            <w:r>
              <w:rPr>
                <w:rFonts w:hint="default" w:ascii="Times New Roman" w:hAnsi="Times New Roman" w:eastAsia="宋体" w:cs="Times New Roman"/>
                <w:lang w:eastAsia="zh-CN"/>
              </w:rPr>
              <w:t>桶</w:t>
            </w:r>
            <w:r>
              <w:rPr>
                <w:rFonts w:hint="default" w:ascii="Times New Roman" w:hAnsi="Times New Roman" w:cs="Times New Roman"/>
              </w:rPr>
              <w:t>破损不能再使用时需按照危险废物进行处置。</w:t>
            </w:r>
          </w:p>
          <w:p w14:paraId="0D0A6AA2">
            <w:pPr>
              <w:autoSpaceDE w:val="0"/>
              <w:autoSpaceDN w:val="0"/>
              <w:spacing w:line="360" w:lineRule="auto"/>
              <w:ind w:firstLine="420" w:firstLineChars="200"/>
              <w:rPr>
                <w:rFonts w:hint="eastAsia"/>
                <w:bCs/>
                <w:sz w:val="21"/>
                <w:szCs w:val="21"/>
                <w:highlight w:val="none"/>
                <w:lang w:eastAsia="zh-CN"/>
              </w:rPr>
            </w:pPr>
            <w:r>
              <w:rPr>
                <w:sz w:val="21"/>
                <w:szCs w:val="21"/>
                <w:highlight w:val="none"/>
              </w:rPr>
              <w:t>本项目</w:t>
            </w:r>
            <w:r>
              <w:rPr>
                <w:rFonts w:hint="eastAsia"/>
                <w:bCs/>
                <w:sz w:val="21"/>
                <w:szCs w:val="21"/>
                <w:highlight w:val="none"/>
              </w:rPr>
              <w:t>产生的固体废物</w:t>
            </w:r>
            <w:r>
              <w:rPr>
                <w:rFonts w:hint="eastAsia"/>
                <w:bCs/>
                <w:sz w:val="21"/>
                <w:szCs w:val="21"/>
                <w:highlight w:val="none"/>
                <w:lang w:eastAsia="zh-CN"/>
              </w:rPr>
              <w:t>有一般工业固体废物、危险废物及生活垃圾（</w:t>
            </w:r>
            <w:r>
              <w:rPr>
                <w:rFonts w:hint="eastAsia"/>
                <w:bCs/>
                <w:sz w:val="21"/>
                <w:szCs w:val="21"/>
                <w:highlight w:val="none"/>
                <w:lang w:val="en-US" w:eastAsia="zh-CN"/>
              </w:rPr>
              <w:t>S7</w:t>
            </w:r>
            <w:r>
              <w:rPr>
                <w:rFonts w:hint="eastAsia"/>
                <w:bCs/>
                <w:sz w:val="21"/>
                <w:szCs w:val="21"/>
                <w:highlight w:val="none"/>
                <w:lang w:eastAsia="zh-CN"/>
              </w:rPr>
              <w:t>）。一般工业固体废物</w:t>
            </w:r>
            <w:r>
              <w:rPr>
                <w:rFonts w:hint="eastAsia"/>
                <w:bCs/>
                <w:sz w:val="21"/>
                <w:szCs w:val="21"/>
                <w:highlight w:val="none"/>
              </w:rPr>
              <w:t>主要有</w:t>
            </w:r>
            <w:r>
              <w:rPr>
                <w:rFonts w:hint="eastAsia"/>
                <w:bCs/>
                <w:sz w:val="21"/>
                <w:szCs w:val="21"/>
                <w:highlight w:val="none"/>
                <w:lang w:eastAsia="zh-CN"/>
              </w:rPr>
              <w:t>下料、</w:t>
            </w:r>
            <w:r>
              <w:rPr>
                <w:rFonts w:hint="eastAsia" w:cs="Times New Roman"/>
                <w:b w:val="0"/>
                <w:bCs w:val="0"/>
                <w:kern w:val="2"/>
                <w:sz w:val="21"/>
                <w:szCs w:val="21"/>
                <w:lang w:val="en-US" w:eastAsia="zh-CN" w:bidi="ar-SA"/>
              </w:rPr>
              <w:t>开孔</w:t>
            </w:r>
            <w:r>
              <w:rPr>
                <w:rFonts w:hint="eastAsia"/>
                <w:bCs/>
                <w:sz w:val="21"/>
                <w:szCs w:val="21"/>
                <w:highlight w:val="none"/>
                <w:lang w:eastAsia="zh-CN"/>
              </w:rPr>
              <w:t>工序产生的废金属边角料（</w:t>
            </w:r>
            <w:r>
              <w:rPr>
                <w:rFonts w:hint="eastAsia"/>
                <w:bCs/>
                <w:sz w:val="21"/>
                <w:szCs w:val="21"/>
                <w:highlight w:val="none"/>
                <w:lang w:val="en-US" w:eastAsia="zh-CN"/>
              </w:rPr>
              <w:t>S1</w:t>
            </w:r>
            <w:r>
              <w:rPr>
                <w:rFonts w:hint="eastAsia"/>
                <w:bCs/>
                <w:sz w:val="21"/>
                <w:szCs w:val="21"/>
                <w:highlight w:val="none"/>
                <w:lang w:eastAsia="zh-CN"/>
              </w:rPr>
              <w:t>）</w:t>
            </w:r>
            <w:r>
              <w:rPr>
                <w:rFonts w:hint="eastAsia" w:cs="Times New Roman"/>
                <w:b w:val="0"/>
                <w:bCs w:val="0"/>
                <w:kern w:val="2"/>
                <w:sz w:val="21"/>
                <w:szCs w:val="21"/>
                <w:lang w:val="en-US" w:eastAsia="zh-CN" w:bidi="ar-SA"/>
              </w:rPr>
              <w:t>；原料包装产生的</w:t>
            </w:r>
            <w:r>
              <w:rPr>
                <w:rFonts w:hint="eastAsia" w:ascii="Times New Roman" w:hAnsi="Times New Roman" w:cs="Times New Roman"/>
                <w:b w:val="0"/>
                <w:bCs w:val="0"/>
                <w:kern w:val="2"/>
                <w:sz w:val="21"/>
                <w:szCs w:val="21"/>
                <w:lang w:val="en-US" w:eastAsia="zh-CN" w:bidi="ar-SA"/>
              </w:rPr>
              <w:t>废包装袋（</w:t>
            </w:r>
            <w:r>
              <w:rPr>
                <w:rFonts w:hint="eastAsia" w:cs="Times New Roman"/>
                <w:b w:val="0"/>
                <w:bCs w:val="0"/>
                <w:kern w:val="2"/>
                <w:sz w:val="21"/>
                <w:szCs w:val="21"/>
                <w:lang w:val="en-US" w:eastAsia="zh-CN" w:bidi="ar-SA"/>
              </w:rPr>
              <w:t>S2.3、S5</w:t>
            </w:r>
            <w:r>
              <w:rPr>
                <w:rFonts w:hint="eastAsia" w:ascii="Times New Roman" w:hAnsi="Times New Roman" w:cs="Times New Roman"/>
                <w:b w:val="0"/>
                <w:bCs w:val="0"/>
                <w:kern w:val="2"/>
                <w:sz w:val="21"/>
                <w:szCs w:val="21"/>
                <w:lang w:val="en-US" w:eastAsia="zh-CN" w:bidi="ar-SA"/>
              </w:rPr>
              <w:t>）</w:t>
            </w:r>
            <w:r>
              <w:rPr>
                <w:rFonts w:hint="eastAsia" w:cs="Times New Roman"/>
                <w:b w:val="0"/>
                <w:bCs w:val="0"/>
                <w:kern w:val="2"/>
                <w:sz w:val="21"/>
                <w:szCs w:val="21"/>
                <w:lang w:val="en-US" w:eastAsia="zh-CN" w:bidi="ar-SA"/>
              </w:rPr>
              <w:t>；焊接工序产生的废焊渣</w:t>
            </w:r>
            <w:r>
              <w:rPr>
                <w:rFonts w:hint="eastAsia" w:ascii="Times New Roman" w:hAnsi="Times New Roman" w:cs="Times New Roman"/>
                <w:b w:val="0"/>
                <w:bCs w:val="0"/>
                <w:kern w:val="2"/>
                <w:sz w:val="21"/>
                <w:szCs w:val="21"/>
                <w:lang w:val="en-US" w:eastAsia="zh-CN" w:bidi="ar-SA"/>
              </w:rPr>
              <w:t>（S3）</w:t>
            </w:r>
            <w:r>
              <w:rPr>
                <w:rFonts w:hint="eastAsia" w:cs="Times New Roman"/>
                <w:b w:val="0"/>
                <w:bCs w:val="0"/>
                <w:kern w:val="2"/>
                <w:sz w:val="21"/>
                <w:szCs w:val="21"/>
                <w:lang w:val="en-US" w:eastAsia="zh-CN" w:bidi="ar-SA"/>
              </w:rPr>
              <w:t>；焊烟净化器收集的粉尘（S6）；开孔工序产生的废塑料边角料</w:t>
            </w:r>
            <w:r>
              <w:rPr>
                <w:rFonts w:hint="eastAsia" w:ascii="Times New Roman" w:hAnsi="Times New Roman" w:cs="Times New Roman"/>
                <w:b w:val="0"/>
                <w:bCs w:val="0"/>
                <w:kern w:val="2"/>
                <w:sz w:val="21"/>
                <w:szCs w:val="21"/>
                <w:lang w:val="en-US" w:eastAsia="zh-CN" w:bidi="ar-SA"/>
              </w:rPr>
              <w:t>（S4）</w:t>
            </w:r>
            <w:r>
              <w:rPr>
                <w:rFonts w:hint="eastAsia"/>
                <w:bCs/>
                <w:sz w:val="21"/>
                <w:szCs w:val="21"/>
                <w:highlight w:val="none"/>
                <w:lang w:eastAsia="zh-CN"/>
              </w:rPr>
              <w:t>。危险废物主要有喷涂工序产生的废</w:t>
            </w:r>
            <w:r>
              <w:rPr>
                <w:rFonts w:hint="eastAsia" w:ascii="Times New Roman" w:hAnsi="Times New Roman" w:cs="Times New Roman"/>
                <w:b w:val="0"/>
                <w:bCs w:val="0"/>
                <w:kern w:val="2"/>
                <w:sz w:val="21"/>
                <w:szCs w:val="21"/>
                <w:lang w:val="en-US" w:eastAsia="zh-CN" w:bidi="ar-SA"/>
              </w:rPr>
              <w:t>油漆桶、稀释剂桶（S2.1）、废漆渣（S2.2）；</w:t>
            </w:r>
            <w:r>
              <w:rPr>
                <w:rFonts w:hint="eastAsia" w:cs="Times New Roman"/>
                <w:b w:val="0"/>
                <w:bCs w:val="0"/>
                <w:kern w:val="2"/>
                <w:sz w:val="21"/>
                <w:szCs w:val="21"/>
                <w:lang w:val="en-US" w:eastAsia="zh-CN" w:bidi="ar-SA"/>
              </w:rPr>
              <w:t>设备维护保养产生的废机油（S8）、废液压油（S11）；废气处理过程产生的废过滤箱、过滤棉（S9）、废活性炭（S10）</w:t>
            </w:r>
            <w:r>
              <w:rPr>
                <w:rFonts w:hint="eastAsia"/>
                <w:bCs/>
                <w:sz w:val="21"/>
                <w:szCs w:val="21"/>
                <w:highlight w:val="none"/>
                <w:lang w:eastAsia="zh-CN"/>
              </w:rPr>
              <w:t>。</w:t>
            </w:r>
          </w:p>
          <w:p w14:paraId="2557B9B9">
            <w:pPr>
              <w:autoSpaceDE w:val="0"/>
              <w:autoSpaceDN w:val="0"/>
              <w:adjustRightInd w:val="0"/>
              <w:snapToGrid w:val="0"/>
              <w:spacing w:line="360" w:lineRule="auto"/>
              <w:ind w:firstLine="420" w:firstLineChars="200"/>
              <w:rPr>
                <w:rFonts w:hint="eastAsia" w:eastAsia="宋体"/>
                <w:lang w:eastAsia="zh-CN"/>
              </w:rPr>
            </w:pPr>
            <w:r>
              <w:rPr>
                <w:rFonts w:hint="eastAsia"/>
                <w:lang w:eastAsia="zh-CN"/>
              </w:rPr>
              <w:t>（一）一般工业固废及生活垃圾</w:t>
            </w:r>
          </w:p>
          <w:p w14:paraId="1141F6BA">
            <w:pPr>
              <w:autoSpaceDE w:val="0"/>
              <w:autoSpaceDN w:val="0"/>
              <w:adjustRightInd w:val="0"/>
              <w:snapToGrid w:val="0"/>
              <w:spacing w:line="360" w:lineRule="auto"/>
              <w:ind w:firstLine="420" w:firstLineChars="200"/>
            </w:pPr>
            <w:r>
              <w:t>（</w:t>
            </w:r>
            <w:r>
              <w:rPr>
                <w:rFonts w:hint="eastAsia"/>
                <w:lang w:val="en-US" w:eastAsia="zh-CN"/>
              </w:rPr>
              <w:t>1</w:t>
            </w:r>
            <w:r>
              <w:t>）</w:t>
            </w:r>
            <w:r>
              <w:rPr>
                <w:rFonts w:hint="eastAsia"/>
                <w:bCs/>
                <w:sz w:val="21"/>
                <w:szCs w:val="21"/>
                <w:highlight w:val="none"/>
                <w:lang w:eastAsia="zh-CN"/>
              </w:rPr>
              <w:t>下料、</w:t>
            </w:r>
            <w:r>
              <w:rPr>
                <w:rFonts w:hint="eastAsia" w:cs="Times New Roman"/>
                <w:b w:val="0"/>
                <w:bCs w:val="0"/>
                <w:kern w:val="2"/>
                <w:sz w:val="21"/>
                <w:szCs w:val="21"/>
                <w:lang w:val="en-US" w:eastAsia="zh-CN" w:bidi="ar-SA"/>
              </w:rPr>
              <w:t>开孔</w:t>
            </w:r>
            <w:r>
              <w:rPr>
                <w:rFonts w:hint="eastAsia"/>
                <w:bCs/>
                <w:sz w:val="21"/>
                <w:szCs w:val="21"/>
                <w:highlight w:val="none"/>
                <w:lang w:eastAsia="zh-CN"/>
              </w:rPr>
              <w:t>工序产生的废金属边角料（</w:t>
            </w:r>
            <w:r>
              <w:rPr>
                <w:rFonts w:hint="eastAsia"/>
                <w:bCs/>
                <w:sz w:val="21"/>
                <w:szCs w:val="21"/>
                <w:highlight w:val="none"/>
                <w:lang w:val="en-US" w:eastAsia="zh-CN"/>
              </w:rPr>
              <w:t>S1</w:t>
            </w:r>
            <w:r>
              <w:rPr>
                <w:rFonts w:hint="eastAsia"/>
                <w:bCs/>
                <w:sz w:val="21"/>
                <w:szCs w:val="21"/>
                <w:highlight w:val="none"/>
                <w:lang w:eastAsia="zh-CN"/>
              </w:rPr>
              <w:t>）</w:t>
            </w:r>
          </w:p>
          <w:p w14:paraId="6C0959DA">
            <w:pPr>
              <w:autoSpaceDE w:val="0"/>
              <w:autoSpaceDN w:val="0"/>
              <w:adjustRightInd w:val="0"/>
              <w:snapToGrid w:val="0"/>
              <w:spacing w:line="360" w:lineRule="auto"/>
              <w:ind w:firstLine="420" w:firstLineChars="200"/>
              <w:rPr>
                <w:rFonts w:hint="default"/>
                <w:lang w:val="en-US" w:eastAsia="zh-CN"/>
              </w:rPr>
            </w:pPr>
            <w:r>
              <w:rPr>
                <w:rFonts w:hint="eastAsia"/>
                <w:bCs/>
                <w:sz w:val="21"/>
                <w:szCs w:val="21"/>
                <w:highlight w:val="none"/>
                <w:lang w:eastAsia="zh-CN"/>
              </w:rPr>
              <w:t>下料、</w:t>
            </w:r>
            <w:r>
              <w:rPr>
                <w:rFonts w:hint="eastAsia" w:cs="Times New Roman"/>
                <w:b w:val="0"/>
                <w:bCs w:val="0"/>
                <w:kern w:val="2"/>
                <w:sz w:val="21"/>
                <w:szCs w:val="21"/>
                <w:lang w:val="en-US" w:eastAsia="zh-CN" w:bidi="ar-SA"/>
              </w:rPr>
              <w:t>开孔</w:t>
            </w:r>
            <w:r>
              <w:rPr>
                <w:rFonts w:hint="eastAsia"/>
                <w:bCs/>
                <w:sz w:val="21"/>
                <w:szCs w:val="21"/>
                <w:highlight w:val="none"/>
                <w:lang w:eastAsia="zh-CN"/>
              </w:rPr>
              <w:t>工序会产生的废金属边角料（含铁屑），</w:t>
            </w:r>
            <w:r>
              <w:rPr>
                <w:rFonts w:hint="eastAsia"/>
                <w:lang w:eastAsia="zh-CN"/>
              </w:rPr>
              <w:t>产生量</w:t>
            </w:r>
            <w:r>
              <w:rPr>
                <w:rFonts w:hint="eastAsia"/>
                <w:lang w:val="en-US" w:eastAsia="zh-CN"/>
              </w:rPr>
              <w:t>约20t/a，属于一般工业固体废物，固废代码：900-001-S17，</w:t>
            </w:r>
            <w:r>
              <w:rPr>
                <w:rFonts w:hint="eastAsia" w:cs="Times New Roman"/>
                <w:caps w:val="0"/>
                <w:snapToGrid w:val="0"/>
                <w:color w:val="0C0C0C"/>
                <w:spacing w:val="0"/>
                <w:position w:val="0"/>
                <w:sz w:val="21"/>
                <w:szCs w:val="21"/>
                <w:highlight w:val="none"/>
                <w:lang w:val="en-US" w:eastAsia="zh-CN"/>
              </w:rPr>
              <w:t>收集后外卖处理。</w:t>
            </w:r>
          </w:p>
          <w:p w14:paraId="78AB81F1">
            <w:pPr>
              <w:autoSpaceDE w:val="0"/>
              <w:autoSpaceDN w:val="0"/>
              <w:adjustRightInd w:val="0"/>
              <w:snapToGrid w:val="0"/>
              <w:spacing w:line="360" w:lineRule="auto"/>
              <w:ind w:firstLine="420" w:firstLineChars="200"/>
              <w:rPr>
                <w:rFonts w:hint="eastAsia"/>
                <w:lang w:eastAsia="zh-CN"/>
              </w:rPr>
            </w:pPr>
            <w:r>
              <w:rPr>
                <w:rFonts w:hint="eastAsia"/>
                <w:lang w:eastAsia="zh-CN"/>
              </w:rPr>
              <w:t>（</w:t>
            </w:r>
            <w:r>
              <w:rPr>
                <w:rFonts w:hint="eastAsia"/>
                <w:lang w:val="en-US" w:eastAsia="zh-CN"/>
              </w:rPr>
              <w:t>2</w:t>
            </w:r>
            <w:r>
              <w:rPr>
                <w:rFonts w:hint="eastAsia"/>
                <w:lang w:eastAsia="zh-CN"/>
              </w:rPr>
              <w:t>）</w:t>
            </w:r>
            <w:r>
              <w:rPr>
                <w:rFonts w:hint="eastAsia" w:cs="Times New Roman"/>
                <w:b w:val="0"/>
                <w:bCs w:val="0"/>
                <w:kern w:val="2"/>
                <w:sz w:val="21"/>
                <w:szCs w:val="21"/>
                <w:lang w:val="en-US" w:eastAsia="zh-CN" w:bidi="ar-SA"/>
              </w:rPr>
              <w:t>原料包装产生的</w:t>
            </w:r>
            <w:r>
              <w:rPr>
                <w:rFonts w:hint="eastAsia" w:ascii="Times New Roman" w:hAnsi="Times New Roman" w:cs="Times New Roman"/>
                <w:b w:val="0"/>
                <w:bCs w:val="0"/>
                <w:kern w:val="2"/>
                <w:sz w:val="21"/>
                <w:szCs w:val="21"/>
                <w:lang w:val="en-US" w:eastAsia="zh-CN" w:bidi="ar-SA"/>
              </w:rPr>
              <w:t>废包装</w:t>
            </w:r>
            <w:r>
              <w:rPr>
                <w:rFonts w:hint="eastAsia" w:cs="Times New Roman"/>
                <w:b w:val="0"/>
                <w:bCs w:val="0"/>
                <w:kern w:val="2"/>
                <w:sz w:val="21"/>
                <w:szCs w:val="21"/>
                <w:lang w:val="en-US" w:eastAsia="zh-CN" w:bidi="ar-SA"/>
              </w:rPr>
              <w:t>物</w:t>
            </w:r>
            <w:r>
              <w:rPr>
                <w:rFonts w:hint="eastAsia" w:ascii="Times New Roman" w:hAnsi="Times New Roman" w:cs="Times New Roman"/>
                <w:b w:val="0"/>
                <w:bCs w:val="0"/>
                <w:kern w:val="2"/>
                <w:sz w:val="21"/>
                <w:szCs w:val="21"/>
                <w:lang w:val="en-US" w:eastAsia="zh-CN" w:bidi="ar-SA"/>
              </w:rPr>
              <w:t>（</w:t>
            </w:r>
            <w:r>
              <w:rPr>
                <w:rFonts w:hint="eastAsia" w:cs="Times New Roman"/>
                <w:b w:val="0"/>
                <w:bCs w:val="0"/>
                <w:kern w:val="2"/>
                <w:sz w:val="21"/>
                <w:szCs w:val="21"/>
                <w:lang w:val="en-US" w:eastAsia="zh-CN" w:bidi="ar-SA"/>
              </w:rPr>
              <w:t>S2.3、S5</w:t>
            </w:r>
            <w:r>
              <w:rPr>
                <w:rFonts w:hint="eastAsia" w:ascii="Times New Roman" w:hAnsi="Times New Roman" w:cs="Times New Roman"/>
                <w:b w:val="0"/>
                <w:bCs w:val="0"/>
                <w:kern w:val="2"/>
                <w:sz w:val="21"/>
                <w:szCs w:val="21"/>
                <w:lang w:val="en-US" w:eastAsia="zh-CN" w:bidi="ar-SA"/>
              </w:rPr>
              <w:t>）</w:t>
            </w:r>
          </w:p>
          <w:p w14:paraId="2E555944">
            <w:pPr>
              <w:autoSpaceDE w:val="0"/>
              <w:autoSpaceDN w:val="0"/>
              <w:adjustRightInd w:val="0"/>
              <w:snapToGrid w:val="0"/>
              <w:spacing w:line="360" w:lineRule="auto"/>
              <w:ind w:firstLine="420" w:firstLineChars="200"/>
              <w:rPr>
                <w:rFonts w:hint="eastAsia"/>
                <w:bCs/>
                <w:sz w:val="21"/>
                <w:szCs w:val="21"/>
                <w:lang w:eastAsia="zh-CN"/>
              </w:rPr>
            </w:pPr>
            <w:r>
              <w:rPr>
                <w:rFonts w:hint="eastAsia"/>
                <w:bCs/>
                <w:sz w:val="21"/>
                <w:szCs w:val="21"/>
                <w:lang w:val="en-US" w:eastAsia="zh-CN"/>
              </w:rPr>
              <w:t>原料PP颗粒</w:t>
            </w:r>
            <w:r>
              <w:rPr>
                <w:rFonts w:hint="eastAsia"/>
                <w:bCs/>
                <w:sz w:val="21"/>
                <w:szCs w:val="21"/>
                <w:lang w:eastAsia="zh-CN"/>
              </w:rPr>
              <w:t>包装、</w:t>
            </w:r>
            <w:r>
              <w:rPr>
                <w:rFonts w:hint="eastAsia"/>
                <w:bCs/>
                <w:sz w:val="21"/>
                <w:szCs w:val="21"/>
                <w:lang w:val="en-US" w:eastAsia="zh-CN"/>
              </w:rPr>
              <w:t>塑粉包装等</w:t>
            </w:r>
            <w:r>
              <w:rPr>
                <w:rFonts w:hint="eastAsia"/>
                <w:bCs/>
                <w:sz w:val="21"/>
                <w:szCs w:val="21"/>
                <w:lang w:eastAsia="zh-CN"/>
              </w:rPr>
              <w:t>会产生废包装物，</w:t>
            </w:r>
            <w:r>
              <w:rPr>
                <w:rFonts w:hint="eastAsia"/>
                <w:bCs/>
                <w:sz w:val="21"/>
                <w:szCs w:val="21"/>
                <w:lang w:val="en-US" w:eastAsia="zh-CN"/>
              </w:rPr>
              <w:t>主要为废塑料</w:t>
            </w:r>
            <w:r>
              <w:rPr>
                <w:rFonts w:hint="eastAsia"/>
                <w:bCs/>
                <w:sz w:val="21"/>
                <w:szCs w:val="21"/>
                <w:lang w:eastAsia="zh-CN"/>
              </w:rPr>
              <w:t>，</w:t>
            </w:r>
            <w:r>
              <w:rPr>
                <w:rFonts w:hint="eastAsia" w:cs="Times New Roman"/>
                <w:caps w:val="0"/>
                <w:snapToGrid w:val="0"/>
                <w:color w:val="0C0C0C"/>
                <w:spacing w:val="0"/>
                <w:position w:val="0"/>
                <w:sz w:val="21"/>
                <w:szCs w:val="21"/>
                <w:highlight w:val="none"/>
                <w:lang w:val="en-US" w:eastAsia="zh-CN"/>
              </w:rPr>
              <w:t>属于一般工业固废，固废代码：900-003-S17，根据企业经验数据，</w:t>
            </w:r>
            <w:r>
              <w:rPr>
                <w:rFonts w:hint="eastAsia"/>
                <w:bCs/>
                <w:sz w:val="21"/>
                <w:szCs w:val="21"/>
                <w:lang w:eastAsia="zh-CN"/>
              </w:rPr>
              <w:t>废包装物产生量约</w:t>
            </w:r>
            <w:r>
              <w:rPr>
                <w:rFonts w:hint="eastAsia"/>
                <w:bCs/>
                <w:sz w:val="21"/>
                <w:szCs w:val="21"/>
                <w:lang w:val="en-US" w:eastAsia="zh-CN"/>
              </w:rPr>
              <w:t>1.5t/a，废</w:t>
            </w:r>
            <w:r>
              <w:rPr>
                <w:rFonts w:hint="eastAsia"/>
                <w:bCs/>
                <w:sz w:val="21"/>
                <w:szCs w:val="21"/>
                <w:lang w:eastAsia="zh-CN"/>
              </w:rPr>
              <w:t>包装物收集后全部外卖处理。</w:t>
            </w:r>
          </w:p>
          <w:p w14:paraId="5FE0F551">
            <w:pPr>
              <w:autoSpaceDE w:val="0"/>
              <w:autoSpaceDN w:val="0"/>
              <w:adjustRightInd w:val="0"/>
              <w:snapToGrid w:val="0"/>
              <w:spacing w:line="360" w:lineRule="auto"/>
              <w:ind w:firstLine="420" w:firstLineChars="200"/>
              <w:rPr>
                <w:rFonts w:hint="eastAsia"/>
                <w:lang w:eastAsia="zh-CN"/>
              </w:rPr>
            </w:pPr>
            <w:r>
              <w:rPr>
                <w:rFonts w:hint="eastAsia"/>
                <w:lang w:eastAsia="zh-CN"/>
              </w:rPr>
              <w:t>（</w:t>
            </w:r>
            <w:r>
              <w:rPr>
                <w:rFonts w:hint="eastAsia"/>
                <w:lang w:val="en-US" w:eastAsia="zh-CN"/>
              </w:rPr>
              <w:t>3</w:t>
            </w:r>
            <w:r>
              <w:rPr>
                <w:rFonts w:hint="eastAsia"/>
                <w:lang w:eastAsia="zh-CN"/>
              </w:rPr>
              <w:t>）</w:t>
            </w:r>
            <w:r>
              <w:rPr>
                <w:rFonts w:hint="eastAsia" w:cs="Times New Roman"/>
                <w:b w:val="0"/>
                <w:bCs w:val="0"/>
                <w:kern w:val="2"/>
                <w:sz w:val="21"/>
                <w:szCs w:val="21"/>
                <w:lang w:val="en-US" w:eastAsia="zh-CN" w:bidi="ar-SA"/>
              </w:rPr>
              <w:t>焊接工序产生的废焊渣</w:t>
            </w:r>
            <w:r>
              <w:rPr>
                <w:rFonts w:hint="eastAsia" w:ascii="Times New Roman" w:hAnsi="Times New Roman" w:cs="Times New Roman"/>
                <w:b w:val="0"/>
                <w:bCs w:val="0"/>
                <w:kern w:val="2"/>
                <w:sz w:val="21"/>
                <w:szCs w:val="21"/>
                <w:lang w:val="en-US" w:eastAsia="zh-CN" w:bidi="ar-SA"/>
              </w:rPr>
              <w:t>（S3）</w:t>
            </w:r>
          </w:p>
          <w:p w14:paraId="5C36A7F4">
            <w:pPr>
              <w:numPr>
                <w:ilvl w:val="0"/>
                <w:numId w:val="0"/>
              </w:num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焊接工序</w:t>
            </w:r>
            <w:r>
              <w:rPr>
                <w:rFonts w:hint="default" w:ascii="Times New Roman" w:hAnsi="Times New Roman" w:cs="Times New Roman"/>
                <w:szCs w:val="21"/>
                <w:lang w:eastAsia="zh-CN"/>
              </w:rPr>
              <w:t>会</w:t>
            </w:r>
            <w:r>
              <w:rPr>
                <w:rFonts w:hint="default" w:ascii="Times New Roman" w:hAnsi="Times New Roman" w:cs="Times New Roman"/>
                <w:szCs w:val="21"/>
              </w:rPr>
              <w:t>产生焊渣，产生量按照焊渣=焊条</w:t>
            </w:r>
            <w:r>
              <w:rPr>
                <w:rFonts w:hint="default" w:ascii="Times New Roman" w:hAnsi="Times New Roman" w:cs="Times New Roman"/>
                <w:szCs w:val="21"/>
                <w:lang w:eastAsia="zh-CN"/>
              </w:rPr>
              <w:t>（焊丝）</w:t>
            </w:r>
            <w:r>
              <w:rPr>
                <w:rFonts w:hint="default" w:ascii="Times New Roman" w:hAnsi="Times New Roman" w:cs="Times New Roman"/>
                <w:szCs w:val="21"/>
              </w:rPr>
              <w:t>使用量×（1/11+4%），</w:t>
            </w:r>
            <w:r>
              <w:rPr>
                <w:rFonts w:hint="eastAsia" w:cs="Times New Roman"/>
                <w:szCs w:val="21"/>
                <w:lang w:eastAsia="zh-CN"/>
              </w:rPr>
              <w:t>项目焊丝焊条共使用</w:t>
            </w:r>
            <w:r>
              <w:rPr>
                <w:rFonts w:hint="eastAsia" w:cs="Times New Roman"/>
                <w:szCs w:val="21"/>
                <w:lang w:val="en-US" w:eastAsia="zh-CN"/>
              </w:rPr>
              <w:t>11t/a，</w:t>
            </w:r>
            <w:r>
              <w:rPr>
                <w:rFonts w:hint="default" w:ascii="Times New Roman" w:hAnsi="Times New Roman" w:cs="Times New Roman"/>
                <w:szCs w:val="21"/>
              </w:rPr>
              <w:t>可计算本项目焊渣产生量约为</w:t>
            </w:r>
            <w:r>
              <w:rPr>
                <w:rFonts w:hint="default" w:ascii="Times New Roman" w:hAnsi="Times New Roman" w:cs="Times New Roman"/>
                <w:szCs w:val="21"/>
                <w:lang w:val="en-US" w:eastAsia="zh-CN"/>
              </w:rPr>
              <w:t>1.</w:t>
            </w:r>
            <w:r>
              <w:rPr>
                <w:rFonts w:hint="eastAsia" w:cs="Times New Roman"/>
                <w:szCs w:val="21"/>
                <w:lang w:val="en-US" w:eastAsia="zh-CN"/>
              </w:rPr>
              <w:t>44</w:t>
            </w:r>
            <w:r>
              <w:rPr>
                <w:rFonts w:hint="default" w:ascii="Times New Roman" w:hAnsi="Times New Roman" w:cs="Times New Roman"/>
                <w:szCs w:val="21"/>
              </w:rPr>
              <w:t>t/a，属于一般</w:t>
            </w:r>
            <w:r>
              <w:rPr>
                <w:rFonts w:hint="eastAsia" w:cs="Times New Roman"/>
                <w:szCs w:val="21"/>
                <w:lang w:eastAsia="zh-CN"/>
              </w:rPr>
              <w:t>工业</w:t>
            </w:r>
            <w:r>
              <w:rPr>
                <w:rFonts w:hint="default" w:ascii="Times New Roman" w:hAnsi="Times New Roman" w:cs="Times New Roman"/>
                <w:szCs w:val="21"/>
              </w:rPr>
              <w:t>固体废物，</w:t>
            </w:r>
            <w:r>
              <w:rPr>
                <w:rFonts w:hint="eastAsia" w:cs="Times New Roman"/>
                <w:caps w:val="0"/>
                <w:snapToGrid w:val="0"/>
                <w:color w:val="0C0C0C"/>
                <w:spacing w:val="0"/>
                <w:position w:val="0"/>
                <w:sz w:val="21"/>
                <w:szCs w:val="21"/>
                <w:highlight w:val="none"/>
                <w:lang w:val="en-US" w:eastAsia="zh-CN"/>
              </w:rPr>
              <w:t>固废代码：900-099-S59，</w:t>
            </w:r>
            <w:r>
              <w:rPr>
                <w:rFonts w:hint="eastAsia"/>
                <w:bCs/>
                <w:sz w:val="21"/>
                <w:szCs w:val="21"/>
                <w:lang w:eastAsia="zh-CN"/>
              </w:rPr>
              <w:t>收集后全部外卖处理。</w:t>
            </w:r>
          </w:p>
          <w:p w14:paraId="2AE1EA7A">
            <w:pPr>
              <w:numPr>
                <w:ilvl w:val="0"/>
                <w:numId w:val="0"/>
              </w:numPr>
              <w:autoSpaceDE w:val="0"/>
              <w:autoSpaceDN w:val="0"/>
              <w:adjustRightInd w:val="0"/>
              <w:snapToGrid w:val="0"/>
              <w:spacing w:line="360" w:lineRule="auto"/>
              <w:ind w:firstLine="420" w:firstLineChars="200"/>
              <w:rPr>
                <w:rFonts w:hint="eastAsia"/>
                <w:bCs/>
                <w:sz w:val="21"/>
                <w:szCs w:val="21"/>
                <w:lang w:eastAsia="zh-CN"/>
              </w:rPr>
            </w:pPr>
            <w:r>
              <w:rPr>
                <w:rFonts w:hint="eastAsia" w:ascii="Times New Roman" w:hAnsi="Times New Roman" w:eastAsia="宋体" w:cs="Times New Roman"/>
                <w:bCs/>
                <w:kern w:val="2"/>
                <w:sz w:val="21"/>
                <w:szCs w:val="21"/>
                <w:lang w:val="en-US" w:eastAsia="zh-CN" w:bidi="ar-SA"/>
              </w:rPr>
              <w:t>（</w:t>
            </w:r>
            <w:r>
              <w:rPr>
                <w:rFonts w:hint="eastAsia" w:cs="Times New Roman"/>
                <w:bCs/>
                <w:kern w:val="2"/>
                <w:sz w:val="21"/>
                <w:szCs w:val="21"/>
                <w:lang w:val="en-US" w:eastAsia="zh-CN" w:bidi="ar-SA"/>
              </w:rPr>
              <w:t>4</w:t>
            </w:r>
            <w:r>
              <w:rPr>
                <w:rFonts w:hint="eastAsia" w:ascii="Times New Roman" w:hAnsi="Times New Roman" w:eastAsia="宋体" w:cs="Times New Roman"/>
                <w:bCs/>
                <w:kern w:val="2"/>
                <w:sz w:val="21"/>
                <w:szCs w:val="21"/>
                <w:lang w:val="en-US" w:eastAsia="zh-CN" w:bidi="ar-SA"/>
              </w:rPr>
              <w:t>）</w:t>
            </w:r>
            <w:r>
              <w:rPr>
                <w:rFonts w:hint="eastAsia" w:cs="Times New Roman"/>
                <w:bCs/>
                <w:kern w:val="2"/>
                <w:sz w:val="21"/>
                <w:szCs w:val="21"/>
                <w:lang w:val="en-US" w:eastAsia="zh-CN" w:bidi="ar-SA"/>
              </w:rPr>
              <w:t>焊烟净化器收集的粉尘</w:t>
            </w:r>
            <w:r>
              <w:rPr>
                <w:rFonts w:hint="eastAsia" w:cs="Times New Roman"/>
                <w:b w:val="0"/>
                <w:bCs w:val="0"/>
                <w:kern w:val="2"/>
                <w:sz w:val="21"/>
                <w:szCs w:val="21"/>
                <w:lang w:val="en-US" w:eastAsia="zh-CN" w:bidi="ar-SA"/>
              </w:rPr>
              <w:t>（S6）</w:t>
            </w:r>
          </w:p>
          <w:p w14:paraId="76F65459">
            <w:pPr>
              <w:autoSpaceDE w:val="0"/>
              <w:autoSpaceDN w:val="0"/>
              <w:adjustRightInd w:val="0"/>
              <w:snapToGrid w:val="0"/>
              <w:spacing w:line="360" w:lineRule="auto"/>
              <w:ind w:firstLine="420" w:firstLineChars="200"/>
              <w:rPr>
                <w:rFonts w:hint="eastAsia"/>
                <w:bCs/>
                <w:sz w:val="21"/>
                <w:szCs w:val="21"/>
                <w:lang w:eastAsia="zh-CN"/>
              </w:rPr>
            </w:pPr>
            <w:r>
              <w:rPr>
                <w:rFonts w:hint="eastAsia"/>
                <w:lang w:eastAsia="zh-CN"/>
              </w:rPr>
              <w:t>焊烟净化器工作过程会收集粉尘，属于一般工业固废，</w:t>
            </w:r>
            <w:r>
              <w:rPr>
                <w:rFonts w:hint="eastAsia" w:cs="Times New Roman"/>
                <w:caps w:val="0"/>
                <w:snapToGrid w:val="0"/>
                <w:color w:val="0C0C0C"/>
                <w:spacing w:val="0"/>
                <w:position w:val="0"/>
                <w:sz w:val="21"/>
                <w:szCs w:val="21"/>
                <w:highlight w:val="none"/>
                <w:lang w:val="en-US" w:eastAsia="zh-CN"/>
              </w:rPr>
              <w:t>固废代码：900-099-S59，</w:t>
            </w:r>
            <w:r>
              <w:rPr>
                <w:rFonts w:hint="eastAsia"/>
                <w:lang w:eastAsia="zh-CN"/>
              </w:rPr>
              <w:t>焊接、下料、开孔工序颗粒物产生量为</w:t>
            </w:r>
            <w:r>
              <w:rPr>
                <w:rFonts w:hint="eastAsia"/>
                <w:lang w:val="en-US" w:eastAsia="zh-CN"/>
              </w:rPr>
              <w:t>1.851t/a，无组织排放量为0.667t/a，</w:t>
            </w:r>
            <w:r>
              <w:rPr>
                <w:rFonts w:hint="eastAsia" w:cs="Times New Roman"/>
                <w:bCs/>
                <w:kern w:val="2"/>
                <w:sz w:val="21"/>
                <w:szCs w:val="21"/>
                <w:lang w:val="en-US" w:eastAsia="zh-CN" w:bidi="ar-SA"/>
              </w:rPr>
              <w:t>焊烟净化器收集的粉尘量为1.184t/a，</w:t>
            </w:r>
            <w:r>
              <w:rPr>
                <w:rFonts w:hint="eastAsia"/>
                <w:bCs/>
                <w:sz w:val="21"/>
                <w:szCs w:val="21"/>
                <w:lang w:eastAsia="zh-CN"/>
              </w:rPr>
              <w:t>收集后全部外卖处理。</w:t>
            </w:r>
          </w:p>
          <w:p w14:paraId="72F84AA9">
            <w:pPr>
              <w:autoSpaceDE w:val="0"/>
              <w:autoSpaceDN w:val="0"/>
              <w:adjustRightInd w:val="0"/>
              <w:snapToGrid w:val="0"/>
              <w:spacing w:line="360" w:lineRule="auto"/>
              <w:ind w:firstLine="420" w:firstLineChars="200"/>
            </w:pPr>
            <w:r>
              <w:t>（</w:t>
            </w:r>
            <w:r>
              <w:rPr>
                <w:rFonts w:hint="eastAsia"/>
                <w:lang w:val="en-US" w:eastAsia="zh-CN"/>
              </w:rPr>
              <w:t>5</w:t>
            </w:r>
            <w:r>
              <w:t>）</w:t>
            </w:r>
            <w:r>
              <w:rPr>
                <w:rFonts w:hint="eastAsia" w:cs="Times New Roman"/>
                <w:b w:val="0"/>
                <w:bCs w:val="0"/>
                <w:kern w:val="2"/>
                <w:sz w:val="21"/>
                <w:szCs w:val="21"/>
                <w:lang w:val="en-US" w:eastAsia="zh-CN" w:bidi="ar-SA"/>
              </w:rPr>
              <w:t>开孔工序产生的废塑料边角料</w:t>
            </w:r>
            <w:r>
              <w:rPr>
                <w:rFonts w:hint="eastAsia" w:ascii="Times New Roman" w:hAnsi="Times New Roman" w:cs="Times New Roman"/>
                <w:b w:val="0"/>
                <w:bCs w:val="0"/>
                <w:kern w:val="2"/>
                <w:sz w:val="21"/>
                <w:szCs w:val="21"/>
                <w:lang w:val="en-US" w:eastAsia="zh-CN" w:bidi="ar-SA"/>
              </w:rPr>
              <w:t>（S4）</w:t>
            </w:r>
          </w:p>
          <w:p w14:paraId="56C680AC">
            <w:pPr>
              <w:numPr>
                <w:ilvl w:val="0"/>
                <w:numId w:val="0"/>
              </w:num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eastAsia"/>
                <w:sz w:val="21"/>
                <w:szCs w:val="21"/>
                <w:lang w:val="en-US" w:eastAsia="zh-CN"/>
              </w:rPr>
              <w:t>PPH缠绕罐及玻璃钢缠绕罐开孔工序会产生废塑料边角料，</w:t>
            </w:r>
            <w:r>
              <w:rPr>
                <w:rFonts w:hint="eastAsia"/>
                <w:lang w:eastAsia="zh-CN"/>
              </w:rPr>
              <w:t>属于一般工业固废，</w:t>
            </w:r>
            <w:r>
              <w:rPr>
                <w:rFonts w:hint="eastAsia" w:cs="Times New Roman"/>
                <w:caps w:val="0"/>
                <w:snapToGrid w:val="0"/>
                <w:color w:val="0C0C0C"/>
                <w:spacing w:val="0"/>
                <w:position w:val="0"/>
                <w:sz w:val="21"/>
                <w:szCs w:val="21"/>
                <w:highlight w:val="none"/>
                <w:lang w:val="en-US" w:eastAsia="zh-CN"/>
              </w:rPr>
              <w:t>固废代码：900-003-S17，</w:t>
            </w:r>
            <w:r>
              <w:rPr>
                <w:rFonts w:hint="eastAsia"/>
                <w:sz w:val="21"/>
                <w:szCs w:val="21"/>
                <w:highlight w:val="none"/>
                <w:lang w:val="en-US" w:eastAsia="zh-CN"/>
              </w:rPr>
              <w:t>产生量为约0.08t/a，</w:t>
            </w:r>
            <w:r>
              <w:rPr>
                <w:rFonts w:hint="eastAsia"/>
                <w:bCs/>
                <w:sz w:val="21"/>
                <w:szCs w:val="21"/>
                <w:lang w:eastAsia="zh-CN"/>
              </w:rPr>
              <w:t>收集后全部外卖处理。</w:t>
            </w:r>
          </w:p>
          <w:p w14:paraId="0153857C">
            <w:pPr>
              <w:autoSpaceDE w:val="0"/>
              <w:autoSpaceDN w:val="0"/>
              <w:adjustRightInd w:val="0"/>
              <w:snapToGrid w:val="0"/>
              <w:spacing w:line="360" w:lineRule="auto"/>
              <w:ind w:firstLine="420" w:firstLineChars="200"/>
            </w:pPr>
            <w:r>
              <w:rPr>
                <w:rFonts w:hint="eastAsia"/>
                <w:lang w:eastAsia="zh-CN"/>
              </w:rPr>
              <w:t>（</w:t>
            </w:r>
            <w:r>
              <w:rPr>
                <w:rFonts w:hint="eastAsia"/>
                <w:lang w:val="en-US" w:eastAsia="zh-CN"/>
              </w:rPr>
              <w:t>6</w:t>
            </w:r>
            <w:r>
              <w:rPr>
                <w:rFonts w:hint="eastAsia"/>
                <w:lang w:eastAsia="zh-CN"/>
              </w:rPr>
              <w:t>）</w:t>
            </w:r>
            <w:r>
              <w:t>生活垃圾</w:t>
            </w:r>
            <w:r>
              <w:rPr>
                <w:rFonts w:hint="eastAsia"/>
                <w:bCs/>
                <w:sz w:val="21"/>
                <w:szCs w:val="21"/>
                <w:lang w:eastAsia="zh-CN"/>
              </w:rPr>
              <w:t>（</w:t>
            </w:r>
            <w:r>
              <w:rPr>
                <w:rFonts w:hint="eastAsia"/>
                <w:bCs/>
                <w:sz w:val="21"/>
                <w:szCs w:val="21"/>
                <w:lang w:val="en-US" w:eastAsia="zh-CN"/>
              </w:rPr>
              <w:t>S7</w:t>
            </w:r>
            <w:r>
              <w:rPr>
                <w:rFonts w:hint="eastAsia"/>
                <w:bCs/>
                <w:sz w:val="21"/>
                <w:szCs w:val="21"/>
                <w:lang w:eastAsia="zh-CN"/>
              </w:rPr>
              <w:t>）</w:t>
            </w:r>
            <w:r>
              <w:t>：</w:t>
            </w:r>
            <w:r>
              <w:rPr>
                <w:rFonts w:hint="eastAsia"/>
                <w:lang w:eastAsia="zh-CN"/>
              </w:rPr>
              <w:t>本项目新增职工</w:t>
            </w:r>
            <w:r>
              <w:rPr>
                <w:rFonts w:hint="eastAsia"/>
                <w:lang w:val="en-US" w:eastAsia="zh-CN"/>
              </w:rPr>
              <w:t>50人，</w:t>
            </w:r>
            <w:r>
              <w:rPr>
                <w:rFonts w:hint="eastAsia" w:cs="Times New Roman"/>
                <w:szCs w:val="21"/>
                <w:lang w:val="en-US" w:eastAsia="zh-CN"/>
              </w:rPr>
              <w:t>项目</w:t>
            </w:r>
            <w:r>
              <w:rPr>
                <w:rFonts w:hint="default" w:ascii="Times New Roman" w:hAnsi="Times New Roman" w:cs="Times New Roman"/>
                <w:szCs w:val="21"/>
              </w:rPr>
              <w:t>生活垃圾产生量按照0.5kg/人·d计</w:t>
            </w:r>
            <w:r>
              <w:rPr>
                <w:rFonts w:hint="eastAsia" w:cs="Times New Roman"/>
                <w:szCs w:val="21"/>
                <w:lang w:eastAsia="zh-CN"/>
              </w:rPr>
              <w:t>，年工作</w:t>
            </w:r>
            <w:r>
              <w:rPr>
                <w:rFonts w:hint="eastAsia" w:cs="Times New Roman"/>
                <w:szCs w:val="21"/>
                <w:lang w:val="en-US" w:eastAsia="zh-CN"/>
              </w:rPr>
              <w:t>300d</w:t>
            </w:r>
            <w:r>
              <w:rPr>
                <w:rFonts w:hint="default" w:ascii="Times New Roman" w:hAnsi="Times New Roman" w:cs="Times New Roman"/>
                <w:szCs w:val="21"/>
              </w:rPr>
              <w:t>，则</w:t>
            </w:r>
            <w:r>
              <w:rPr>
                <w:rFonts w:hint="eastAsia" w:ascii="Times New Roman" w:hAnsi="Times New Roman" w:cs="Times New Roman"/>
                <w:szCs w:val="21"/>
                <w:lang w:eastAsia="zh-CN"/>
              </w:rPr>
              <w:t>项目完成后全厂</w:t>
            </w:r>
            <w:r>
              <w:rPr>
                <w:rFonts w:hint="default" w:ascii="Times New Roman" w:hAnsi="Times New Roman" w:cs="Times New Roman"/>
                <w:szCs w:val="21"/>
              </w:rPr>
              <w:t>生活垃圾产生量为</w:t>
            </w:r>
            <w:r>
              <w:rPr>
                <w:rFonts w:hint="eastAsia" w:cs="Times New Roman"/>
                <w:szCs w:val="21"/>
                <w:lang w:val="en-US" w:eastAsia="zh-CN"/>
              </w:rPr>
              <w:t>7.5</w:t>
            </w:r>
            <w:r>
              <w:rPr>
                <w:rFonts w:hint="default" w:ascii="Times New Roman" w:hAnsi="Times New Roman" w:cs="Times New Roman"/>
                <w:szCs w:val="21"/>
              </w:rPr>
              <w:t>t/a，由环卫部门定期清理。</w:t>
            </w:r>
            <w:r>
              <w:t xml:space="preserve"> </w:t>
            </w:r>
          </w:p>
          <w:p w14:paraId="66256E02">
            <w:pPr>
              <w:autoSpaceDE w:val="0"/>
              <w:autoSpaceDN w:val="0"/>
              <w:adjustRightInd w:val="0"/>
              <w:snapToGrid w:val="0"/>
              <w:spacing w:line="360" w:lineRule="auto"/>
              <w:ind w:firstLine="420" w:firstLineChars="200"/>
              <w:rPr>
                <w:rFonts w:hint="eastAsia" w:eastAsia="宋体"/>
                <w:lang w:eastAsia="zh-CN"/>
              </w:rPr>
            </w:pPr>
            <w:r>
              <w:rPr>
                <w:rFonts w:hint="eastAsia"/>
                <w:lang w:eastAsia="zh-CN"/>
              </w:rPr>
              <w:t>（二）危险废物</w:t>
            </w:r>
          </w:p>
          <w:p w14:paraId="6E8500C0">
            <w:pPr>
              <w:autoSpaceDE w:val="0"/>
              <w:autoSpaceDN w:val="0"/>
              <w:adjustRightInd w:val="0"/>
              <w:snapToGrid w:val="0"/>
              <w:spacing w:line="360" w:lineRule="auto"/>
              <w:ind w:firstLine="420" w:firstLineChars="200"/>
              <w:rPr>
                <w:rFonts w:hint="eastAsia"/>
                <w:lang w:eastAsia="zh-CN"/>
              </w:rPr>
            </w:pPr>
            <w:r>
              <w:rPr>
                <w:rFonts w:hint="eastAsia"/>
                <w:lang w:eastAsia="zh-CN"/>
              </w:rPr>
              <w:t>（</w:t>
            </w:r>
            <w:r>
              <w:rPr>
                <w:rFonts w:hint="eastAsia"/>
                <w:lang w:val="en-US" w:eastAsia="zh-CN"/>
              </w:rPr>
              <w:t>1</w:t>
            </w:r>
            <w:r>
              <w:rPr>
                <w:rFonts w:hint="eastAsia"/>
                <w:lang w:eastAsia="zh-CN"/>
              </w:rPr>
              <w:t>）</w:t>
            </w:r>
            <w:r>
              <w:rPr>
                <w:rFonts w:hint="eastAsia"/>
                <w:bCs/>
                <w:sz w:val="21"/>
                <w:szCs w:val="21"/>
                <w:highlight w:val="none"/>
                <w:lang w:eastAsia="zh-CN"/>
              </w:rPr>
              <w:t>废</w:t>
            </w:r>
            <w:r>
              <w:rPr>
                <w:rFonts w:hint="eastAsia" w:ascii="Times New Roman" w:hAnsi="Times New Roman" w:cs="Times New Roman"/>
                <w:b w:val="0"/>
                <w:bCs w:val="0"/>
                <w:kern w:val="2"/>
                <w:sz w:val="21"/>
                <w:szCs w:val="21"/>
                <w:lang w:val="en-US" w:eastAsia="zh-CN" w:bidi="ar-SA"/>
              </w:rPr>
              <w:t>油漆桶、稀释剂桶（S2.1）</w:t>
            </w:r>
          </w:p>
          <w:p w14:paraId="5F119CC4">
            <w:pPr>
              <w:autoSpaceDE w:val="0"/>
              <w:autoSpaceDN w:val="0"/>
              <w:adjustRightInd w:val="0"/>
              <w:spacing w:line="360" w:lineRule="auto"/>
              <w:ind w:firstLine="420" w:firstLineChars="200"/>
              <w:rPr>
                <w:rFonts w:hint="default" w:ascii="Times New Roman" w:hAnsi="Times New Roman" w:eastAsia="宋体" w:cs="Times New Roman"/>
                <w:szCs w:val="21"/>
                <w:lang w:val="en-US" w:eastAsia="zh-CN"/>
              </w:rPr>
            </w:pPr>
            <w:r>
              <w:rPr>
                <w:rFonts w:hint="eastAsia"/>
                <w:bCs/>
                <w:sz w:val="21"/>
                <w:szCs w:val="21"/>
                <w:highlight w:val="none"/>
                <w:lang w:eastAsia="zh-CN"/>
              </w:rPr>
              <w:t>喷漆房喷涂工序会产生废油漆桶、稀释剂桶，绝缘漆会产生废漆桶，项目年使用油性漆、稀释剂共</w:t>
            </w:r>
            <w:r>
              <w:rPr>
                <w:rFonts w:hint="eastAsia"/>
                <w:bCs/>
                <w:sz w:val="21"/>
                <w:szCs w:val="21"/>
                <w:highlight w:val="none"/>
                <w:lang w:val="en-US" w:eastAsia="zh-CN"/>
              </w:rPr>
              <w:t>2.52t/a，绝缘漆0.1t/a，均为20kg/桶包装，</w:t>
            </w:r>
            <w:r>
              <w:rPr>
                <w:rFonts w:hint="eastAsia"/>
                <w:bCs/>
                <w:sz w:val="21"/>
                <w:szCs w:val="21"/>
                <w:highlight w:val="none"/>
                <w:lang w:eastAsia="zh-CN"/>
              </w:rPr>
              <w:t>废油漆桶、稀释剂桶</w:t>
            </w:r>
            <w:r>
              <w:rPr>
                <w:rFonts w:hint="default" w:ascii="Times New Roman" w:hAnsi="Times New Roman" w:cs="Times New Roman"/>
                <w:szCs w:val="21"/>
                <w:lang w:eastAsia="zh-CN"/>
              </w:rPr>
              <w:t>年产生量</w:t>
            </w:r>
            <w:r>
              <w:rPr>
                <w:rFonts w:hint="eastAsia" w:cs="Times New Roman"/>
                <w:szCs w:val="21"/>
                <w:lang w:eastAsia="zh-CN"/>
              </w:rPr>
              <w:t>约</w:t>
            </w:r>
            <w:r>
              <w:rPr>
                <w:rFonts w:hint="eastAsia" w:cs="Times New Roman"/>
                <w:szCs w:val="21"/>
                <w:lang w:val="en-US" w:eastAsia="zh-CN"/>
              </w:rPr>
              <w:t>131个，平均每个桶重量约1.5kg，</w:t>
            </w:r>
            <w:r>
              <w:rPr>
                <w:rFonts w:hint="eastAsia" w:cs="Times New Roman"/>
                <w:szCs w:val="21"/>
                <w:lang w:eastAsia="zh-CN"/>
              </w:rPr>
              <w:t>产生量为</w:t>
            </w:r>
            <w:r>
              <w:rPr>
                <w:rFonts w:hint="eastAsia" w:cs="Times New Roman"/>
                <w:szCs w:val="21"/>
                <w:lang w:val="en-US" w:eastAsia="zh-CN"/>
              </w:rPr>
              <w:t>0.197</w:t>
            </w:r>
            <w:r>
              <w:rPr>
                <w:rFonts w:hint="default" w:ascii="Times New Roman" w:hAnsi="Times New Roman" w:cs="Times New Roman"/>
                <w:szCs w:val="21"/>
                <w:lang w:val="en-US" w:eastAsia="zh-CN"/>
              </w:rPr>
              <w:t>t/a，属于危险废物，类别为</w:t>
            </w:r>
            <w:r>
              <w:rPr>
                <w:rFonts w:hint="default" w:ascii="Times New Roman" w:hAnsi="Times New Roman" w:cs="Times New Roman"/>
                <w:szCs w:val="21"/>
              </w:rPr>
              <w:t>HW</w:t>
            </w:r>
            <w:r>
              <w:rPr>
                <w:rFonts w:hint="default" w:ascii="Times New Roman" w:hAnsi="Times New Roman" w:cs="Times New Roman"/>
                <w:szCs w:val="21"/>
                <w:lang w:val="en-US" w:eastAsia="zh-CN"/>
              </w:rPr>
              <w:t>12，危废代码</w:t>
            </w:r>
            <w:r>
              <w:rPr>
                <w:rFonts w:hint="default" w:ascii="Times New Roman" w:hAnsi="Times New Roman" w:cs="Times New Roman"/>
                <w:szCs w:val="21"/>
              </w:rPr>
              <w:t>900-252-12，</w:t>
            </w:r>
            <w:r>
              <w:rPr>
                <w:rFonts w:hint="eastAsia" w:cs="Times New Roman"/>
                <w:szCs w:val="21"/>
                <w:lang w:eastAsia="zh-CN"/>
              </w:rPr>
              <w:t>产生后暂存在危废间内密闭堆存储存，</w:t>
            </w:r>
            <w:r>
              <w:rPr>
                <w:rFonts w:hint="default" w:ascii="Times New Roman" w:hAnsi="Times New Roman" w:cs="Times New Roman"/>
                <w:szCs w:val="21"/>
              </w:rPr>
              <w:t>委托有危险废物处理资质的企业处理。</w:t>
            </w:r>
          </w:p>
          <w:p w14:paraId="15D4E95D">
            <w:pPr>
              <w:autoSpaceDE w:val="0"/>
              <w:autoSpaceDN w:val="0"/>
              <w:adjustRightInd w:val="0"/>
              <w:snapToGrid w:val="0"/>
              <w:spacing w:line="360" w:lineRule="auto"/>
              <w:ind w:firstLine="420" w:firstLineChars="200"/>
              <w:rPr>
                <w:rFonts w:hint="eastAsia"/>
                <w:lang w:eastAsia="zh-CN"/>
              </w:rPr>
            </w:pPr>
            <w:r>
              <w:rPr>
                <w:rFonts w:hint="eastAsia"/>
                <w:lang w:eastAsia="zh-CN"/>
              </w:rPr>
              <w:t>（</w:t>
            </w:r>
            <w:r>
              <w:rPr>
                <w:rFonts w:hint="eastAsia"/>
                <w:lang w:val="en-US" w:eastAsia="zh-CN"/>
              </w:rPr>
              <w:t>2</w:t>
            </w:r>
            <w:r>
              <w:rPr>
                <w:rFonts w:hint="eastAsia"/>
                <w:lang w:eastAsia="zh-CN"/>
              </w:rPr>
              <w:t>）</w:t>
            </w:r>
            <w:r>
              <w:rPr>
                <w:rFonts w:hint="eastAsia"/>
                <w:bCs/>
                <w:sz w:val="21"/>
                <w:szCs w:val="21"/>
                <w:highlight w:val="none"/>
                <w:lang w:eastAsia="zh-CN"/>
              </w:rPr>
              <w:t>喷涂工序产生的</w:t>
            </w:r>
            <w:r>
              <w:rPr>
                <w:rFonts w:hint="eastAsia" w:ascii="Times New Roman" w:hAnsi="Times New Roman" w:cs="Times New Roman"/>
                <w:b w:val="0"/>
                <w:bCs w:val="0"/>
                <w:kern w:val="2"/>
                <w:sz w:val="21"/>
                <w:szCs w:val="21"/>
                <w:lang w:val="en-US" w:eastAsia="zh-CN" w:bidi="ar-SA"/>
              </w:rPr>
              <w:t>废漆渣（S2.2）</w:t>
            </w:r>
          </w:p>
          <w:p w14:paraId="7DC330E2">
            <w:pPr>
              <w:autoSpaceDE w:val="0"/>
              <w:autoSpaceDN w:val="0"/>
              <w:adjustRightInd w:val="0"/>
              <w:snapToGri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lang w:eastAsia="zh-CN"/>
              </w:rPr>
              <w:t>喷漆过程中会产生废漆渣，</w:t>
            </w:r>
            <w:r>
              <w:rPr>
                <w:rFonts w:hint="default" w:ascii="Times New Roman" w:hAnsi="Times New Roman" w:cs="Times New Roman"/>
                <w:szCs w:val="21"/>
              </w:rPr>
              <w:t>产生量为</w:t>
            </w:r>
            <w:r>
              <w:rPr>
                <w:rFonts w:hint="default" w:ascii="Times New Roman" w:hAnsi="Times New Roman" w:cs="Times New Roman"/>
                <w:szCs w:val="21"/>
                <w:lang w:val="en-US" w:eastAsia="zh-CN"/>
              </w:rPr>
              <w:t>0.</w:t>
            </w:r>
            <w:r>
              <w:rPr>
                <w:rFonts w:hint="eastAsia" w:cs="Times New Roman"/>
                <w:szCs w:val="21"/>
                <w:lang w:val="en-US" w:eastAsia="zh-CN"/>
              </w:rPr>
              <w:t>495</w:t>
            </w:r>
            <w:r>
              <w:rPr>
                <w:rFonts w:hint="default" w:ascii="Times New Roman" w:hAnsi="Times New Roman" w:cs="Times New Roman"/>
                <w:szCs w:val="21"/>
              </w:rPr>
              <w:t>t/a，属于危险废物，类别为HW</w:t>
            </w:r>
            <w:r>
              <w:rPr>
                <w:rFonts w:hint="default" w:ascii="Times New Roman" w:hAnsi="Times New Roman" w:cs="Times New Roman"/>
                <w:szCs w:val="21"/>
                <w:lang w:val="en-US" w:eastAsia="zh-CN"/>
              </w:rPr>
              <w:t>12，危废代码</w:t>
            </w:r>
            <w:r>
              <w:rPr>
                <w:rFonts w:hint="default" w:ascii="Times New Roman" w:hAnsi="Times New Roman" w:cs="Times New Roman"/>
                <w:szCs w:val="21"/>
              </w:rPr>
              <w:t>900-252-12，</w:t>
            </w:r>
            <w:r>
              <w:rPr>
                <w:rFonts w:hint="eastAsia" w:cs="Times New Roman"/>
                <w:szCs w:val="21"/>
                <w:lang w:eastAsia="zh-CN"/>
              </w:rPr>
              <w:t>产生后暂存在危废间内密闭桶装储存，定期</w:t>
            </w:r>
            <w:r>
              <w:rPr>
                <w:rFonts w:hint="default" w:ascii="Times New Roman" w:hAnsi="Times New Roman" w:cs="Times New Roman"/>
                <w:szCs w:val="21"/>
              </w:rPr>
              <w:t>委托有危险废物处理资质的企业处理。</w:t>
            </w:r>
          </w:p>
          <w:p w14:paraId="1743F6A1">
            <w:pPr>
              <w:autoSpaceDE w:val="0"/>
              <w:autoSpaceDN w:val="0"/>
              <w:adjustRightInd w:val="0"/>
              <w:snapToGrid w:val="0"/>
              <w:spacing w:line="360" w:lineRule="auto"/>
              <w:ind w:firstLine="420" w:firstLineChars="200"/>
              <w:rPr>
                <w:rFonts w:hint="eastAsia"/>
                <w:bCs/>
                <w:sz w:val="21"/>
                <w:szCs w:val="21"/>
                <w:highlight w:val="none"/>
                <w:lang w:eastAsia="zh-CN"/>
              </w:rPr>
            </w:pPr>
            <w:r>
              <w:rPr>
                <w:rFonts w:hint="eastAsia"/>
                <w:bCs/>
                <w:sz w:val="21"/>
                <w:szCs w:val="21"/>
                <w:highlight w:val="none"/>
                <w:lang w:eastAsia="zh-CN"/>
              </w:rPr>
              <w:t>（</w:t>
            </w:r>
            <w:r>
              <w:rPr>
                <w:rFonts w:hint="eastAsia"/>
                <w:bCs/>
                <w:sz w:val="21"/>
                <w:szCs w:val="21"/>
                <w:highlight w:val="none"/>
                <w:lang w:val="en-US" w:eastAsia="zh-CN"/>
              </w:rPr>
              <w:t>3</w:t>
            </w:r>
            <w:r>
              <w:rPr>
                <w:rFonts w:hint="eastAsia"/>
                <w:bCs/>
                <w:sz w:val="21"/>
                <w:szCs w:val="21"/>
                <w:highlight w:val="none"/>
                <w:lang w:eastAsia="zh-CN"/>
              </w:rPr>
              <w:t>）</w:t>
            </w:r>
            <w:r>
              <w:rPr>
                <w:rFonts w:hint="eastAsia" w:cs="Times New Roman"/>
                <w:b w:val="0"/>
                <w:bCs w:val="0"/>
                <w:kern w:val="2"/>
                <w:sz w:val="21"/>
                <w:szCs w:val="21"/>
                <w:lang w:val="en-US" w:eastAsia="zh-CN" w:bidi="ar-SA"/>
              </w:rPr>
              <w:t>设备维护保养产生的废机油（S8）</w:t>
            </w:r>
          </w:p>
          <w:p w14:paraId="4D01EE9C">
            <w:pPr>
              <w:autoSpaceDE w:val="0"/>
              <w:autoSpaceDN w:val="0"/>
              <w:adjustRightInd w:val="0"/>
              <w:snapToGrid w:val="0"/>
              <w:spacing w:line="360" w:lineRule="auto"/>
              <w:ind w:firstLine="420" w:firstLineChars="200"/>
              <w:rPr>
                <w:rFonts w:hint="eastAsia"/>
                <w:bCs/>
                <w:sz w:val="21"/>
                <w:szCs w:val="21"/>
                <w:lang w:val="en-US" w:eastAsia="zh-CN"/>
              </w:rPr>
            </w:pPr>
            <w:r>
              <w:rPr>
                <w:rFonts w:hint="default" w:ascii="Times New Roman" w:hAnsi="Times New Roman" w:cs="Times New Roman"/>
                <w:szCs w:val="21"/>
              </w:rPr>
              <w:t>拟建项目生产过程中设备运行维护需使用润滑油，</w:t>
            </w:r>
            <w:r>
              <w:rPr>
                <w:rFonts w:hint="eastAsia" w:cs="Times New Roman"/>
                <w:szCs w:val="21"/>
                <w:lang w:eastAsia="zh-CN"/>
              </w:rPr>
              <w:t>添加</w:t>
            </w:r>
            <w:r>
              <w:rPr>
                <w:rFonts w:hint="default" w:ascii="Times New Roman" w:hAnsi="Times New Roman" w:cs="Times New Roman"/>
                <w:szCs w:val="21"/>
              </w:rPr>
              <w:t>使用，定期更换，一年更换一次。废</w:t>
            </w:r>
            <w:r>
              <w:rPr>
                <w:rFonts w:hint="eastAsia" w:cs="Times New Roman"/>
                <w:szCs w:val="21"/>
                <w:lang w:eastAsia="zh-CN"/>
              </w:rPr>
              <w:t>机</w:t>
            </w:r>
            <w:r>
              <w:rPr>
                <w:rFonts w:hint="default" w:ascii="Times New Roman" w:hAnsi="Times New Roman" w:cs="Times New Roman"/>
                <w:szCs w:val="21"/>
                <w:lang w:eastAsia="zh-CN"/>
              </w:rPr>
              <w:t>油</w:t>
            </w:r>
            <w:r>
              <w:rPr>
                <w:rFonts w:hint="default" w:ascii="Times New Roman" w:hAnsi="Times New Roman" w:cs="Times New Roman"/>
                <w:szCs w:val="21"/>
              </w:rPr>
              <w:t>产生量约为0.05t/a，属于危险废物HW08</w:t>
            </w:r>
            <w:r>
              <w:rPr>
                <w:rFonts w:hint="default" w:ascii="Times New Roman" w:hAnsi="Times New Roman" w:cs="Times New Roman"/>
                <w:szCs w:val="21"/>
                <w:lang w:eastAsia="zh-CN"/>
              </w:rPr>
              <w:t>，危废代码</w:t>
            </w:r>
            <w:r>
              <w:rPr>
                <w:rFonts w:hint="default" w:ascii="Times New Roman" w:hAnsi="Times New Roman" w:cs="Times New Roman"/>
                <w:szCs w:val="21"/>
              </w:rPr>
              <w:t>900-2</w:t>
            </w:r>
            <w:r>
              <w:rPr>
                <w:rFonts w:hint="eastAsia" w:cs="Times New Roman"/>
                <w:szCs w:val="21"/>
                <w:lang w:val="en-US" w:eastAsia="zh-CN"/>
              </w:rPr>
              <w:t>49</w:t>
            </w:r>
            <w:r>
              <w:rPr>
                <w:rFonts w:hint="default" w:ascii="Times New Roman" w:hAnsi="Times New Roman" w:cs="Times New Roman"/>
                <w:szCs w:val="21"/>
              </w:rPr>
              <w:t>-08，委托有危险废物处理资质的企业处理。</w:t>
            </w:r>
          </w:p>
          <w:p w14:paraId="01A46E51">
            <w:pPr>
              <w:numPr>
                <w:ilvl w:val="0"/>
                <w:numId w:val="0"/>
              </w:numPr>
              <w:autoSpaceDE w:val="0"/>
              <w:autoSpaceDN w:val="0"/>
              <w:adjustRightInd w:val="0"/>
              <w:spacing w:line="360" w:lineRule="auto"/>
              <w:ind w:firstLine="420" w:firstLineChars="200"/>
              <w:rPr>
                <w:rFonts w:hint="eastAsia"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（4）</w:t>
            </w:r>
            <w:r>
              <w:rPr>
                <w:rFonts w:hint="eastAsia" w:cs="Times New Roman"/>
                <w:b w:val="0"/>
                <w:bCs w:val="0"/>
                <w:kern w:val="2"/>
                <w:sz w:val="21"/>
                <w:szCs w:val="21"/>
                <w:lang w:val="en-US" w:eastAsia="zh-CN" w:bidi="ar-SA"/>
              </w:rPr>
              <w:t>设备维护保养产生的废液压油（S11）</w:t>
            </w:r>
          </w:p>
          <w:p w14:paraId="7E2DF860">
            <w:pPr>
              <w:numPr>
                <w:ilvl w:val="0"/>
                <w:numId w:val="0"/>
              </w:numPr>
              <w:autoSpaceDE w:val="0"/>
              <w:autoSpaceDN w:val="0"/>
              <w:adjustRightInd w:val="0"/>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拟建项目生产过程中液压设备运行需使用液压油，定期更换，一年更换一次。废</w:t>
            </w:r>
            <w:r>
              <w:rPr>
                <w:rFonts w:hint="default" w:ascii="Times New Roman" w:hAnsi="Times New Roman" w:cs="Times New Roman"/>
                <w:szCs w:val="21"/>
                <w:lang w:eastAsia="zh-CN"/>
              </w:rPr>
              <w:t>液压</w:t>
            </w:r>
            <w:r>
              <w:rPr>
                <w:rFonts w:hint="default" w:ascii="Times New Roman" w:hAnsi="Times New Roman" w:cs="Times New Roman"/>
                <w:szCs w:val="21"/>
              </w:rPr>
              <w:t>油产生量约为0.</w:t>
            </w:r>
            <w:r>
              <w:rPr>
                <w:rFonts w:hint="eastAsia" w:cs="Times New Roman"/>
                <w:szCs w:val="21"/>
                <w:lang w:val="en-US" w:eastAsia="zh-CN"/>
              </w:rPr>
              <w:t>2</w:t>
            </w:r>
            <w:r>
              <w:rPr>
                <w:rFonts w:hint="default" w:ascii="Times New Roman" w:hAnsi="Times New Roman" w:cs="Times New Roman"/>
                <w:szCs w:val="21"/>
              </w:rPr>
              <w:t>t/a，属于危险废物HW08</w:t>
            </w:r>
            <w:r>
              <w:rPr>
                <w:rFonts w:hint="default" w:ascii="Times New Roman" w:hAnsi="Times New Roman" w:cs="Times New Roman"/>
                <w:szCs w:val="21"/>
                <w:lang w:eastAsia="zh-CN"/>
              </w:rPr>
              <w:t>，危废代码</w:t>
            </w:r>
            <w:r>
              <w:rPr>
                <w:rFonts w:hint="default" w:ascii="Times New Roman" w:hAnsi="Times New Roman" w:cs="Times New Roman"/>
                <w:szCs w:val="21"/>
              </w:rPr>
              <w:t>900-218-08，委托有危险废物</w:t>
            </w:r>
            <w:r>
              <w:rPr>
                <w:rFonts w:hint="default" w:ascii="Times New Roman" w:hAnsi="Times New Roman" w:cs="Times New Roman"/>
                <w:szCs w:val="21"/>
                <w:lang w:eastAsia="zh-CN"/>
              </w:rPr>
              <w:t>处置</w:t>
            </w:r>
            <w:r>
              <w:rPr>
                <w:rFonts w:hint="default" w:ascii="Times New Roman" w:hAnsi="Times New Roman" w:cs="Times New Roman"/>
                <w:szCs w:val="21"/>
              </w:rPr>
              <w:t>资质的企业处理。</w:t>
            </w:r>
          </w:p>
          <w:p w14:paraId="08D5C2A6">
            <w:pPr>
              <w:autoSpaceDE w:val="0"/>
              <w:autoSpaceDN w:val="0"/>
              <w:adjustRightInd w:val="0"/>
              <w:snapToGrid w:val="0"/>
              <w:spacing w:line="360" w:lineRule="auto"/>
              <w:ind w:firstLine="420" w:firstLineChars="200"/>
              <w:rPr>
                <w:rFonts w:hint="eastAsia"/>
                <w:lang w:eastAsia="zh-CN"/>
              </w:rPr>
            </w:pPr>
            <w:r>
              <w:rPr>
                <w:rFonts w:hint="eastAsia"/>
                <w:lang w:eastAsia="zh-CN"/>
              </w:rPr>
              <w:t>（</w:t>
            </w:r>
            <w:r>
              <w:rPr>
                <w:rFonts w:hint="eastAsia"/>
                <w:lang w:val="en-US" w:eastAsia="zh-CN"/>
              </w:rPr>
              <w:t>5</w:t>
            </w:r>
            <w:r>
              <w:rPr>
                <w:rFonts w:hint="eastAsia"/>
                <w:lang w:eastAsia="zh-CN"/>
              </w:rPr>
              <w:t>）</w:t>
            </w:r>
            <w:r>
              <w:rPr>
                <w:rFonts w:hint="eastAsia" w:cs="Times New Roman"/>
                <w:b w:val="0"/>
                <w:bCs w:val="0"/>
                <w:kern w:val="2"/>
                <w:sz w:val="21"/>
                <w:szCs w:val="21"/>
                <w:lang w:val="en-US" w:eastAsia="zh-CN" w:bidi="ar-SA"/>
              </w:rPr>
              <w:t>废气处理过程产生的废过滤箱、过滤棉（S9）</w:t>
            </w:r>
          </w:p>
          <w:p w14:paraId="6910DACA">
            <w:pPr>
              <w:autoSpaceDE w:val="0"/>
              <w:autoSpaceDN w:val="0"/>
              <w:adjustRightInd w:val="0"/>
              <w:snapToGrid w:val="0"/>
              <w:spacing w:line="360" w:lineRule="auto"/>
              <w:ind w:firstLine="420" w:firstLineChars="200"/>
              <w:rPr>
                <w:rFonts w:hint="default" w:cs="Times New Roman"/>
                <w:szCs w:val="21"/>
                <w:highlight w:val="none"/>
                <w:lang w:val="en-US" w:eastAsia="zh-CN"/>
              </w:rPr>
            </w:pPr>
            <w:r>
              <w:rPr>
                <w:rFonts w:hint="eastAsia" w:cs="Times New Roman"/>
                <w:szCs w:val="21"/>
                <w:highlight w:val="none"/>
                <w:lang w:val="en-US" w:eastAsia="zh-CN"/>
              </w:rPr>
              <w:t>本项目废气处理过程使用迷宫式过滤箱处理喷漆房漆雾颗粒，干式迷宫式过滤箱（内含迷宫网格过滤纸箱和过滤棉）中的过滤纸箱和过滤棉需要定期更换，每季度更换1次，过滤纸箱和过滤棉重量约0.1t，吸附的漆雾颗粒为0.453t/a，则干式迷宫式过滤箱定期清理产生的废过滤纸箱/废过滤棉量约为0.853t/a，属于危险废物，类别为HW49，危废代码900-041-49，</w:t>
            </w:r>
            <w:r>
              <w:rPr>
                <w:rFonts w:hint="eastAsia" w:cs="Times New Roman"/>
                <w:szCs w:val="21"/>
                <w:lang w:val="en-US" w:eastAsia="zh-CN"/>
              </w:rPr>
              <w:t>产生后储存在危废间内，</w:t>
            </w:r>
            <w:r>
              <w:rPr>
                <w:rFonts w:hint="eastAsia" w:cs="Times New Roman"/>
                <w:szCs w:val="21"/>
                <w:highlight w:val="none"/>
                <w:lang w:val="en-US" w:eastAsia="zh-CN"/>
              </w:rPr>
              <w:t>委托有资质的单位处置</w:t>
            </w:r>
            <w:r>
              <w:rPr>
                <w:rFonts w:hint="eastAsia" w:cs="Times New Roman"/>
                <w:color w:val="auto"/>
                <w:lang w:val="en-US" w:eastAsia="zh-CN"/>
              </w:rPr>
              <w:t>。</w:t>
            </w:r>
          </w:p>
          <w:p w14:paraId="4D7252BC">
            <w:pPr>
              <w:numPr>
                <w:ilvl w:val="0"/>
                <w:numId w:val="0"/>
              </w:numPr>
              <w:autoSpaceDE w:val="0"/>
              <w:autoSpaceDN w:val="0"/>
              <w:adjustRightInd w:val="0"/>
              <w:snapToGrid w:val="0"/>
              <w:spacing w:line="360" w:lineRule="auto"/>
              <w:ind w:firstLine="420" w:firstLineChars="200"/>
              <w:rPr>
                <w:rFonts w:hint="eastAsia" w:cs="Times New Roman"/>
                <w:b w:val="0"/>
                <w:bCs w:val="0"/>
                <w:kern w:val="2"/>
                <w:sz w:val="21"/>
                <w:szCs w:val="21"/>
                <w:lang w:val="en-US" w:eastAsia="zh-CN" w:bidi="ar-SA"/>
              </w:rPr>
            </w:pPr>
            <w:r>
              <w:rPr>
                <w:rFonts w:hint="eastAsia" w:ascii="Times New Roman" w:hAnsi="Times New Roman" w:eastAsia="宋体" w:cs="Times New Roman"/>
                <w:b w:val="0"/>
                <w:bCs w:val="0"/>
                <w:kern w:val="2"/>
                <w:sz w:val="21"/>
                <w:szCs w:val="21"/>
                <w:lang w:val="en-US" w:eastAsia="zh-CN" w:bidi="ar-SA"/>
              </w:rPr>
              <w:t>（6）</w:t>
            </w:r>
            <w:r>
              <w:rPr>
                <w:rFonts w:hint="eastAsia" w:cs="Times New Roman"/>
                <w:b w:val="0"/>
                <w:bCs w:val="0"/>
                <w:kern w:val="2"/>
                <w:sz w:val="21"/>
                <w:szCs w:val="21"/>
                <w:lang w:val="en-US" w:eastAsia="zh-CN" w:bidi="ar-SA"/>
              </w:rPr>
              <w:t>废气处理过程产生的废活性炭（S10）</w:t>
            </w:r>
          </w:p>
          <w:p w14:paraId="5CD97E7D">
            <w:pPr>
              <w:autoSpaceDE w:val="0"/>
              <w:autoSpaceDN w:val="0"/>
              <w:adjustRightInd w:val="0"/>
              <w:snapToGrid w:val="0"/>
              <w:spacing w:line="360" w:lineRule="auto"/>
              <w:ind w:firstLine="420" w:firstLineChars="200"/>
            </w:pPr>
            <w:r>
              <w:rPr>
                <w:rFonts w:hint="eastAsia" w:cs="Times New Roman"/>
                <w:szCs w:val="21"/>
                <w:highlight w:val="none"/>
                <w:lang w:val="en-US" w:eastAsia="zh-CN"/>
              </w:rPr>
              <w:t>本项目配套建设套两级活性炭吸附装置，活性炭均为蜂窝状活性炭，碘值不小于650mg/g。每个活性炭箱装填尺寸</w:t>
            </w:r>
            <w:r>
              <w:rPr>
                <w:rFonts w:hint="eastAsia" w:cs="Times New Roman"/>
                <w:sz w:val="21"/>
                <w:szCs w:val="21"/>
                <w:highlight w:val="none"/>
                <w:lang w:val="en-US" w:eastAsia="zh-CN"/>
              </w:rPr>
              <w:t>为</w:t>
            </w:r>
            <w:r>
              <w:rPr>
                <w:rFonts w:hint="eastAsia" w:cs="Times New Roman"/>
                <w:color w:val="auto"/>
                <w:sz w:val="21"/>
                <w:szCs w:val="21"/>
                <w:lang w:val="en-US" w:eastAsia="zh-CN"/>
              </w:rPr>
              <w:t>1.5</w:t>
            </w:r>
            <w:r>
              <w:rPr>
                <w:rFonts w:hint="default" w:ascii="Times New Roman" w:hAnsi="Times New Roman" w:cs="Times New Roman"/>
                <w:color w:val="auto"/>
                <w:sz w:val="21"/>
                <w:szCs w:val="21"/>
              </w:rPr>
              <w:t>m×</w:t>
            </w:r>
            <w:r>
              <w:rPr>
                <w:rFonts w:hint="eastAsia" w:eastAsia="宋体" w:cs="Times New Roman"/>
                <w:color w:val="auto"/>
                <w:sz w:val="21"/>
                <w:szCs w:val="21"/>
                <w:lang w:val="en-US" w:eastAsia="zh-CN"/>
              </w:rPr>
              <w:t>1.2</w:t>
            </w:r>
            <w:r>
              <w:rPr>
                <w:rFonts w:hint="default" w:ascii="Times New Roman" w:hAnsi="Times New Roman" w:cs="Times New Roman"/>
                <w:color w:val="auto"/>
                <w:sz w:val="21"/>
                <w:szCs w:val="21"/>
              </w:rPr>
              <w:t>m×</w:t>
            </w:r>
            <w:r>
              <w:rPr>
                <w:rFonts w:hint="eastAsia" w:cs="Times New Roman"/>
                <w:color w:val="auto"/>
                <w:sz w:val="21"/>
                <w:szCs w:val="21"/>
                <w:lang w:val="en-US" w:eastAsia="zh-CN"/>
              </w:rPr>
              <w:t>1.2</w:t>
            </w:r>
            <w:r>
              <w:rPr>
                <w:rFonts w:hint="default" w:ascii="Times New Roman" w:hAnsi="Times New Roman" w:cs="Times New Roman"/>
                <w:color w:val="auto"/>
                <w:sz w:val="21"/>
                <w:szCs w:val="21"/>
              </w:rPr>
              <w:t>m</w:t>
            </w:r>
            <w:r>
              <w:rPr>
                <w:rFonts w:hint="eastAsia" w:ascii="Times New Roman" w:hAnsi="Times New Roman" w:cs="Times New Roman"/>
                <w:color w:val="auto"/>
                <w:sz w:val="21"/>
                <w:szCs w:val="21"/>
                <w:lang w:eastAsia="zh-CN"/>
              </w:rPr>
              <w:t>，</w:t>
            </w:r>
            <w:r>
              <w:rPr>
                <w:rFonts w:hint="eastAsia" w:cs="Times New Roman"/>
                <w:color w:val="auto"/>
                <w:sz w:val="21"/>
                <w:szCs w:val="21"/>
                <w:lang w:eastAsia="zh-CN"/>
              </w:rPr>
              <w:t>蜂窝状活性炭密度约</w:t>
            </w:r>
            <w:r>
              <w:rPr>
                <w:rFonts w:hint="eastAsia" w:cs="Times New Roman"/>
                <w:color w:val="auto"/>
                <w:sz w:val="21"/>
                <w:szCs w:val="21"/>
                <w:lang w:val="en-US" w:eastAsia="zh-CN"/>
              </w:rPr>
              <w:t>0.4g/cm</w:t>
            </w:r>
            <w:r>
              <w:rPr>
                <w:rFonts w:hint="eastAsia" w:cs="Times New Roman"/>
                <w:color w:val="auto"/>
                <w:sz w:val="21"/>
                <w:szCs w:val="21"/>
                <w:vertAlign w:val="superscript"/>
                <w:lang w:val="en-US" w:eastAsia="zh-CN"/>
              </w:rPr>
              <w:t>3</w:t>
            </w:r>
            <w:r>
              <w:rPr>
                <w:rFonts w:hint="eastAsia" w:cs="Times New Roman"/>
                <w:color w:val="auto"/>
                <w:sz w:val="21"/>
                <w:szCs w:val="21"/>
                <w:lang w:eastAsia="zh-CN"/>
              </w:rPr>
              <w:t>，本项目两级活性炭装置单次活性炭装填量为</w:t>
            </w:r>
            <w:r>
              <w:rPr>
                <w:rFonts w:hint="eastAsia" w:cs="Times New Roman"/>
                <w:color w:val="auto"/>
                <w:sz w:val="21"/>
                <w:szCs w:val="21"/>
                <w:lang w:val="en-US" w:eastAsia="zh-CN"/>
              </w:rPr>
              <w:t>1.728t。</w:t>
            </w:r>
            <w:r>
              <w:rPr>
                <w:rFonts w:hint="default" w:ascii="Times New Roman" w:hAnsi="Times New Roman" w:cs="Times New Roman"/>
                <w:color w:val="auto"/>
              </w:rPr>
              <w:t>根据相关实验数据，1kg活性炭的VOCs饱和吸附量约为0.3kg，</w:t>
            </w:r>
            <w:r>
              <w:rPr>
                <w:rFonts w:hint="eastAsia" w:cs="Times New Roman"/>
                <w:color w:val="auto"/>
                <w:lang w:eastAsia="zh-CN"/>
              </w:rPr>
              <w:t>本项目</w:t>
            </w:r>
            <w:r>
              <w:rPr>
                <w:rFonts w:hint="eastAsia" w:ascii="Times New Roman" w:hAnsi="Times New Roman" w:cs="Times New Roman"/>
                <w:color w:val="auto"/>
                <w:lang w:eastAsia="zh-CN"/>
              </w:rPr>
              <w:t>有组织</w:t>
            </w:r>
            <w:r>
              <w:rPr>
                <w:rFonts w:hint="eastAsia" w:ascii="Times New Roman" w:hAnsi="Times New Roman" w:cs="Times New Roman"/>
                <w:color w:val="auto"/>
                <w:lang w:val="en-US" w:eastAsia="zh-CN"/>
              </w:rPr>
              <w:t>VOCs产生量为</w:t>
            </w:r>
            <w:r>
              <w:rPr>
                <w:rFonts w:hint="eastAsia" w:cs="Times New Roman"/>
                <w:color w:val="auto"/>
                <w:lang w:val="en-US" w:eastAsia="zh-CN"/>
              </w:rPr>
              <w:t>1.3481</w:t>
            </w:r>
            <w:r>
              <w:rPr>
                <w:rFonts w:hint="eastAsia" w:ascii="Times New Roman" w:hAnsi="Times New Roman" w:cs="Times New Roman"/>
                <w:color w:val="auto"/>
                <w:lang w:val="en-US" w:eastAsia="zh-CN"/>
              </w:rPr>
              <w:t>t/a，有组织VOCs排放量为</w:t>
            </w:r>
            <w:r>
              <w:rPr>
                <w:rFonts w:hint="eastAsia" w:cs="Times New Roman"/>
                <w:color w:val="auto"/>
                <w:lang w:val="en-US" w:eastAsia="zh-CN"/>
              </w:rPr>
              <w:t>0.3922</w:t>
            </w:r>
            <w:r>
              <w:rPr>
                <w:rFonts w:hint="eastAsia" w:ascii="Times New Roman" w:hAnsi="Times New Roman" w:cs="Times New Roman"/>
                <w:color w:val="auto"/>
                <w:lang w:val="en-US" w:eastAsia="zh-CN"/>
              </w:rPr>
              <w:t>t</w:t>
            </w:r>
            <w:r>
              <w:rPr>
                <w:rFonts w:hint="eastAsia" w:cs="Times New Roman"/>
                <w:color w:val="auto"/>
                <w:lang w:val="en-US" w:eastAsia="zh-CN"/>
              </w:rPr>
              <w:t>/a</w:t>
            </w:r>
            <w:r>
              <w:rPr>
                <w:rFonts w:hint="eastAsia" w:ascii="Times New Roman" w:hAnsi="Times New Roman" w:cs="Times New Roman"/>
                <w:color w:val="auto"/>
                <w:lang w:val="en-US" w:eastAsia="zh-CN"/>
              </w:rPr>
              <w:t>，其余全部经活性炭吸附，</w:t>
            </w:r>
            <w:r>
              <w:rPr>
                <w:rFonts w:hint="eastAsia" w:cs="Times New Roman"/>
                <w:color w:val="auto"/>
                <w:lang w:val="en-US" w:eastAsia="zh-CN"/>
              </w:rPr>
              <w:t>VOC吸附量为0.9559t/a，活性炭年更换量2次，</w:t>
            </w:r>
            <w:r>
              <w:rPr>
                <w:rFonts w:hint="default" w:ascii="Times New Roman" w:hAnsi="Times New Roman" w:cs="Times New Roman"/>
                <w:color w:val="auto"/>
              </w:rPr>
              <w:t>则</w:t>
            </w:r>
            <w:r>
              <w:rPr>
                <w:rFonts w:hint="eastAsia" w:cs="Times New Roman"/>
                <w:color w:val="auto"/>
                <w:lang w:eastAsia="zh-CN"/>
              </w:rPr>
              <w:t>本项目</w:t>
            </w:r>
            <w:r>
              <w:rPr>
                <w:rFonts w:hint="eastAsia" w:ascii="Times New Roman" w:hAnsi="Times New Roman" w:cs="Times New Roman"/>
                <w:color w:val="auto"/>
                <w:lang w:eastAsia="zh-CN"/>
              </w:rPr>
              <w:t>废</w:t>
            </w:r>
            <w:r>
              <w:rPr>
                <w:rFonts w:hint="default" w:ascii="Times New Roman" w:hAnsi="Times New Roman" w:cs="Times New Roman"/>
                <w:color w:val="auto"/>
              </w:rPr>
              <w:t>活性炭的产生量为</w:t>
            </w:r>
            <w:r>
              <w:rPr>
                <w:rFonts w:hint="eastAsia" w:cs="Times New Roman"/>
                <w:color w:val="auto"/>
                <w:lang w:val="en-US" w:eastAsia="zh-CN"/>
              </w:rPr>
              <w:t>4.41</w:t>
            </w:r>
            <w:r>
              <w:rPr>
                <w:rFonts w:hint="eastAsia" w:ascii="Times New Roman" w:hAnsi="Times New Roman" w:cs="Times New Roman"/>
                <w:color w:val="auto"/>
                <w:lang w:val="en-US" w:eastAsia="zh-CN"/>
              </w:rPr>
              <w:t>t</w:t>
            </w:r>
            <w:r>
              <w:rPr>
                <w:rFonts w:hint="default" w:ascii="Times New Roman" w:hAnsi="Times New Roman" w:cs="Times New Roman"/>
                <w:color w:val="auto"/>
              </w:rPr>
              <w:t>/a</w:t>
            </w:r>
            <w:r>
              <w:rPr>
                <w:rFonts w:hint="eastAsia" w:ascii="Times New Roman" w:hAnsi="Times New Roman" w:cs="Times New Roman"/>
                <w:color w:val="auto"/>
                <w:lang w:eastAsia="zh-CN"/>
              </w:rPr>
              <w:t>。</w:t>
            </w:r>
            <w:r>
              <w:rPr>
                <w:rFonts w:hint="eastAsia" w:cs="Times New Roman"/>
                <w:color w:val="auto"/>
                <w:lang w:eastAsia="zh-CN"/>
              </w:rPr>
              <w:t>废活性炭</w:t>
            </w:r>
            <w:r>
              <w:rPr>
                <w:rFonts w:hint="eastAsia" w:cs="Times New Roman"/>
                <w:szCs w:val="21"/>
                <w:lang w:val="en-US" w:eastAsia="zh-CN"/>
              </w:rPr>
              <w:t>属于危险废物，危废代码HW49 ，900-039-49，产生后储存在危废间内，委托第三方危废处置资质单位定期处置。</w:t>
            </w:r>
          </w:p>
          <w:p w14:paraId="23F4BAD8">
            <w:pPr>
              <w:autoSpaceDE w:val="0"/>
              <w:autoSpaceDN w:val="0"/>
              <w:adjustRightInd w:val="0"/>
              <w:snapToGrid w:val="0"/>
              <w:spacing w:line="360" w:lineRule="auto"/>
              <w:ind w:firstLine="420" w:firstLineChars="200"/>
            </w:pPr>
            <w:r>
              <w:t>根据《建设项目危险废物环境影响评价指南》（环保部公告[2017]43号）、《固体废物鉴别标准通则》（GB 34330-20</w:t>
            </w:r>
            <w:r>
              <w:rPr>
                <w:rFonts w:hint="eastAsia"/>
                <w:lang w:val="en-US" w:eastAsia="zh-CN"/>
              </w:rPr>
              <w:t>25</w:t>
            </w:r>
            <w:r>
              <w:t>）。项目产生的固废为一般</w:t>
            </w:r>
            <w:r>
              <w:rPr>
                <w:rFonts w:hint="eastAsia"/>
                <w:lang w:eastAsia="zh-CN"/>
              </w:rPr>
              <w:t>工业</w:t>
            </w:r>
            <w:r>
              <w:t>固废</w:t>
            </w:r>
            <w:r>
              <w:rPr>
                <w:rFonts w:hint="eastAsia"/>
                <w:lang w:eastAsia="zh-CN"/>
              </w:rPr>
              <w:t>、生活垃圾、危险废物</w:t>
            </w:r>
            <w:r>
              <w:t>，一般固废</w:t>
            </w:r>
            <w:r>
              <w:rPr>
                <w:rFonts w:hint="eastAsia"/>
                <w:lang w:eastAsia="zh-CN"/>
              </w:rPr>
              <w:t>、危险废物</w:t>
            </w:r>
            <w:r>
              <w:t>产生情况分别如下所示：</w:t>
            </w:r>
          </w:p>
          <w:p w14:paraId="62398AA4">
            <w:pPr>
              <w:spacing w:line="420" w:lineRule="exact"/>
              <w:ind w:firstLine="25" w:firstLineChars="12"/>
              <w:jc w:val="center"/>
              <w:rPr>
                <w:b/>
                <w:bCs/>
              </w:rPr>
            </w:pPr>
            <w:r>
              <w:rPr>
                <w:b/>
                <w:bCs/>
              </w:rPr>
              <w:t>表4-</w:t>
            </w:r>
            <w:r>
              <w:rPr>
                <w:rFonts w:hint="eastAsia"/>
                <w:b/>
                <w:bCs/>
                <w:lang w:val="en-US" w:eastAsia="zh-CN"/>
              </w:rPr>
              <w:t>25项目</w:t>
            </w:r>
            <w:r>
              <w:rPr>
                <w:b/>
                <w:bCs/>
              </w:rPr>
              <w:t>一般</w:t>
            </w:r>
            <w:r>
              <w:rPr>
                <w:rFonts w:hint="eastAsia"/>
                <w:b/>
                <w:bCs/>
                <w:lang w:eastAsia="zh-CN"/>
              </w:rPr>
              <w:t>工业</w:t>
            </w:r>
            <w:r>
              <w:rPr>
                <w:b/>
                <w:bCs/>
              </w:rPr>
              <w:t>固废</w:t>
            </w:r>
            <w:r>
              <w:rPr>
                <w:rFonts w:hint="eastAsia"/>
                <w:b/>
                <w:bCs/>
                <w:lang w:eastAsia="zh-CN"/>
              </w:rPr>
              <w:t>及生活垃圾</w:t>
            </w:r>
            <w:r>
              <w:rPr>
                <w:b/>
                <w:bCs/>
              </w:rPr>
              <w:t>产生情况表</w:t>
            </w:r>
          </w:p>
          <w:tbl>
            <w:tblPr>
              <w:tblStyle w:val="8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9"/>
              <w:gridCol w:w="1307"/>
              <w:gridCol w:w="652"/>
              <w:gridCol w:w="866"/>
              <w:gridCol w:w="1298"/>
              <w:gridCol w:w="1298"/>
              <w:gridCol w:w="1013"/>
              <w:gridCol w:w="925"/>
            </w:tblGrid>
            <w:tr w14:paraId="37695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pct"/>
                  <w:vAlign w:val="center"/>
                </w:tcPr>
                <w:p w14:paraId="6F86D658">
                  <w:pPr>
                    <w:autoSpaceDE w:val="0"/>
                    <w:autoSpaceDN w:val="0"/>
                    <w:adjustRightInd w:val="0"/>
                    <w:spacing w:line="300" w:lineRule="exact"/>
                    <w:jc w:val="center"/>
                    <w:rPr>
                      <w:b/>
                      <w:bCs/>
                      <w:sz w:val="18"/>
                      <w:szCs w:val="18"/>
                    </w:rPr>
                  </w:pPr>
                  <w:r>
                    <w:rPr>
                      <w:b/>
                      <w:bCs/>
                      <w:sz w:val="18"/>
                      <w:szCs w:val="18"/>
                    </w:rPr>
                    <w:t>产生环节</w:t>
                  </w:r>
                </w:p>
              </w:tc>
              <w:tc>
                <w:tcPr>
                  <w:tcW w:w="780" w:type="pct"/>
                  <w:vAlign w:val="center"/>
                </w:tcPr>
                <w:p w14:paraId="5468058A">
                  <w:pPr>
                    <w:autoSpaceDE w:val="0"/>
                    <w:autoSpaceDN w:val="0"/>
                    <w:adjustRightInd w:val="0"/>
                    <w:spacing w:line="300" w:lineRule="exact"/>
                    <w:jc w:val="center"/>
                    <w:rPr>
                      <w:b/>
                      <w:bCs/>
                      <w:sz w:val="18"/>
                      <w:szCs w:val="18"/>
                    </w:rPr>
                  </w:pPr>
                  <w:r>
                    <w:rPr>
                      <w:b/>
                      <w:bCs/>
                      <w:sz w:val="18"/>
                      <w:szCs w:val="18"/>
                    </w:rPr>
                    <w:t>名称</w:t>
                  </w:r>
                </w:p>
              </w:tc>
              <w:tc>
                <w:tcPr>
                  <w:tcW w:w="389" w:type="pct"/>
                  <w:vAlign w:val="center"/>
                </w:tcPr>
                <w:p w14:paraId="5D7290F6">
                  <w:pPr>
                    <w:autoSpaceDE w:val="0"/>
                    <w:autoSpaceDN w:val="0"/>
                    <w:adjustRightInd w:val="0"/>
                    <w:spacing w:line="300" w:lineRule="exact"/>
                    <w:jc w:val="center"/>
                    <w:rPr>
                      <w:b/>
                      <w:bCs/>
                      <w:sz w:val="18"/>
                      <w:szCs w:val="18"/>
                    </w:rPr>
                  </w:pPr>
                  <w:r>
                    <w:rPr>
                      <w:b/>
                      <w:bCs/>
                      <w:sz w:val="18"/>
                      <w:szCs w:val="18"/>
                    </w:rPr>
                    <w:t>性状</w:t>
                  </w:r>
                </w:p>
              </w:tc>
              <w:tc>
                <w:tcPr>
                  <w:tcW w:w="517" w:type="pct"/>
                  <w:vAlign w:val="center"/>
                </w:tcPr>
                <w:p w14:paraId="6FD7C71F">
                  <w:pPr>
                    <w:autoSpaceDE w:val="0"/>
                    <w:autoSpaceDN w:val="0"/>
                    <w:adjustRightInd w:val="0"/>
                    <w:spacing w:line="300" w:lineRule="exact"/>
                    <w:jc w:val="center"/>
                    <w:rPr>
                      <w:b/>
                      <w:bCs/>
                      <w:sz w:val="18"/>
                      <w:szCs w:val="18"/>
                    </w:rPr>
                  </w:pPr>
                  <w:r>
                    <w:rPr>
                      <w:b/>
                      <w:bCs/>
                      <w:sz w:val="18"/>
                      <w:szCs w:val="18"/>
                    </w:rPr>
                    <w:t>产生量t/a</w:t>
                  </w:r>
                </w:p>
              </w:tc>
              <w:tc>
                <w:tcPr>
                  <w:tcW w:w="775" w:type="pct"/>
                  <w:vAlign w:val="center"/>
                </w:tcPr>
                <w:p w14:paraId="699DA0C2">
                  <w:pPr>
                    <w:autoSpaceDE w:val="0"/>
                    <w:autoSpaceDN w:val="0"/>
                    <w:adjustRightInd w:val="0"/>
                    <w:spacing w:line="300" w:lineRule="exact"/>
                    <w:jc w:val="center"/>
                    <w:rPr>
                      <w:rFonts w:hint="default" w:eastAsia="宋体"/>
                      <w:b/>
                      <w:bCs/>
                      <w:sz w:val="18"/>
                      <w:szCs w:val="18"/>
                      <w:lang w:val="en-US" w:eastAsia="zh-CN"/>
                    </w:rPr>
                  </w:pPr>
                  <w:r>
                    <w:rPr>
                      <w:rFonts w:hint="eastAsia"/>
                      <w:b/>
                      <w:bCs/>
                      <w:sz w:val="18"/>
                      <w:szCs w:val="18"/>
                      <w:lang w:val="en-US" w:eastAsia="zh-CN"/>
                    </w:rPr>
                    <w:t>固废代码</w:t>
                  </w:r>
                </w:p>
              </w:tc>
              <w:tc>
                <w:tcPr>
                  <w:tcW w:w="775" w:type="pct"/>
                  <w:vAlign w:val="center"/>
                </w:tcPr>
                <w:p w14:paraId="41EB01AA">
                  <w:pPr>
                    <w:autoSpaceDE w:val="0"/>
                    <w:autoSpaceDN w:val="0"/>
                    <w:adjustRightInd w:val="0"/>
                    <w:spacing w:line="300" w:lineRule="exact"/>
                    <w:jc w:val="center"/>
                    <w:rPr>
                      <w:b/>
                      <w:bCs/>
                      <w:sz w:val="18"/>
                      <w:szCs w:val="18"/>
                    </w:rPr>
                  </w:pPr>
                  <w:r>
                    <w:rPr>
                      <w:b/>
                      <w:bCs/>
                      <w:sz w:val="18"/>
                      <w:szCs w:val="18"/>
                    </w:rPr>
                    <w:t>储存方式</w:t>
                  </w:r>
                </w:p>
              </w:tc>
              <w:tc>
                <w:tcPr>
                  <w:tcW w:w="605" w:type="pct"/>
                  <w:vAlign w:val="center"/>
                </w:tcPr>
                <w:p w14:paraId="763C6376">
                  <w:pPr>
                    <w:autoSpaceDE w:val="0"/>
                    <w:autoSpaceDN w:val="0"/>
                    <w:adjustRightInd w:val="0"/>
                    <w:spacing w:line="300" w:lineRule="exact"/>
                    <w:jc w:val="center"/>
                    <w:rPr>
                      <w:b/>
                      <w:bCs/>
                      <w:sz w:val="18"/>
                      <w:szCs w:val="18"/>
                    </w:rPr>
                  </w:pPr>
                  <w:r>
                    <w:rPr>
                      <w:b/>
                      <w:bCs/>
                      <w:sz w:val="18"/>
                      <w:szCs w:val="18"/>
                    </w:rPr>
                    <w:t>处置方式</w:t>
                  </w:r>
                </w:p>
              </w:tc>
              <w:tc>
                <w:tcPr>
                  <w:tcW w:w="552" w:type="pct"/>
                  <w:vAlign w:val="center"/>
                </w:tcPr>
                <w:p w14:paraId="05295430">
                  <w:pPr>
                    <w:autoSpaceDE w:val="0"/>
                    <w:autoSpaceDN w:val="0"/>
                    <w:adjustRightInd w:val="0"/>
                    <w:spacing w:line="300" w:lineRule="exact"/>
                    <w:jc w:val="center"/>
                    <w:rPr>
                      <w:b/>
                      <w:bCs/>
                      <w:sz w:val="18"/>
                      <w:szCs w:val="18"/>
                    </w:rPr>
                  </w:pPr>
                  <w:r>
                    <w:rPr>
                      <w:b/>
                      <w:bCs/>
                      <w:sz w:val="18"/>
                      <w:szCs w:val="18"/>
                    </w:rPr>
                    <w:t>处置量t/a</w:t>
                  </w:r>
                </w:p>
              </w:tc>
            </w:tr>
            <w:tr w14:paraId="7A8F2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pct"/>
                  <w:vAlign w:val="center"/>
                </w:tcPr>
                <w:p w14:paraId="018F4502">
                  <w:pPr>
                    <w:autoSpaceDE w:val="0"/>
                    <w:autoSpaceDN w:val="0"/>
                    <w:adjustRightInd w:val="0"/>
                    <w:spacing w:line="300" w:lineRule="exact"/>
                    <w:jc w:val="center"/>
                    <w:rPr>
                      <w:rFonts w:hint="eastAsia" w:eastAsia="宋体"/>
                      <w:b w:val="0"/>
                      <w:bCs w:val="0"/>
                      <w:sz w:val="18"/>
                      <w:szCs w:val="18"/>
                      <w:lang w:eastAsia="zh-CN"/>
                    </w:rPr>
                  </w:pPr>
                  <w:r>
                    <w:rPr>
                      <w:rFonts w:hint="eastAsia"/>
                      <w:b w:val="0"/>
                      <w:bCs w:val="0"/>
                      <w:sz w:val="18"/>
                      <w:szCs w:val="18"/>
                      <w:lang w:eastAsia="zh-CN"/>
                    </w:rPr>
                    <w:t>下料、开孔</w:t>
                  </w:r>
                </w:p>
              </w:tc>
              <w:tc>
                <w:tcPr>
                  <w:tcW w:w="780" w:type="pct"/>
                  <w:vAlign w:val="center"/>
                </w:tcPr>
                <w:p w14:paraId="0D76AE0A">
                  <w:pPr>
                    <w:autoSpaceDE w:val="0"/>
                    <w:autoSpaceDN w:val="0"/>
                    <w:adjustRightInd w:val="0"/>
                    <w:spacing w:line="300" w:lineRule="exact"/>
                    <w:jc w:val="center"/>
                    <w:rPr>
                      <w:rFonts w:hint="eastAsia" w:eastAsia="宋体"/>
                      <w:b w:val="0"/>
                      <w:bCs w:val="0"/>
                      <w:sz w:val="18"/>
                      <w:szCs w:val="18"/>
                      <w:lang w:eastAsia="zh-CN"/>
                    </w:rPr>
                  </w:pPr>
                  <w:r>
                    <w:rPr>
                      <w:rFonts w:hint="eastAsia"/>
                      <w:bCs/>
                      <w:sz w:val="18"/>
                      <w:szCs w:val="18"/>
                      <w:highlight w:val="none"/>
                      <w:lang w:eastAsia="zh-CN"/>
                    </w:rPr>
                    <w:t>废金属边角料</w:t>
                  </w:r>
                </w:p>
              </w:tc>
              <w:tc>
                <w:tcPr>
                  <w:tcW w:w="389" w:type="pct"/>
                  <w:vAlign w:val="center"/>
                </w:tcPr>
                <w:p w14:paraId="7367CA39">
                  <w:pPr>
                    <w:autoSpaceDE w:val="0"/>
                    <w:autoSpaceDN w:val="0"/>
                    <w:adjustRightInd w:val="0"/>
                    <w:spacing w:line="300" w:lineRule="exact"/>
                    <w:jc w:val="center"/>
                    <w:rPr>
                      <w:b w:val="0"/>
                      <w:bCs w:val="0"/>
                      <w:sz w:val="18"/>
                      <w:szCs w:val="18"/>
                    </w:rPr>
                  </w:pPr>
                  <w:r>
                    <w:rPr>
                      <w:b w:val="0"/>
                      <w:bCs w:val="0"/>
                      <w:sz w:val="18"/>
                      <w:szCs w:val="18"/>
                    </w:rPr>
                    <w:t>固体</w:t>
                  </w:r>
                </w:p>
              </w:tc>
              <w:tc>
                <w:tcPr>
                  <w:tcW w:w="517" w:type="pct"/>
                  <w:vAlign w:val="center"/>
                </w:tcPr>
                <w:p w14:paraId="1D2592E0">
                  <w:pPr>
                    <w:autoSpaceDE w:val="0"/>
                    <w:autoSpaceDN w:val="0"/>
                    <w:adjustRightInd w:val="0"/>
                    <w:spacing w:line="300" w:lineRule="exact"/>
                    <w:jc w:val="center"/>
                    <w:rPr>
                      <w:rFonts w:hint="default" w:eastAsia="宋体"/>
                      <w:b w:val="0"/>
                      <w:bCs w:val="0"/>
                      <w:sz w:val="18"/>
                      <w:szCs w:val="18"/>
                      <w:lang w:val="en-US" w:eastAsia="zh-CN"/>
                    </w:rPr>
                  </w:pPr>
                  <w:r>
                    <w:rPr>
                      <w:rFonts w:hint="eastAsia"/>
                      <w:b w:val="0"/>
                      <w:bCs w:val="0"/>
                      <w:sz w:val="18"/>
                      <w:szCs w:val="18"/>
                      <w:lang w:val="en-US" w:eastAsia="zh-CN"/>
                    </w:rPr>
                    <w:t>20</w:t>
                  </w:r>
                </w:p>
              </w:tc>
              <w:tc>
                <w:tcPr>
                  <w:tcW w:w="775" w:type="pct"/>
                  <w:vAlign w:val="center"/>
                </w:tcPr>
                <w:p w14:paraId="454A094E">
                  <w:pPr>
                    <w:autoSpaceDE w:val="0"/>
                    <w:autoSpaceDN w:val="0"/>
                    <w:adjustRightInd w:val="0"/>
                    <w:spacing w:line="300" w:lineRule="exact"/>
                    <w:jc w:val="center"/>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900-001-S17</w:t>
                  </w:r>
                </w:p>
              </w:tc>
              <w:tc>
                <w:tcPr>
                  <w:tcW w:w="775" w:type="pct"/>
                  <w:vAlign w:val="center"/>
                </w:tcPr>
                <w:p w14:paraId="53B65250">
                  <w:pPr>
                    <w:autoSpaceDE w:val="0"/>
                    <w:autoSpaceDN w:val="0"/>
                    <w:adjustRightInd w:val="0"/>
                    <w:spacing w:line="300" w:lineRule="exact"/>
                    <w:jc w:val="center"/>
                    <w:rPr>
                      <w:b/>
                      <w:bCs/>
                      <w:sz w:val="18"/>
                      <w:szCs w:val="18"/>
                    </w:rPr>
                  </w:pPr>
                  <w:r>
                    <w:rPr>
                      <w:rFonts w:hint="eastAsia" w:cs="Times New Roman"/>
                      <w:sz w:val="18"/>
                      <w:szCs w:val="18"/>
                      <w:highlight w:val="none"/>
                      <w:lang w:eastAsia="zh-CN"/>
                    </w:rPr>
                    <w:t>一般固废仓库</w:t>
                  </w:r>
                </w:p>
              </w:tc>
              <w:tc>
                <w:tcPr>
                  <w:tcW w:w="605" w:type="pct"/>
                  <w:vAlign w:val="center"/>
                </w:tcPr>
                <w:p w14:paraId="0BD46779">
                  <w:pPr>
                    <w:autoSpaceDE w:val="0"/>
                    <w:autoSpaceDN w:val="0"/>
                    <w:adjustRightInd w:val="0"/>
                    <w:spacing w:line="300" w:lineRule="exact"/>
                    <w:jc w:val="center"/>
                    <w:rPr>
                      <w:b/>
                      <w:bCs/>
                      <w:sz w:val="18"/>
                      <w:szCs w:val="18"/>
                    </w:rPr>
                  </w:pPr>
                  <w:r>
                    <w:rPr>
                      <w:rFonts w:hint="eastAsia"/>
                      <w:sz w:val="18"/>
                      <w:szCs w:val="18"/>
                      <w:lang w:eastAsia="zh-CN"/>
                    </w:rPr>
                    <w:t>外卖处理</w:t>
                  </w:r>
                </w:p>
              </w:tc>
              <w:tc>
                <w:tcPr>
                  <w:tcW w:w="552" w:type="pct"/>
                  <w:vAlign w:val="center"/>
                </w:tcPr>
                <w:p w14:paraId="24E2FD5B">
                  <w:pPr>
                    <w:autoSpaceDE w:val="0"/>
                    <w:autoSpaceDN w:val="0"/>
                    <w:adjustRightInd w:val="0"/>
                    <w:spacing w:line="300" w:lineRule="exact"/>
                    <w:jc w:val="center"/>
                    <w:rPr>
                      <w:b/>
                      <w:bCs/>
                      <w:sz w:val="18"/>
                      <w:szCs w:val="18"/>
                    </w:rPr>
                  </w:pPr>
                  <w:r>
                    <w:rPr>
                      <w:rFonts w:hint="eastAsia"/>
                      <w:b w:val="0"/>
                      <w:bCs w:val="0"/>
                      <w:sz w:val="18"/>
                      <w:szCs w:val="18"/>
                      <w:lang w:val="en-US" w:eastAsia="zh-CN"/>
                    </w:rPr>
                    <w:t>20</w:t>
                  </w:r>
                </w:p>
              </w:tc>
            </w:tr>
            <w:tr w14:paraId="657832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pct"/>
                  <w:vAlign w:val="center"/>
                </w:tcPr>
                <w:p w14:paraId="69CE2D41">
                  <w:pPr>
                    <w:autoSpaceDE w:val="0"/>
                    <w:autoSpaceDN w:val="0"/>
                    <w:adjustRightInd w:val="0"/>
                    <w:spacing w:line="300" w:lineRule="exact"/>
                    <w:jc w:val="center"/>
                    <w:rPr>
                      <w:rFonts w:hint="eastAsia" w:eastAsia="宋体"/>
                      <w:b w:val="0"/>
                      <w:bCs w:val="0"/>
                      <w:sz w:val="18"/>
                      <w:szCs w:val="18"/>
                      <w:lang w:eastAsia="zh-CN"/>
                    </w:rPr>
                  </w:pPr>
                  <w:r>
                    <w:rPr>
                      <w:rFonts w:hint="eastAsia"/>
                      <w:b w:val="0"/>
                      <w:bCs w:val="0"/>
                      <w:sz w:val="18"/>
                      <w:szCs w:val="18"/>
                      <w:lang w:eastAsia="zh-CN"/>
                    </w:rPr>
                    <w:t>原料包装</w:t>
                  </w:r>
                </w:p>
              </w:tc>
              <w:tc>
                <w:tcPr>
                  <w:tcW w:w="780" w:type="pct"/>
                  <w:vAlign w:val="center"/>
                </w:tcPr>
                <w:p w14:paraId="6D00DDA9">
                  <w:pPr>
                    <w:autoSpaceDE w:val="0"/>
                    <w:autoSpaceDN w:val="0"/>
                    <w:adjustRightInd w:val="0"/>
                    <w:spacing w:line="300" w:lineRule="exact"/>
                    <w:jc w:val="center"/>
                    <w:rPr>
                      <w:b w:val="0"/>
                      <w:bCs w:val="0"/>
                      <w:sz w:val="18"/>
                      <w:szCs w:val="18"/>
                    </w:rPr>
                  </w:pPr>
                  <w:r>
                    <w:rPr>
                      <w:rFonts w:hint="eastAsia"/>
                      <w:b w:val="0"/>
                      <w:bCs w:val="0"/>
                      <w:sz w:val="18"/>
                      <w:szCs w:val="18"/>
                      <w:lang w:eastAsia="zh-CN"/>
                    </w:rPr>
                    <w:t>废包装袋</w:t>
                  </w:r>
                </w:p>
              </w:tc>
              <w:tc>
                <w:tcPr>
                  <w:tcW w:w="389" w:type="pct"/>
                  <w:vAlign w:val="center"/>
                </w:tcPr>
                <w:p w14:paraId="5B7A1D7D">
                  <w:pPr>
                    <w:autoSpaceDE w:val="0"/>
                    <w:autoSpaceDN w:val="0"/>
                    <w:adjustRightInd w:val="0"/>
                    <w:spacing w:line="300" w:lineRule="exact"/>
                    <w:jc w:val="center"/>
                    <w:rPr>
                      <w:b w:val="0"/>
                      <w:bCs w:val="0"/>
                      <w:sz w:val="18"/>
                      <w:szCs w:val="18"/>
                    </w:rPr>
                  </w:pPr>
                  <w:r>
                    <w:rPr>
                      <w:b w:val="0"/>
                      <w:bCs w:val="0"/>
                      <w:sz w:val="18"/>
                      <w:szCs w:val="18"/>
                    </w:rPr>
                    <w:t>固体</w:t>
                  </w:r>
                </w:p>
              </w:tc>
              <w:tc>
                <w:tcPr>
                  <w:tcW w:w="517" w:type="pct"/>
                  <w:vAlign w:val="center"/>
                </w:tcPr>
                <w:p w14:paraId="4014A553">
                  <w:pPr>
                    <w:autoSpaceDE w:val="0"/>
                    <w:autoSpaceDN w:val="0"/>
                    <w:adjustRightInd w:val="0"/>
                    <w:spacing w:line="300" w:lineRule="exact"/>
                    <w:jc w:val="center"/>
                    <w:rPr>
                      <w:rFonts w:hint="default" w:eastAsia="宋体"/>
                      <w:b w:val="0"/>
                      <w:bCs w:val="0"/>
                      <w:sz w:val="18"/>
                      <w:szCs w:val="18"/>
                      <w:lang w:val="en-US" w:eastAsia="zh-CN"/>
                    </w:rPr>
                  </w:pPr>
                  <w:r>
                    <w:rPr>
                      <w:rFonts w:hint="eastAsia"/>
                      <w:b w:val="0"/>
                      <w:bCs w:val="0"/>
                      <w:sz w:val="18"/>
                      <w:szCs w:val="18"/>
                      <w:lang w:val="en-US" w:eastAsia="zh-CN"/>
                    </w:rPr>
                    <w:t>1.5</w:t>
                  </w:r>
                </w:p>
              </w:tc>
              <w:tc>
                <w:tcPr>
                  <w:tcW w:w="775" w:type="pct"/>
                  <w:vAlign w:val="center"/>
                </w:tcPr>
                <w:p w14:paraId="49B4FF2B">
                  <w:pPr>
                    <w:autoSpaceDE w:val="0"/>
                    <w:autoSpaceDN w:val="0"/>
                    <w:adjustRightInd w:val="0"/>
                    <w:spacing w:line="300" w:lineRule="exact"/>
                    <w:jc w:val="center"/>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900-003-S17</w:t>
                  </w:r>
                </w:p>
              </w:tc>
              <w:tc>
                <w:tcPr>
                  <w:tcW w:w="775" w:type="pct"/>
                  <w:vAlign w:val="center"/>
                </w:tcPr>
                <w:p w14:paraId="1D3756C9">
                  <w:pPr>
                    <w:autoSpaceDE w:val="0"/>
                    <w:autoSpaceDN w:val="0"/>
                    <w:adjustRightInd w:val="0"/>
                    <w:spacing w:line="240" w:lineRule="exact"/>
                    <w:jc w:val="center"/>
                    <w:rPr>
                      <w:b/>
                      <w:bCs/>
                      <w:sz w:val="18"/>
                      <w:szCs w:val="18"/>
                    </w:rPr>
                  </w:pPr>
                  <w:r>
                    <w:rPr>
                      <w:rFonts w:hint="eastAsia" w:cs="Times New Roman"/>
                      <w:sz w:val="18"/>
                      <w:szCs w:val="18"/>
                      <w:highlight w:val="none"/>
                      <w:lang w:eastAsia="zh-CN"/>
                    </w:rPr>
                    <w:t>一般固废仓库</w:t>
                  </w:r>
                </w:p>
              </w:tc>
              <w:tc>
                <w:tcPr>
                  <w:tcW w:w="605" w:type="pct"/>
                  <w:vAlign w:val="center"/>
                </w:tcPr>
                <w:p w14:paraId="1D6B730B">
                  <w:pPr>
                    <w:autoSpaceDE w:val="0"/>
                    <w:autoSpaceDN w:val="0"/>
                    <w:adjustRightInd w:val="0"/>
                    <w:spacing w:line="240" w:lineRule="exact"/>
                    <w:jc w:val="center"/>
                    <w:rPr>
                      <w:b/>
                      <w:bCs/>
                      <w:sz w:val="18"/>
                      <w:szCs w:val="18"/>
                    </w:rPr>
                  </w:pPr>
                  <w:r>
                    <w:rPr>
                      <w:rFonts w:hint="eastAsia" w:cs="Times New Roman"/>
                      <w:sz w:val="18"/>
                      <w:szCs w:val="18"/>
                      <w:highlight w:val="none"/>
                      <w:lang w:eastAsia="zh-CN"/>
                    </w:rPr>
                    <w:t>外卖处理</w:t>
                  </w:r>
                </w:p>
              </w:tc>
              <w:tc>
                <w:tcPr>
                  <w:tcW w:w="552" w:type="pct"/>
                  <w:vAlign w:val="center"/>
                </w:tcPr>
                <w:p w14:paraId="48CF85E9">
                  <w:pPr>
                    <w:autoSpaceDE w:val="0"/>
                    <w:autoSpaceDN w:val="0"/>
                    <w:adjustRightInd w:val="0"/>
                    <w:spacing w:line="300" w:lineRule="exact"/>
                    <w:jc w:val="center"/>
                    <w:rPr>
                      <w:b/>
                      <w:bCs/>
                      <w:sz w:val="18"/>
                      <w:szCs w:val="18"/>
                    </w:rPr>
                  </w:pPr>
                  <w:r>
                    <w:rPr>
                      <w:rFonts w:hint="eastAsia"/>
                      <w:b w:val="0"/>
                      <w:bCs w:val="0"/>
                      <w:sz w:val="18"/>
                      <w:szCs w:val="18"/>
                      <w:lang w:val="en-US" w:eastAsia="zh-CN"/>
                    </w:rPr>
                    <w:t>1.5</w:t>
                  </w:r>
                </w:p>
              </w:tc>
            </w:tr>
            <w:tr w14:paraId="5EA2A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pct"/>
                  <w:vAlign w:val="center"/>
                </w:tcPr>
                <w:p w14:paraId="008EAAF5">
                  <w:pPr>
                    <w:autoSpaceDE w:val="0"/>
                    <w:autoSpaceDN w:val="0"/>
                    <w:adjustRightInd w:val="0"/>
                    <w:spacing w:line="300" w:lineRule="exact"/>
                    <w:jc w:val="center"/>
                    <w:rPr>
                      <w:rFonts w:hint="eastAsia" w:eastAsia="宋体"/>
                      <w:b w:val="0"/>
                      <w:bCs w:val="0"/>
                      <w:sz w:val="18"/>
                      <w:szCs w:val="18"/>
                      <w:lang w:eastAsia="zh-CN"/>
                    </w:rPr>
                  </w:pPr>
                  <w:r>
                    <w:rPr>
                      <w:rFonts w:hint="eastAsia"/>
                      <w:b w:val="0"/>
                      <w:bCs w:val="0"/>
                      <w:sz w:val="18"/>
                      <w:szCs w:val="18"/>
                      <w:lang w:eastAsia="zh-CN"/>
                    </w:rPr>
                    <w:t>焊接</w:t>
                  </w:r>
                </w:p>
              </w:tc>
              <w:tc>
                <w:tcPr>
                  <w:tcW w:w="780" w:type="pct"/>
                  <w:vAlign w:val="center"/>
                </w:tcPr>
                <w:p w14:paraId="679DC2BB">
                  <w:pPr>
                    <w:autoSpaceDE w:val="0"/>
                    <w:autoSpaceDN w:val="0"/>
                    <w:adjustRightInd w:val="0"/>
                    <w:spacing w:line="300" w:lineRule="exact"/>
                    <w:jc w:val="center"/>
                    <w:rPr>
                      <w:rFonts w:hint="eastAsia" w:eastAsia="宋体"/>
                      <w:b w:val="0"/>
                      <w:bCs w:val="0"/>
                      <w:sz w:val="18"/>
                      <w:szCs w:val="18"/>
                      <w:lang w:eastAsia="zh-CN"/>
                    </w:rPr>
                  </w:pPr>
                  <w:r>
                    <w:rPr>
                      <w:rFonts w:hint="eastAsia"/>
                      <w:b w:val="0"/>
                      <w:bCs w:val="0"/>
                      <w:sz w:val="18"/>
                      <w:szCs w:val="18"/>
                      <w:lang w:eastAsia="zh-CN"/>
                    </w:rPr>
                    <w:t>废焊渣</w:t>
                  </w:r>
                </w:p>
              </w:tc>
              <w:tc>
                <w:tcPr>
                  <w:tcW w:w="389" w:type="pct"/>
                  <w:vAlign w:val="center"/>
                </w:tcPr>
                <w:p w14:paraId="50512149">
                  <w:pPr>
                    <w:autoSpaceDE w:val="0"/>
                    <w:autoSpaceDN w:val="0"/>
                    <w:adjustRightInd w:val="0"/>
                    <w:spacing w:line="300" w:lineRule="exact"/>
                    <w:jc w:val="center"/>
                    <w:rPr>
                      <w:b w:val="0"/>
                      <w:bCs w:val="0"/>
                      <w:sz w:val="18"/>
                      <w:szCs w:val="18"/>
                    </w:rPr>
                  </w:pPr>
                  <w:r>
                    <w:rPr>
                      <w:b w:val="0"/>
                      <w:bCs w:val="0"/>
                      <w:sz w:val="18"/>
                      <w:szCs w:val="18"/>
                    </w:rPr>
                    <w:t>固体</w:t>
                  </w:r>
                </w:p>
              </w:tc>
              <w:tc>
                <w:tcPr>
                  <w:tcW w:w="517" w:type="pct"/>
                  <w:vAlign w:val="center"/>
                </w:tcPr>
                <w:p w14:paraId="66AE9A6C">
                  <w:pPr>
                    <w:autoSpaceDE w:val="0"/>
                    <w:autoSpaceDN w:val="0"/>
                    <w:adjustRightInd w:val="0"/>
                    <w:spacing w:line="300" w:lineRule="exact"/>
                    <w:jc w:val="center"/>
                    <w:rPr>
                      <w:rFonts w:hint="default" w:eastAsia="宋体"/>
                      <w:b w:val="0"/>
                      <w:bCs w:val="0"/>
                      <w:sz w:val="18"/>
                      <w:szCs w:val="18"/>
                      <w:lang w:val="en-US" w:eastAsia="zh-CN"/>
                    </w:rPr>
                  </w:pPr>
                  <w:r>
                    <w:rPr>
                      <w:rFonts w:hint="eastAsia"/>
                      <w:b w:val="0"/>
                      <w:bCs w:val="0"/>
                      <w:sz w:val="18"/>
                      <w:szCs w:val="18"/>
                      <w:lang w:val="en-US" w:eastAsia="zh-CN"/>
                    </w:rPr>
                    <w:t>1.44</w:t>
                  </w:r>
                </w:p>
              </w:tc>
              <w:tc>
                <w:tcPr>
                  <w:tcW w:w="775" w:type="pct"/>
                  <w:vAlign w:val="center"/>
                </w:tcPr>
                <w:p w14:paraId="4D0D56BB">
                  <w:pPr>
                    <w:autoSpaceDE w:val="0"/>
                    <w:autoSpaceDN w:val="0"/>
                    <w:adjustRightInd w:val="0"/>
                    <w:spacing w:line="300" w:lineRule="exact"/>
                    <w:jc w:val="center"/>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900-099-S59</w:t>
                  </w:r>
                </w:p>
              </w:tc>
              <w:tc>
                <w:tcPr>
                  <w:tcW w:w="775" w:type="pct"/>
                  <w:vAlign w:val="center"/>
                </w:tcPr>
                <w:p w14:paraId="3C0547AC">
                  <w:pPr>
                    <w:autoSpaceDE w:val="0"/>
                    <w:autoSpaceDN w:val="0"/>
                    <w:adjustRightInd w:val="0"/>
                    <w:spacing w:line="300" w:lineRule="exact"/>
                    <w:jc w:val="center"/>
                    <w:rPr>
                      <w:b/>
                      <w:bCs/>
                      <w:sz w:val="18"/>
                      <w:szCs w:val="18"/>
                    </w:rPr>
                  </w:pPr>
                  <w:r>
                    <w:rPr>
                      <w:rFonts w:hint="eastAsia" w:cs="Times New Roman"/>
                      <w:sz w:val="18"/>
                      <w:szCs w:val="18"/>
                      <w:lang w:eastAsia="zh-CN"/>
                    </w:rPr>
                    <w:t>不储存</w:t>
                  </w:r>
                </w:p>
              </w:tc>
              <w:tc>
                <w:tcPr>
                  <w:tcW w:w="605" w:type="pct"/>
                  <w:vAlign w:val="center"/>
                </w:tcPr>
                <w:p w14:paraId="14A22FBA">
                  <w:pPr>
                    <w:autoSpaceDE w:val="0"/>
                    <w:autoSpaceDN w:val="0"/>
                    <w:adjustRightInd w:val="0"/>
                    <w:spacing w:line="300" w:lineRule="exact"/>
                    <w:jc w:val="center"/>
                    <w:rPr>
                      <w:b/>
                      <w:bCs/>
                      <w:sz w:val="18"/>
                      <w:szCs w:val="18"/>
                    </w:rPr>
                  </w:pPr>
                  <w:r>
                    <w:rPr>
                      <w:rFonts w:hint="eastAsia" w:cs="Times New Roman"/>
                      <w:sz w:val="18"/>
                      <w:szCs w:val="18"/>
                      <w:highlight w:val="none"/>
                      <w:lang w:eastAsia="zh-CN"/>
                    </w:rPr>
                    <w:t>外卖处理</w:t>
                  </w:r>
                </w:p>
              </w:tc>
              <w:tc>
                <w:tcPr>
                  <w:tcW w:w="552" w:type="pct"/>
                  <w:vAlign w:val="center"/>
                </w:tcPr>
                <w:p w14:paraId="32601150">
                  <w:pPr>
                    <w:autoSpaceDE w:val="0"/>
                    <w:autoSpaceDN w:val="0"/>
                    <w:adjustRightInd w:val="0"/>
                    <w:spacing w:line="300" w:lineRule="exact"/>
                    <w:jc w:val="center"/>
                    <w:rPr>
                      <w:rFonts w:hint="default"/>
                      <w:b/>
                      <w:bCs/>
                      <w:sz w:val="18"/>
                      <w:szCs w:val="18"/>
                      <w:lang w:val="en-US"/>
                    </w:rPr>
                  </w:pPr>
                  <w:r>
                    <w:rPr>
                      <w:rFonts w:hint="eastAsia"/>
                      <w:b w:val="0"/>
                      <w:bCs w:val="0"/>
                      <w:sz w:val="18"/>
                      <w:szCs w:val="18"/>
                      <w:lang w:val="en-US" w:eastAsia="zh-CN"/>
                    </w:rPr>
                    <w:t>1.44</w:t>
                  </w:r>
                </w:p>
              </w:tc>
            </w:tr>
            <w:tr w14:paraId="5198A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pct"/>
                  <w:vAlign w:val="center"/>
                </w:tcPr>
                <w:p w14:paraId="2C43F135">
                  <w:pPr>
                    <w:autoSpaceDE w:val="0"/>
                    <w:autoSpaceDN w:val="0"/>
                    <w:adjustRightInd w:val="0"/>
                    <w:spacing w:line="300" w:lineRule="exact"/>
                    <w:jc w:val="center"/>
                    <w:rPr>
                      <w:rFonts w:hint="eastAsia" w:eastAsia="宋体"/>
                      <w:sz w:val="18"/>
                      <w:szCs w:val="18"/>
                      <w:lang w:eastAsia="zh-CN"/>
                    </w:rPr>
                  </w:pPr>
                  <w:r>
                    <w:rPr>
                      <w:rFonts w:hint="eastAsia"/>
                      <w:sz w:val="18"/>
                      <w:szCs w:val="18"/>
                      <w:lang w:eastAsia="zh-CN"/>
                    </w:rPr>
                    <w:t>废气处理</w:t>
                  </w:r>
                </w:p>
              </w:tc>
              <w:tc>
                <w:tcPr>
                  <w:tcW w:w="780" w:type="pct"/>
                  <w:vAlign w:val="center"/>
                </w:tcPr>
                <w:p w14:paraId="2C3B7CF4">
                  <w:pPr>
                    <w:autoSpaceDE w:val="0"/>
                    <w:autoSpaceDN w:val="0"/>
                    <w:adjustRightInd w:val="0"/>
                    <w:spacing w:line="300" w:lineRule="exact"/>
                    <w:jc w:val="center"/>
                    <w:rPr>
                      <w:rFonts w:hint="eastAsia" w:eastAsia="宋体"/>
                      <w:sz w:val="18"/>
                      <w:szCs w:val="18"/>
                      <w:lang w:eastAsia="zh-CN"/>
                    </w:rPr>
                  </w:pPr>
                  <w:r>
                    <w:rPr>
                      <w:rFonts w:hint="eastAsia" w:cs="Times New Roman"/>
                      <w:bCs/>
                      <w:kern w:val="2"/>
                      <w:sz w:val="18"/>
                      <w:szCs w:val="18"/>
                      <w:lang w:val="en-US" w:eastAsia="zh-CN" w:bidi="ar-SA"/>
                    </w:rPr>
                    <w:t>焊烟净化器收集的粉尘</w:t>
                  </w:r>
                </w:p>
              </w:tc>
              <w:tc>
                <w:tcPr>
                  <w:tcW w:w="389" w:type="pct"/>
                  <w:vAlign w:val="center"/>
                </w:tcPr>
                <w:p w14:paraId="0928D54B">
                  <w:pPr>
                    <w:autoSpaceDE w:val="0"/>
                    <w:autoSpaceDN w:val="0"/>
                    <w:adjustRightInd w:val="0"/>
                    <w:spacing w:line="300" w:lineRule="exact"/>
                    <w:jc w:val="center"/>
                    <w:rPr>
                      <w:sz w:val="18"/>
                      <w:szCs w:val="18"/>
                    </w:rPr>
                  </w:pPr>
                  <w:r>
                    <w:rPr>
                      <w:sz w:val="18"/>
                      <w:szCs w:val="18"/>
                    </w:rPr>
                    <w:t>固体</w:t>
                  </w:r>
                </w:p>
              </w:tc>
              <w:tc>
                <w:tcPr>
                  <w:tcW w:w="517" w:type="pct"/>
                  <w:vAlign w:val="center"/>
                </w:tcPr>
                <w:p w14:paraId="4C06256F">
                  <w:pPr>
                    <w:autoSpaceDE w:val="0"/>
                    <w:autoSpaceDN w:val="0"/>
                    <w:adjustRightInd w:val="0"/>
                    <w:spacing w:line="300" w:lineRule="exact"/>
                    <w:jc w:val="center"/>
                    <w:rPr>
                      <w:rFonts w:hint="default" w:eastAsia="宋体"/>
                      <w:sz w:val="18"/>
                      <w:szCs w:val="18"/>
                      <w:lang w:val="en-US" w:eastAsia="zh-CN"/>
                    </w:rPr>
                  </w:pPr>
                  <w:r>
                    <w:rPr>
                      <w:rFonts w:hint="eastAsia"/>
                      <w:sz w:val="18"/>
                      <w:szCs w:val="18"/>
                      <w:lang w:val="en-US" w:eastAsia="zh-CN"/>
                    </w:rPr>
                    <w:t>1.184</w:t>
                  </w:r>
                </w:p>
              </w:tc>
              <w:tc>
                <w:tcPr>
                  <w:tcW w:w="775" w:type="pct"/>
                  <w:vAlign w:val="center"/>
                </w:tcPr>
                <w:p w14:paraId="16E2AEC5">
                  <w:pPr>
                    <w:autoSpaceDE w:val="0"/>
                    <w:autoSpaceDN w:val="0"/>
                    <w:adjustRightInd w:val="0"/>
                    <w:spacing w:line="300" w:lineRule="exact"/>
                    <w:jc w:val="center"/>
                    <w:rPr>
                      <w:rFonts w:hint="default"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900-099-S59</w:t>
                  </w:r>
                </w:p>
              </w:tc>
              <w:tc>
                <w:tcPr>
                  <w:tcW w:w="775" w:type="pct"/>
                  <w:vAlign w:val="center"/>
                </w:tcPr>
                <w:p w14:paraId="1320B1BF">
                  <w:pPr>
                    <w:autoSpaceDE w:val="0"/>
                    <w:autoSpaceDN w:val="0"/>
                    <w:adjustRightInd w:val="0"/>
                    <w:spacing w:line="300" w:lineRule="exact"/>
                    <w:jc w:val="center"/>
                    <w:rPr>
                      <w:sz w:val="18"/>
                      <w:szCs w:val="18"/>
                    </w:rPr>
                  </w:pPr>
                  <w:r>
                    <w:rPr>
                      <w:rFonts w:hint="eastAsia" w:cs="Times New Roman"/>
                      <w:sz w:val="18"/>
                      <w:szCs w:val="18"/>
                      <w:lang w:eastAsia="zh-CN"/>
                    </w:rPr>
                    <w:t>不储存</w:t>
                  </w:r>
                </w:p>
              </w:tc>
              <w:tc>
                <w:tcPr>
                  <w:tcW w:w="605" w:type="pct"/>
                  <w:vAlign w:val="center"/>
                </w:tcPr>
                <w:p w14:paraId="58DDDB7F">
                  <w:pPr>
                    <w:autoSpaceDE w:val="0"/>
                    <w:autoSpaceDN w:val="0"/>
                    <w:adjustRightInd w:val="0"/>
                    <w:spacing w:line="300" w:lineRule="exact"/>
                    <w:jc w:val="center"/>
                    <w:rPr>
                      <w:rFonts w:hint="eastAsia" w:eastAsia="宋体"/>
                      <w:sz w:val="18"/>
                      <w:szCs w:val="18"/>
                      <w:lang w:eastAsia="zh-CN"/>
                    </w:rPr>
                  </w:pPr>
                  <w:r>
                    <w:rPr>
                      <w:rFonts w:hint="eastAsia" w:cs="Times New Roman"/>
                      <w:sz w:val="18"/>
                      <w:szCs w:val="18"/>
                      <w:highlight w:val="none"/>
                      <w:lang w:eastAsia="zh-CN"/>
                    </w:rPr>
                    <w:t>外卖处理</w:t>
                  </w:r>
                </w:p>
              </w:tc>
              <w:tc>
                <w:tcPr>
                  <w:tcW w:w="552" w:type="pct"/>
                  <w:vAlign w:val="center"/>
                </w:tcPr>
                <w:p w14:paraId="72E581FC">
                  <w:pPr>
                    <w:autoSpaceDE w:val="0"/>
                    <w:autoSpaceDN w:val="0"/>
                    <w:adjustRightInd w:val="0"/>
                    <w:spacing w:line="300" w:lineRule="exact"/>
                    <w:jc w:val="center"/>
                    <w:rPr>
                      <w:rFonts w:hint="default" w:eastAsia="宋体"/>
                      <w:sz w:val="18"/>
                      <w:szCs w:val="18"/>
                      <w:lang w:val="en-US" w:eastAsia="zh-CN"/>
                    </w:rPr>
                  </w:pPr>
                  <w:r>
                    <w:rPr>
                      <w:rFonts w:hint="eastAsia"/>
                      <w:sz w:val="18"/>
                      <w:szCs w:val="18"/>
                      <w:lang w:val="en-US" w:eastAsia="zh-CN"/>
                    </w:rPr>
                    <w:t>1.184</w:t>
                  </w:r>
                </w:p>
              </w:tc>
            </w:tr>
            <w:tr w14:paraId="35B9B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pct"/>
                  <w:vAlign w:val="center"/>
                </w:tcPr>
                <w:p w14:paraId="0F05F922">
                  <w:pPr>
                    <w:autoSpaceDE w:val="0"/>
                    <w:autoSpaceDN w:val="0"/>
                    <w:adjustRightInd w:val="0"/>
                    <w:spacing w:line="300" w:lineRule="exact"/>
                    <w:jc w:val="center"/>
                    <w:rPr>
                      <w:rFonts w:hint="eastAsia"/>
                      <w:sz w:val="18"/>
                      <w:szCs w:val="18"/>
                      <w:lang w:eastAsia="zh-CN"/>
                    </w:rPr>
                  </w:pPr>
                  <w:r>
                    <w:rPr>
                      <w:rFonts w:hint="eastAsia"/>
                      <w:sz w:val="18"/>
                      <w:szCs w:val="18"/>
                      <w:lang w:eastAsia="zh-CN"/>
                    </w:rPr>
                    <w:t>开孔</w:t>
                  </w:r>
                </w:p>
              </w:tc>
              <w:tc>
                <w:tcPr>
                  <w:tcW w:w="780" w:type="pct"/>
                  <w:vAlign w:val="center"/>
                </w:tcPr>
                <w:p w14:paraId="78CC62BD">
                  <w:pPr>
                    <w:autoSpaceDE w:val="0"/>
                    <w:autoSpaceDN w:val="0"/>
                    <w:adjustRightInd w:val="0"/>
                    <w:spacing w:line="300" w:lineRule="exact"/>
                    <w:jc w:val="center"/>
                    <w:rPr>
                      <w:rFonts w:hint="eastAsia"/>
                      <w:sz w:val="18"/>
                      <w:szCs w:val="18"/>
                      <w:lang w:eastAsia="zh-CN"/>
                    </w:rPr>
                  </w:pPr>
                  <w:r>
                    <w:rPr>
                      <w:rFonts w:hint="eastAsia"/>
                      <w:sz w:val="18"/>
                      <w:szCs w:val="18"/>
                      <w:lang w:eastAsia="zh-CN"/>
                    </w:rPr>
                    <w:t>废塑料边角料</w:t>
                  </w:r>
                </w:p>
              </w:tc>
              <w:tc>
                <w:tcPr>
                  <w:tcW w:w="389" w:type="pct"/>
                  <w:vAlign w:val="center"/>
                </w:tcPr>
                <w:p w14:paraId="314132F7">
                  <w:pPr>
                    <w:autoSpaceDE w:val="0"/>
                    <w:autoSpaceDN w:val="0"/>
                    <w:adjustRightInd w:val="0"/>
                    <w:spacing w:line="300" w:lineRule="exact"/>
                    <w:jc w:val="center"/>
                    <w:rPr>
                      <w:sz w:val="18"/>
                      <w:szCs w:val="18"/>
                    </w:rPr>
                  </w:pPr>
                  <w:r>
                    <w:rPr>
                      <w:sz w:val="18"/>
                      <w:szCs w:val="18"/>
                    </w:rPr>
                    <w:t>固体</w:t>
                  </w:r>
                </w:p>
              </w:tc>
              <w:tc>
                <w:tcPr>
                  <w:tcW w:w="517" w:type="pct"/>
                  <w:vAlign w:val="center"/>
                </w:tcPr>
                <w:p w14:paraId="75245794">
                  <w:pPr>
                    <w:autoSpaceDE w:val="0"/>
                    <w:autoSpaceDN w:val="0"/>
                    <w:adjustRightInd w:val="0"/>
                    <w:spacing w:line="300" w:lineRule="exact"/>
                    <w:jc w:val="center"/>
                    <w:rPr>
                      <w:rFonts w:hint="default" w:eastAsia="宋体"/>
                      <w:sz w:val="18"/>
                      <w:szCs w:val="18"/>
                      <w:lang w:val="en-US" w:eastAsia="zh-CN"/>
                    </w:rPr>
                  </w:pPr>
                  <w:r>
                    <w:rPr>
                      <w:rFonts w:hint="eastAsia"/>
                      <w:sz w:val="18"/>
                      <w:szCs w:val="18"/>
                      <w:lang w:val="en-US" w:eastAsia="zh-CN"/>
                    </w:rPr>
                    <w:t>0.08</w:t>
                  </w:r>
                </w:p>
              </w:tc>
              <w:tc>
                <w:tcPr>
                  <w:tcW w:w="775" w:type="pct"/>
                  <w:vAlign w:val="center"/>
                </w:tcPr>
                <w:p w14:paraId="5AE30498">
                  <w:pPr>
                    <w:autoSpaceDE w:val="0"/>
                    <w:autoSpaceDN w:val="0"/>
                    <w:adjustRightInd w:val="0"/>
                    <w:spacing w:line="300" w:lineRule="exact"/>
                    <w:jc w:val="center"/>
                    <w:rPr>
                      <w:rFonts w:hint="eastAsia" w:ascii="Times New Roman" w:hAnsi="Times New Roman" w:cs="Times New Roman"/>
                      <w:sz w:val="18"/>
                      <w:szCs w:val="18"/>
                      <w:lang w:val="en-US" w:eastAsia="zh-CN"/>
                    </w:rPr>
                  </w:pPr>
                  <w:r>
                    <w:rPr>
                      <w:rFonts w:hint="eastAsia" w:ascii="Times New Roman" w:hAnsi="Times New Roman" w:cs="Times New Roman"/>
                      <w:sz w:val="18"/>
                      <w:szCs w:val="18"/>
                      <w:lang w:val="en-US" w:eastAsia="zh-CN"/>
                    </w:rPr>
                    <w:t>900-003-S17</w:t>
                  </w:r>
                </w:p>
              </w:tc>
              <w:tc>
                <w:tcPr>
                  <w:tcW w:w="775" w:type="pct"/>
                  <w:vAlign w:val="center"/>
                </w:tcPr>
                <w:p w14:paraId="76D479F8">
                  <w:pPr>
                    <w:autoSpaceDE w:val="0"/>
                    <w:autoSpaceDN w:val="0"/>
                    <w:adjustRightInd w:val="0"/>
                    <w:spacing w:line="300" w:lineRule="exact"/>
                    <w:jc w:val="center"/>
                    <w:rPr>
                      <w:rFonts w:hint="eastAsia" w:cs="Times New Roman"/>
                      <w:sz w:val="18"/>
                      <w:szCs w:val="18"/>
                      <w:lang w:eastAsia="zh-CN"/>
                    </w:rPr>
                  </w:pPr>
                  <w:r>
                    <w:rPr>
                      <w:rFonts w:hint="eastAsia" w:cs="Times New Roman"/>
                      <w:sz w:val="18"/>
                      <w:szCs w:val="18"/>
                      <w:highlight w:val="none"/>
                      <w:lang w:eastAsia="zh-CN"/>
                    </w:rPr>
                    <w:t>一般固废仓库</w:t>
                  </w:r>
                </w:p>
              </w:tc>
              <w:tc>
                <w:tcPr>
                  <w:tcW w:w="605" w:type="pct"/>
                  <w:vAlign w:val="center"/>
                </w:tcPr>
                <w:p w14:paraId="3A1F6C0D">
                  <w:pPr>
                    <w:autoSpaceDE w:val="0"/>
                    <w:autoSpaceDN w:val="0"/>
                    <w:adjustRightInd w:val="0"/>
                    <w:spacing w:line="300" w:lineRule="exact"/>
                    <w:jc w:val="center"/>
                    <w:rPr>
                      <w:rFonts w:hint="eastAsia"/>
                      <w:sz w:val="18"/>
                      <w:szCs w:val="18"/>
                      <w:lang w:eastAsia="zh-CN"/>
                    </w:rPr>
                  </w:pPr>
                  <w:r>
                    <w:rPr>
                      <w:rFonts w:hint="eastAsia"/>
                      <w:sz w:val="18"/>
                      <w:szCs w:val="18"/>
                      <w:lang w:eastAsia="zh-CN"/>
                    </w:rPr>
                    <w:t>外卖处理</w:t>
                  </w:r>
                </w:p>
              </w:tc>
              <w:tc>
                <w:tcPr>
                  <w:tcW w:w="552" w:type="pct"/>
                  <w:vAlign w:val="center"/>
                </w:tcPr>
                <w:p w14:paraId="5F8BCF33">
                  <w:pPr>
                    <w:autoSpaceDE w:val="0"/>
                    <w:autoSpaceDN w:val="0"/>
                    <w:adjustRightInd w:val="0"/>
                    <w:spacing w:line="300" w:lineRule="exact"/>
                    <w:jc w:val="center"/>
                    <w:rPr>
                      <w:rFonts w:hint="default" w:eastAsia="宋体"/>
                      <w:sz w:val="18"/>
                      <w:szCs w:val="18"/>
                      <w:lang w:val="en-US" w:eastAsia="zh-CN"/>
                    </w:rPr>
                  </w:pPr>
                  <w:r>
                    <w:rPr>
                      <w:rFonts w:hint="eastAsia"/>
                      <w:sz w:val="18"/>
                      <w:szCs w:val="18"/>
                      <w:lang w:val="en-US" w:eastAsia="zh-CN"/>
                    </w:rPr>
                    <w:t>0.08</w:t>
                  </w:r>
                </w:p>
              </w:tc>
            </w:tr>
            <w:tr w14:paraId="05AE1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3" w:type="pct"/>
                  <w:vAlign w:val="center"/>
                </w:tcPr>
                <w:p w14:paraId="65AF10B8">
                  <w:pPr>
                    <w:autoSpaceDE w:val="0"/>
                    <w:autoSpaceDN w:val="0"/>
                    <w:adjustRightInd w:val="0"/>
                    <w:spacing w:line="300" w:lineRule="exact"/>
                    <w:jc w:val="center"/>
                    <w:rPr>
                      <w:rFonts w:hint="eastAsia"/>
                      <w:sz w:val="18"/>
                      <w:szCs w:val="18"/>
                      <w:lang w:eastAsia="zh-CN"/>
                    </w:rPr>
                  </w:pPr>
                  <w:r>
                    <w:rPr>
                      <w:rFonts w:hint="eastAsia"/>
                      <w:sz w:val="18"/>
                      <w:szCs w:val="18"/>
                      <w:lang w:eastAsia="zh-CN"/>
                    </w:rPr>
                    <w:t>员工生活</w:t>
                  </w:r>
                </w:p>
              </w:tc>
              <w:tc>
                <w:tcPr>
                  <w:tcW w:w="780" w:type="pct"/>
                  <w:vAlign w:val="center"/>
                </w:tcPr>
                <w:p w14:paraId="0CB7F443">
                  <w:pPr>
                    <w:autoSpaceDE w:val="0"/>
                    <w:autoSpaceDN w:val="0"/>
                    <w:adjustRightInd w:val="0"/>
                    <w:spacing w:line="300" w:lineRule="exact"/>
                    <w:jc w:val="center"/>
                    <w:rPr>
                      <w:rFonts w:hint="eastAsia"/>
                      <w:sz w:val="18"/>
                      <w:szCs w:val="18"/>
                      <w:lang w:eastAsia="zh-CN"/>
                    </w:rPr>
                  </w:pPr>
                  <w:r>
                    <w:rPr>
                      <w:rFonts w:hint="eastAsia"/>
                      <w:sz w:val="18"/>
                      <w:szCs w:val="18"/>
                      <w:lang w:eastAsia="zh-CN"/>
                    </w:rPr>
                    <w:t>生活垃圾</w:t>
                  </w:r>
                </w:p>
              </w:tc>
              <w:tc>
                <w:tcPr>
                  <w:tcW w:w="389" w:type="pct"/>
                  <w:vAlign w:val="center"/>
                </w:tcPr>
                <w:p w14:paraId="08F05869">
                  <w:pPr>
                    <w:autoSpaceDE w:val="0"/>
                    <w:autoSpaceDN w:val="0"/>
                    <w:adjustRightInd w:val="0"/>
                    <w:spacing w:line="300" w:lineRule="exact"/>
                    <w:jc w:val="center"/>
                    <w:rPr>
                      <w:rFonts w:hint="eastAsia" w:eastAsia="宋体"/>
                      <w:sz w:val="18"/>
                      <w:szCs w:val="18"/>
                      <w:lang w:eastAsia="zh-CN"/>
                    </w:rPr>
                  </w:pPr>
                  <w:r>
                    <w:rPr>
                      <w:rFonts w:hint="eastAsia"/>
                      <w:sz w:val="18"/>
                      <w:szCs w:val="18"/>
                      <w:lang w:eastAsia="zh-CN"/>
                    </w:rPr>
                    <w:t>固体</w:t>
                  </w:r>
                </w:p>
              </w:tc>
              <w:tc>
                <w:tcPr>
                  <w:tcW w:w="517" w:type="pct"/>
                  <w:vAlign w:val="center"/>
                </w:tcPr>
                <w:p w14:paraId="3C3048C5">
                  <w:pPr>
                    <w:autoSpaceDE w:val="0"/>
                    <w:autoSpaceDN w:val="0"/>
                    <w:adjustRightInd w:val="0"/>
                    <w:spacing w:line="300" w:lineRule="exact"/>
                    <w:jc w:val="center"/>
                    <w:rPr>
                      <w:rFonts w:hint="default"/>
                      <w:sz w:val="18"/>
                      <w:szCs w:val="18"/>
                      <w:lang w:val="en-US" w:eastAsia="zh-CN"/>
                    </w:rPr>
                  </w:pPr>
                  <w:r>
                    <w:rPr>
                      <w:rFonts w:hint="eastAsia"/>
                      <w:sz w:val="18"/>
                      <w:szCs w:val="18"/>
                      <w:lang w:val="en-US" w:eastAsia="zh-CN"/>
                    </w:rPr>
                    <w:t>7.5</w:t>
                  </w:r>
                </w:p>
              </w:tc>
              <w:tc>
                <w:tcPr>
                  <w:tcW w:w="775" w:type="pct"/>
                  <w:vAlign w:val="center"/>
                </w:tcPr>
                <w:p w14:paraId="3B06988F">
                  <w:pPr>
                    <w:autoSpaceDE w:val="0"/>
                    <w:autoSpaceDN w:val="0"/>
                    <w:adjustRightInd w:val="0"/>
                    <w:spacing w:line="300" w:lineRule="exact"/>
                    <w:jc w:val="center"/>
                    <w:rPr>
                      <w:rFonts w:hint="default"/>
                      <w:sz w:val="18"/>
                      <w:szCs w:val="18"/>
                      <w:lang w:val="en-US" w:eastAsia="zh-CN"/>
                    </w:rPr>
                  </w:pPr>
                  <w:r>
                    <w:rPr>
                      <w:rFonts w:hint="eastAsia"/>
                      <w:sz w:val="18"/>
                      <w:szCs w:val="18"/>
                      <w:lang w:val="en-US" w:eastAsia="zh-CN"/>
                    </w:rPr>
                    <w:t>--</w:t>
                  </w:r>
                </w:p>
              </w:tc>
              <w:tc>
                <w:tcPr>
                  <w:tcW w:w="775" w:type="pct"/>
                  <w:vAlign w:val="center"/>
                </w:tcPr>
                <w:p w14:paraId="32E41064">
                  <w:pPr>
                    <w:autoSpaceDE w:val="0"/>
                    <w:autoSpaceDN w:val="0"/>
                    <w:adjustRightInd w:val="0"/>
                    <w:spacing w:line="300" w:lineRule="exact"/>
                    <w:jc w:val="center"/>
                    <w:rPr>
                      <w:rFonts w:hint="eastAsia" w:eastAsia="宋体"/>
                      <w:sz w:val="18"/>
                      <w:szCs w:val="18"/>
                      <w:lang w:eastAsia="zh-CN"/>
                    </w:rPr>
                  </w:pPr>
                  <w:r>
                    <w:rPr>
                      <w:rFonts w:hint="eastAsia"/>
                      <w:sz w:val="18"/>
                      <w:szCs w:val="18"/>
                      <w:lang w:eastAsia="zh-CN"/>
                    </w:rPr>
                    <w:t>垃圾桶</w:t>
                  </w:r>
                </w:p>
              </w:tc>
              <w:tc>
                <w:tcPr>
                  <w:tcW w:w="605" w:type="pct"/>
                  <w:vAlign w:val="center"/>
                </w:tcPr>
                <w:p w14:paraId="709010BB">
                  <w:pPr>
                    <w:autoSpaceDE w:val="0"/>
                    <w:autoSpaceDN w:val="0"/>
                    <w:adjustRightInd w:val="0"/>
                    <w:spacing w:line="300" w:lineRule="exact"/>
                    <w:jc w:val="center"/>
                    <w:rPr>
                      <w:rFonts w:hint="eastAsia" w:eastAsia="宋体"/>
                      <w:sz w:val="18"/>
                      <w:szCs w:val="18"/>
                      <w:lang w:eastAsia="zh-CN"/>
                    </w:rPr>
                  </w:pPr>
                  <w:r>
                    <w:rPr>
                      <w:rFonts w:hint="eastAsia"/>
                      <w:sz w:val="18"/>
                      <w:szCs w:val="18"/>
                      <w:lang w:eastAsia="zh-CN"/>
                    </w:rPr>
                    <w:t>环卫清运</w:t>
                  </w:r>
                </w:p>
              </w:tc>
              <w:tc>
                <w:tcPr>
                  <w:tcW w:w="552" w:type="pct"/>
                  <w:vAlign w:val="center"/>
                </w:tcPr>
                <w:p w14:paraId="3C45CC14">
                  <w:pPr>
                    <w:autoSpaceDE w:val="0"/>
                    <w:autoSpaceDN w:val="0"/>
                    <w:adjustRightInd w:val="0"/>
                    <w:spacing w:line="300" w:lineRule="exact"/>
                    <w:jc w:val="center"/>
                    <w:rPr>
                      <w:rFonts w:hint="default"/>
                      <w:sz w:val="18"/>
                      <w:szCs w:val="18"/>
                      <w:lang w:val="en-US" w:eastAsia="zh-CN"/>
                    </w:rPr>
                  </w:pPr>
                  <w:r>
                    <w:rPr>
                      <w:rFonts w:hint="eastAsia"/>
                      <w:sz w:val="18"/>
                      <w:szCs w:val="18"/>
                      <w:lang w:val="en-US" w:eastAsia="zh-CN"/>
                    </w:rPr>
                    <w:t>7.5</w:t>
                  </w:r>
                </w:p>
              </w:tc>
            </w:tr>
          </w:tbl>
          <w:p w14:paraId="2E8A9EF1">
            <w:pPr>
              <w:autoSpaceDE w:val="0"/>
              <w:autoSpaceDN w:val="0"/>
              <w:adjustRightInd w:val="0"/>
              <w:spacing w:line="420" w:lineRule="exact"/>
              <w:ind w:firstLine="25" w:firstLineChars="12"/>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表4-</w:t>
            </w:r>
            <w:r>
              <w:rPr>
                <w:rFonts w:hint="default" w:ascii="Times New Roman" w:hAnsi="Times New Roman" w:eastAsia="宋体" w:cs="Times New Roman"/>
                <w:b/>
                <w:bCs/>
                <w:szCs w:val="21"/>
                <w:lang w:val="en-US" w:eastAsia="zh-CN"/>
              </w:rPr>
              <w:t>2</w:t>
            </w:r>
            <w:r>
              <w:rPr>
                <w:rFonts w:hint="eastAsia" w:ascii="Times New Roman" w:hAnsi="Times New Roman" w:eastAsia="宋体" w:cs="Times New Roman"/>
                <w:b/>
                <w:bCs/>
                <w:szCs w:val="21"/>
                <w:lang w:val="en-US" w:eastAsia="zh-CN"/>
              </w:rPr>
              <w:t>6</w:t>
            </w:r>
            <w:r>
              <w:rPr>
                <w:rFonts w:hint="default" w:ascii="Times New Roman" w:hAnsi="Times New Roman" w:eastAsia="宋体" w:cs="Times New Roman"/>
                <w:b/>
                <w:bCs/>
                <w:szCs w:val="21"/>
                <w:lang w:eastAsia="zh-CN"/>
              </w:rPr>
              <w:t>项目</w:t>
            </w:r>
            <w:r>
              <w:rPr>
                <w:rFonts w:hint="default" w:ascii="Times New Roman" w:hAnsi="Times New Roman" w:eastAsia="宋体" w:cs="Times New Roman"/>
                <w:b/>
                <w:bCs/>
                <w:szCs w:val="21"/>
              </w:rPr>
              <w:t>危险废物产生情况</w:t>
            </w:r>
          </w:p>
          <w:tbl>
            <w:tblPr>
              <w:tblStyle w:val="81"/>
              <w:tblW w:w="494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63"/>
              <w:gridCol w:w="727"/>
              <w:gridCol w:w="726"/>
              <w:gridCol w:w="886"/>
              <w:gridCol w:w="839"/>
              <w:gridCol w:w="628"/>
              <w:gridCol w:w="615"/>
              <w:gridCol w:w="628"/>
              <w:gridCol w:w="839"/>
              <w:gridCol w:w="868"/>
              <w:gridCol w:w="1064"/>
            </w:tblGrid>
            <w:tr w14:paraId="083D3C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01" w:hRule="atLeast"/>
                <w:jc w:val="center"/>
              </w:trPr>
              <w:tc>
                <w:tcPr>
                  <w:tcW w:w="463" w:type="dxa"/>
                  <w:tcBorders>
                    <w:top w:val="single" w:color="auto" w:sz="4" w:space="0"/>
                    <w:left w:val="single" w:color="auto" w:sz="4" w:space="0"/>
                    <w:bottom w:val="single" w:color="auto" w:sz="4" w:space="0"/>
                    <w:right w:val="single" w:color="auto" w:sz="4" w:space="0"/>
                  </w:tcBorders>
                  <w:vAlign w:val="center"/>
                </w:tcPr>
                <w:p w14:paraId="12C9361B">
                  <w:pPr>
                    <w:spacing w:beforeLines="50"/>
                    <w:ind w:left="-143" w:leftChars="-68" w:right="-124" w:rightChars="-59"/>
                    <w:jc w:val="center"/>
                    <w:rPr>
                      <w:rFonts w:hint="default" w:ascii="Times New Roman" w:hAnsi="Times New Roman" w:cs="Times New Roman"/>
                      <w:b/>
                      <w:sz w:val="18"/>
                      <w:szCs w:val="18"/>
                    </w:rPr>
                  </w:pPr>
                  <w:r>
                    <w:rPr>
                      <w:rFonts w:hint="default" w:ascii="Times New Roman" w:hAnsi="Times New Roman" w:cs="Times New Roman"/>
                      <w:b/>
                      <w:sz w:val="18"/>
                      <w:szCs w:val="18"/>
                    </w:rPr>
                    <w:t>序号</w:t>
                  </w:r>
                </w:p>
              </w:tc>
              <w:tc>
                <w:tcPr>
                  <w:tcW w:w="727" w:type="dxa"/>
                  <w:tcBorders>
                    <w:top w:val="single" w:color="auto" w:sz="4" w:space="0"/>
                    <w:left w:val="single" w:color="auto" w:sz="4" w:space="0"/>
                    <w:bottom w:val="single" w:color="auto" w:sz="4" w:space="0"/>
                    <w:right w:val="single" w:color="auto" w:sz="4" w:space="0"/>
                  </w:tcBorders>
                  <w:vAlign w:val="center"/>
                </w:tcPr>
                <w:p w14:paraId="381241A8">
                  <w:pPr>
                    <w:jc w:val="center"/>
                    <w:rPr>
                      <w:rFonts w:hint="default" w:ascii="Times New Roman" w:hAnsi="Times New Roman" w:cs="Times New Roman"/>
                      <w:b/>
                      <w:sz w:val="18"/>
                      <w:szCs w:val="18"/>
                    </w:rPr>
                  </w:pPr>
                  <w:r>
                    <w:rPr>
                      <w:rFonts w:hint="default" w:ascii="Times New Roman" w:hAnsi="Times New Roman" w:cs="Times New Roman"/>
                      <w:b/>
                      <w:sz w:val="18"/>
                      <w:szCs w:val="18"/>
                    </w:rPr>
                    <w:t>危废</w:t>
                  </w:r>
                </w:p>
                <w:p w14:paraId="6672DF05">
                  <w:pPr>
                    <w:jc w:val="center"/>
                    <w:rPr>
                      <w:rFonts w:hint="default" w:ascii="Times New Roman" w:hAnsi="Times New Roman" w:cs="Times New Roman"/>
                      <w:b/>
                      <w:sz w:val="18"/>
                      <w:szCs w:val="18"/>
                    </w:rPr>
                  </w:pPr>
                  <w:r>
                    <w:rPr>
                      <w:rFonts w:hint="default" w:ascii="Times New Roman" w:hAnsi="Times New Roman" w:cs="Times New Roman"/>
                      <w:b/>
                      <w:sz w:val="18"/>
                      <w:szCs w:val="18"/>
                    </w:rPr>
                    <w:t>名称</w:t>
                  </w:r>
                </w:p>
              </w:tc>
              <w:tc>
                <w:tcPr>
                  <w:tcW w:w="726" w:type="dxa"/>
                  <w:tcBorders>
                    <w:top w:val="single" w:color="auto" w:sz="4" w:space="0"/>
                    <w:left w:val="single" w:color="auto" w:sz="4" w:space="0"/>
                    <w:bottom w:val="single" w:color="auto" w:sz="4" w:space="0"/>
                    <w:right w:val="single" w:color="auto" w:sz="4" w:space="0"/>
                  </w:tcBorders>
                  <w:vAlign w:val="center"/>
                </w:tcPr>
                <w:p w14:paraId="5D3D9919">
                  <w:pPr>
                    <w:jc w:val="center"/>
                    <w:rPr>
                      <w:rFonts w:hint="default" w:ascii="Times New Roman" w:hAnsi="Times New Roman" w:cs="Times New Roman"/>
                      <w:b/>
                      <w:sz w:val="18"/>
                      <w:szCs w:val="18"/>
                    </w:rPr>
                  </w:pPr>
                  <w:r>
                    <w:rPr>
                      <w:rFonts w:hint="default" w:ascii="Times New Roman" w:hAnsi="Times New Roman" w:cs="Times New Roman"/>
                      <w:b/>
                      <w:sz w:val="18"/>
                      <w:szCs w:val="18"/>
                    </w:rPr>
                    <w:t>危废</w:t>
                  </w:r>
                </w:p>
                <w:p w14:paraId="2B0AF746">
                  <w:pPr>
                    <w:jc w:val="center"/>
                    <w:rPr>
                      <w:rFonts w:hint="default" w:ascii="Times New Roman" w:hAnsi="Times New Roman" w:cs="Times New Roman"/>
                      <w:b/>
                      <w:sz w:val="18"/>
                      <w:szCs w:val="18"/>
                    </w:rPr>
                  </w:pPr>
                  <w:r>
                    <w:rPr>
                      <w:rFonts w:hint="default" w:ascii="Times New Roman" w:hAnsi="Times New Roman" w:cs="Times New Roman"/>
                      <w:b/>
                      <w:sz w:val="18"/>
                      <w:szCs w:val="18"/>
                    </w:rPr>
                    <w:t>类别</w:t>
                  </w:r>
                </w:p>
              </w:tc>
              <w:tc>
                <w:tcPr>
                  <w:tcW w:w="886" w:type="dxa"/>
                  <w:tcBorders>
                    <w:top w:val="single" w:color="auto" w:sz="4" w:space="0"/>
                    <w:left w:val="single" w:color="auto" w:sz="4" w:space="0"/>
                    <w:bottom w:val="single" w:color="auto" w:sz="4" w:space="0"/>
                    <w:right w:val="single" w:color="auto" w:sz="4" w:space="0"/>
                  </w:tcBorders>
                  <w:vAlign w:val="center"/>
                </w:tcPr>
                <w:p w14:paraId="6226BE91">
                  <w:pPr>
                    <w:jc w:val="center"/>
                    <w:rPr>
                      <w:rFonts w:hint="default" w:ascii="Times New Roman" w:hAnsi="Times New Roman" w:cs="Times New Roman"/>
                      <w:b/>
                      <w:sz w:val="18"/>
                      <w:szCs w:val="18"/>
                    </w:rPr>
                  </w:pPr>
                  <w:r>
                    <w:rPr>
                      <w:rFonts w:hint="default" w:ascii="Times New Roman" w:hAnsi="Times New Roman" w:cs="Times New Roman"/>
                      <w:b/>
                      <w:sz w:val="18"/>
                      <w:szCs w:val="18"/>
                    </w:rPr>
                    <w:t>危废</w:t>
                  </w:r>
                </w:p>
                <w:p w14:paraId="47B4804E">
                  <w:pPr>
                    <w:jc w:val="center"/>
                    <w:rPr>
                      <w:rFonts w:hint="default" w:ascii="Times New Roman" w:hAnsi="Times New Roman" w:cs="Times New Roman"/>
                      <w:b/>
                      <w:sz w:val="18"/>
                      <w:szCs w:val="18"/>
                    </w:rPr>
                  </w:pPr>
                  <w:r>
                    <w:rPr>
                      <w:rFonts w:hint="default" w:ascii="Times New Roman" w:hAnsi="Times New Roman" w:cs="Times New Roman"/>
                      <w:b/>
                      <w:sz w:val="18"/>
                      <w:szCs w:val="18"/>
                    </w:rPr>
                    <w:t>代码</w:t>
                  </w:r>
                </w:p>
              </w:tc>
              <w:tc>
                <w:tcPr>
                  <w:tcW w:w="839" w:type="dxa"/>
                  <w:tcBorders>
                    <w:top w:val="single" w:color="auto" w:sz="4" w:space="0"/>
                    <w:left w:val="single" w:color="auto" w:sz="4" w:space="0"/>
                    <w:bottom w:val="single" w:color="auto" w:sz="4" w:space="0"/>
                    <w:right w:val="single" w:color="auto" w:sz="4" w:space="0"/>
                  </w:tcBorders>
                  <w:vAlign w:val="center"/>
                </w:tcPr>
                <w:p w14:paraId="53B817D5">
                  <w:pPr>
                    <w:ind w:left="-155" w:leftChars="-74" w:right="-63" w:rightChars="-30"/>
                    <w:jc w:val="center"/>
                    <w:rPr>
                      <w:rFonts w:hint="default" w:ascii="Times New Roman" w:hAnsi="Times New Roman" w:cs="Times New Roman"/>
                      <w:b/>
                      <w:sz w:val="18"/>
                      <w:szCs w:val="18"/>
                    </w:rPr>
                  </w:pPr>
                  <w:r>
                    <w:rPr>
                      <w:rFonts w:hint="default" w:ascii="Times New Roman" w:hAnsi="Times New Roman" w:cs="Times New Roman"/>
                      <w:b/>
                      <w:sz w:val="18"/>
                      <w:szCs w:val="18"/>
                    </w:rPr>
                    <w:t>产生量</w:t>
                  </w:r>
                </w:p>
                <w:p w14:paraId="2779733B">
                  <w:pPr>
                    <w:ind w:left="-155" w:leftChars="-74" w:right="-63" w:rightChars="-30"/>
                    <w:jc w:val="center"/>
                    <w:rPr>
                      <w:rFonts w:hint="default" w:ascii="Times New Roman" w:hAnsi="Times New Roman" w:cs="Times New Roman"/>
                      <w:b/>
                      <w:sz w:val="18"/>
                      <w:szCs w:val="18"/>
                    </w:rPr>
                  </w:pPr>
                  <w:r>
                    <w:rPr>
                      <w:rFonts w:hint="default" w:ascii="Times New Roman" w:hAnsi="Times New Roman" w:cs="Times New Roman"/>
                      <w:b/>
                      <w:sz w:val="18"/>
                      <w:szCs w:val="18"/>
                    </w:rPr>
                    <w:t>t/a</w:t>
                  </w:r>
                </w:p>
              </w:tc>
              <w:tc>
                <w:tcPr>
                  <w:tcW w:w="628" w:type="dxa"/>
                  <w:tcBorders>
                    <w:top w:val="single" w:color="auto" w:sz="4" w:space="0"/>
                    <w:left w:val="single" w:color="auto" w:sz="4" w:space="0"/>
                    <w:bottom w:val="single" w:color="auto" w:sz="4" w:space="0"/>
                    <w:right w:val="single" w:color="auto" w:sz="4" w:space="0"/>
                  </w:tcBorders>
                  <w:vAlign w:val="center"/>
                </w:tcPr>
                <w:p w14:paraId="445510EF">
                  <w:pPr>
                    <w:ind w:left="-155" w:leftChars="-74" w:right="-170" w:rightChars="-81"/>
                    <w:jc w:val="center"/>
                    <w:rPr>
                      <w:rFonts w:hint="default" w:ascii="Times New Roman" w:hAnsi="Times New Roman" w:cs="Times New Roman"/>
                      <w:b/>
                      <w:sz w:val="18"/>
                      <w:szCs w:val="18"/>
                    </w:rPr>
                  </w:pPr>
                  <w:r>
                    <w:rPr>
                      <w:rFonts w:hint="default" w:ascii="Times New Roman" w:hAnsi="Times New Roman" w:cs="Times New Roman"/>
                      <w:b/>
                      <w:sz w:val="18"/>
                      <w:szCs w:val="18"/>
                    </w:rPr>
                    <w:t>产生</w:t>
                  </w:r>
                </w:p>
                <w:p w14:paraId="16FE6BB9">
                  <w:pPr>
                    <w:ind w:left="-155" w:leftChars="-74" w:right="-170" w:rightChars="-81"/>
                    <w:jc w:val="center"/>
                    <w:rPr>
                      <w:rFonts w:hint="default" w:ascii="Times New Roman" w:hAnsi="Times New Roman" w:cs="Times New Roman"/>
                      <w:b/>
                      <w:sz w:val="18"/>
                      <w:szCs w:val="18"/>
                    </w:rPr>
                  </w:pPr>
                  <w:r>
                    <w:rPr>
                      <w:rFonts w:hint="default" w:ascii="Times New Roman" w:hAnsi="Times New Roman" w:cs="Times New Roman"/>
                      <w:b/>
                      <w:sz w:val="18"/>
                      <w:szCs w:val="18"/>
                    </w:rPr>
                    <w:t>工序</w:t>
                  </w:r>
                </w:p>
              </w:tc>
              <w:tc>
                <w:tcPr>
                  <w:tcW w:w="615" w:type="dxa"/>
                  <w:tcBorders>
                    <w:top w:val="single" w:color="auto" w:sz="4" w:space="0"/>
                    <w:left w:val="single" w:color="auto" w:sz="4" w:space="0"/>
                    <w:bottom w:val="single" w:color="auto" w:sz="4" w:space="0"/>
                    <w:right w:val="single" w:color="auto" w:sz="4" w:space="0"/>
                  </w:tcBorders>
                  <w:vAlign w:val="center"/>
                </w:tcPr>
                <w:p w14:paraId="35D03706">
                  <w:pPr>
                    <w:spacing w:beforeLines="50"/>
                    <w:ind w:left="-57" w:leftChars="-27" w:right="-13" w:rightChars="-6"/>
                    <w:jc w:val="center"/>
                    <w:rPr>
                      <w:rFonts w:hint="default" w:ascii="Times New Roman" w:hAnsi="Times New Roman" w:cs="Times New Roman"/>
                      <w:b/>
                      <w:sz w:val="18"/>
                      <w:szCs w:val="18"/>
                    </w:rPr>
                  </w:pPr>
                  <w:r>
                    <w:rPr>
                      <w:rFonts w:hint="default" w:ascii="Times New Roman" w:hAnsi="Times New Roman" w:cs="Times New Roman"/>
                      <w:b/>
                      <w:sz w:val="18"/>
                      <w:szCs w:val="18"/>
                    </w:rPr>
                    <w:t>形态</w:t>
                  </w:r>
                </w:p>
              </w:tc>
              <w:tc>
                <w:tcPr>
                  <w:tcW w:w="628" w:type="dxa"/>
                  <w:tcBorders>
                    <w:top w:val="single" w:color="auto" w:sz="4" w:space="0"/>
                    <w:left w:val="single" w:color="auto" w:sz="4" w:space="0"/>
                    <w:bottom w:val="single" w:color="auto" w:sz="4" w:space="0"/>
                    <w:right w:val="single" w:color="auto" w:sz="4" w:space="0"/>
                  </w:tcBorders>
                  <w:vAlign w:val="center"/>
                </w:tcPr>
                <w:p w14:paraId="7C0E2FD1">
                  <w:pPr>
                    <w:ind w:left="-80" w:leftChars="-38" w:right="-8" w:rightChars="-4"/>
                    <w:jc w:val="center"/>
                    <w:rPr>
                      <w:rFonts w:hint="default" w:ascii="Times New Roman" w:hAnsi="Times New Roman" w:cs="Times New Roman"/>
                      <w:b/>
                      <w:sz w:val="18"/>
                      <w:szCs w:val="18"/>
                    </w:rPr>
                  </w:pPr>
                  <w:r>
                    <w:rPr>
                      <w:rFonts w:hint="default" w:ascii="Times New Roman" w:hAnsi="Times New Roman" w:cs="Times New Roman"/>
                      <w:b/>
                      <w:sz w:val="18"/>
                      <w:szCs w:val="18"/>
                    </w:rPr>
                    <w:t>有害</w:t>
                  </w:r>
                </w:p>
                <w:p w14:paraId="36DE0AF0">
                  <w:pPr>
                    <w:ind w:left="-80" w:leftChars="-38" w:right="-8" w:rightChars="-4"/>
                    <w:jc w:val="center"/>
                    <w:rPr>
                      <w:rFonts w:hint="default" w:ascii="Times New Roman" w:hAnsi="Times New Roman" w:cs="Times New Roman"/>
                      <w:b/>
                      <w:sz w:val="18"/>
                      <w:szCs w:val="18"/>
                    </w:rPr>
                  </w:pPr>
                  <w:r>
                    <w:rPr>
                      <w:rFonts w:hint="default" w:ascii="Times New Roman" w:hAnsi="Times New Roman" w:cs="Times New Roman"/>
                      <w:b/>
                      <w:sz w:val="18"/>
                      <w:szCs w:val="18"/>
                    </w:rPr>
                    <w:t>成分</w:t>
                  </w:r>
                </w:p>
              </w:tc>
              <w:tc>
                <w:tcPr>
                  <w:tcW w:w="839" w:type="dxa"/>
                  <w:tcBorders>
                    <w:top w:val="single" w:color="auto" w:sz="4" w:space="0"/>
                    <w:left w:val="single" w:color="auto" w:sz="4" w:space="0"/>
                    <w:bottom w:val="single" w:color="auto" w:sz="4" w:space="0"/>
                    <w:right w:val="single" w:color="auto" w:sz="4" w:space="0"/>
                  </w:tcBorders>
                  <w:vAlign w:val="center"/>
                </w:tcPr>
                <w:p w14:paraId="1B189F5F">
                  <w:pPr>
                    <w:ind w:left="-113" w:leftChars="-54" w:right="-103" w:rightChars="-49"/>
                    <w:jc w:val="center"/>
                    <w:rPr>
                      <w:rFonts w:hint="default" w:ascii="Times New Roman" w:hAnsi="Times New Roman" w:cs="Times New Roman"/>
                      <w:b/>
                      <w:sz w:val="18"/>
                      <w:szCs w:val="18"/>
                    </w:rPr>
                  </w:pPr>
                  <w:r>
                    <w:rPr>
                      <w:rFonts w:hint="default" w:ascii="Times New Roman" w:hAnsi="Times New Roman" w:cs="Times New Roman"/>
                      <w:b/>
                      <w:sz w:val="18"/>
                      <w:szCs w:val="18"/>
                    </w:rPr>
                    <w:t>处置量</w:t>
                  </w:r>
                </w:p>
                <w:p w14:paraId="4E74EA20">
                  <w:pPr>
                    <w:ind w:left="-113" w:leftChars="-54" w:right="-103" w:rightChars="-49" w:firstLine="98" w:firstLineChars="54"/>
                    <w:jc w:val="center"/>
                    <w:rPr>
                      <w:rFonts w:hint="default" w:ascii="Times New Roman" w:hAnsi="Times New Roman" w:cs="Times New Roman"/>
                      <w:b/>
                      <w:sz w:val="18"/>
                      <w:szCs w:val="18"/>
                    </w:rPr>
                  </w:pPr>
                  <w:r>
                    <w:rPr>
                      <w:rFonts w:hint="default" w:ascii="Times New Roman" w:hAnsi="Times New Roman" w:cs="Times New Roman"/>
                      <w:b/>
                      <w:sz w:val="18"/>
                      <w:szCs w:val="18"/>
                    </w:rPr>
                    <w:t>t/a</w:t>
                  </w:r>
                </w:p>
              </w:tc>
              <w:tc>
                <w:tcPr>
                  <w:tcW w:w="868" w:type="dxa"/>
                  <w:tcBorders>
                    <w:top w:val="single" w:color="auto" w:sz="4" w:space="0"/>
                    <w:left w:val="single" w:color="auto" w:sz="4" w:space="0"/>
                    <w:bottom w:val="single" w:color="auto" w:sz="4" w:space="0"/>
                    <w:right w:val="single" w:color="auto" w:sz="4" w:space="0"/>
                  </w:tcBorders>
                  <w:vAlign w:val="center"/>
                </w:tcPr>
                <w:p w14:paraId="6DCB35CC">
                  <w:pPr>
                    <w:jc w:val="center"/>
                    <w:rPr>
                      <w:rFonts w:hint="default" w:ascii="Times New Roman" w:hAnsi="Times New Roman" w:cs="Times New Roman"/>
                      <w:b/>
                      <w:sz w:val="18"/>
                      <w:szCs w:val="18"/>
                    </w:rPr>
                  </w:pPr>
                  <w:r>
                    <w:rPr>
                      <w:rFonts w:hint="default" w:ascii="Times New Roman" w:hAnsi="Times New Roman" w:cs="Times New Roman"/>
                      <w:b/>
                      <w:sz w:val="18"/>
                      <w:szCs w:val="18"/>
                    </w:rPr>
                    <w:t>危险</w:t>
                  </w:r>
                </w:p>
                <w:p w14:paraId="1B8E5161">
                  <w:pPr>
                    <w:jc w:val="center"/>
                    <w:rPr>
                      <w:rFonts w:hint="default" w:ascii="Times New Roman" w:hAnsi="Times New Roman" w:cs="Times New Roman"/>
                      <w:b/>
                      <w:sz w:val="18"/>
                      <w:szCs w:val="18"/>
                    </w:rPr>
                  </w:pPr>
                  <w:r>
                    <w:rPr>
                      <w:rFonts w:hint="default" w:ascii="Times New Roman" w:hAnsi="Times New Roman" w:cs="Times New Roman"/>
                      <w:b/>
                      <w:sz w:val="18"/>
                      <w:szCs w:val="18"/>
                    </w:rPr>
                    <w:t>特性</w:t>
                  </w:r>
                </w:p>
              </w:tc>
              <w:tc>
                <w:tcPr>
                  <w:tcW w:w="1064" w:type="dxa"/>
                  <w:tcBorders>
                    <w:top w:val="single" w:color="auto" w:sz="4" w:space="0"/>
                    <w:left w:val="single" w:color="auto" w:sz="4" w:space="0"/>
                    <w:bottom w:val="single" w:color="auto" w:sz="4" w:space="0"/>
                    <w:right w:val="single" w:color="auto" w:sz="4" w:space="0"/>
                  </w:tcBorders>
                  <w:vAlign w:val="center"/>
                </w:tcPr>
                <w:p w14:paraId="77A6B2ED">
                  <w:pPr>
                    <w:ind w:left="-105" w:leftChars="-50" w:right="-46" w:rightChars="-22"/>
                    <w:jc w:val="center"/>
                    <w:rPr>
                      <w:rFonts w:hint="default" w:ascii="Times New Roman" w:hAnsi="Times New Roman" w:cs="Times New Roman"/>
                      <w:b/>
                      <w:sz w:val="18"/>
                      <w:szCs w:val="18"/>
                    </w:rPr>
                  </w:pPr>
                  <w:r>
                    <w:rPr>
                      <w:rFonts w:hint="default" w:ascii="Times New Roman" w:hAnsi="Times New Roman" w:cs="Times New Roman"/>
                      <w:b/>
                      <w:sz w:val="18"/>
                      <w:szCs w:val="18"/>
                    </w:rPr>
                    <w:t>储存及处置措施</w:t>
                  </w:r>
                </w:p>
              </w:tc>
            </w:tr>
            <w:tr w14:paraId="47F491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7" w:hRule="atLeast"/>
                <w:jc w:val="center"/>
              </w:trPr>
              <w:tc>
                <w:tcPr>
                  <w:tcW w:w="463" w:type="dxa"/>
                  <w:tcBorders>
                    <w:top w:val="single" w:color="auto" w:sz="4" w:space="0"/>
                    <w:left w:val="single" w:color="auto" w:sz="4" w:space="0"/>
                    <w:bottom w:val="single" w:color="auto" w:sz="4" w:space="0"/>
                    <w:right w:val="single" w:color="auto" w:sz="4" w:space="0"/>
                  </w:tcBorders>
                  <w:vAlign w:val="center"/>
                </w:tcPr>
                <w:p w14:paraId="0206E3FD">
                  <w:pPr>
                    <w:pStyle w:val="1041"/>
                    <w:numPr>
                      <w:ilvl w:val="0"/>
                      <w:numId w:val="21"/>
                    </w:numPr>
                    <w:spacing w:line="240" w:lineRule="exact"/>
                    <w:ind w:firstLine="0" w:firstLineChars="0"/>
                    <w:jc w:val="center"/>
                    <w:rPr>
                      <w:rFonts w:hint="default" w:ascii="Times New Roman" w:hAnsi="Times New Roman" w:cs="Times New Roman"/>
                      <w:sz w:val="18"/>
                      <w:szCs w:val="18"/>
                    </w:rPr>
                  </w:pPr>
                </w:p>
              </w:tc>
              <w:tc>
                <w:tcPr>
                  <w:tcW w:w="727" w:type="dxa"/>
                  <w:tcBorders>
                    <w:top w:val="single" w:color="auto" w:sz="4" w:space="0"/>
                    <w:left w:val="single" w:color="auto" w:sz="4" w:space="0"/>
                    <w:bottom w:val="single" w:color="auto" w:sz="4" w:space="0"/>
                    <w:right w:val="single" w:color="auto" w:sz="4" w:space="0"/>
                  </w:tcBorders>
                  <w:vAlign w:val="center"/>
                </w:tcPr>
                <w:p w14:paraId="3D735D1E">
                  <w:pPr>
                    <w:autoSpaceDE w:val="0"/>
                    <w:autoSpaceDN w:val="0"/>
                    <w:adjustRightInd w:val="0"/>
                    <w:spacing w:line="240" w:lineRule="exact"/>
                    <w:jc w:val="center"/>
                    <w:rPr>
                      <w:rFonts w:hint="eastAsia" w:cs="Times New Roman"/>
                      <w:sz w:val="18"/>
                      <w:szCs w:val="18"/>
                      <w:lang w:eastAsia="zh-CN"/>
                    </w:rPr>
                  </w:pPr>
                  <w:r>
                    <w:rPr>
                      <w:rFonts w:hint="eastAsia"/>
                      <w:bCs/>
                      <w:sz w:val="18"/>
                      <w:szCs w:val="18"/>
                      <w:highlight w:val="none"/>
                      <w:lang w:eastAsia="zh-CN"/>
                    </w:rPr>
                    <w:t>废</w:t>
                  </w:r>
                  <w:r>
                    <w:rPr>
                      <w:rFonts w:hint="eastAsia" w:ascii="Times New Roman" w:hAnsi="Times New Roman" w:cs="Times New Roman"/>
                      <w:b w:val="0"/>
                      <w:bCs w:val="0"/>
                      <w:kern w:val="2"/>
                      <w:sz w:val="18"/>
                      <w:szCs w:val="18"/>
                      <w:lang w:val="en-US" w:eastAsia="zh-CN" w:bidi="ar-SA"/>
                    </w:rPr>
                    <w:t>油漆桶、稀释剂桶</w:t>
                  </w:r>
                </w:p>
              </w:tc>
              <w:tc>
                <w:tcPr>
                  <w:tcW w:w="726" w:type="dxa"/>
                  <w:tcBorders>
                    <w:top w:val="single" w:color="auto" w:sz="4" w:space="0"/>
                    <w:left w:val="single" w:color="auto" w:sz="4" w:space="0"/>
                    <w:bottom w:val="single" w:color="auto" w:sz="4" w:space="0"/>
                    <w:right w:val="single" w:color="auto" w:sz="4" w:space="0"/>
                  </w:tcBorders>
                  <w:vAlign w:val="center"/>
                </w:tcPr>
                <w:p w14:paraId="09381475">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HW12</w:t>
                  </w:r>
                </w:p>
              </w:tc>
              <w:tc>
                <w:tcPr>
                  <w:tcW w:w="886" w:type="dxa"/>
                  <w:tcBorders>
                    <w:top w:val="single" w:color="auto" w:sz="4" w:space="0"/>
                    <w:left w:val="single" w:color="auto" w:sz="4" w:space="0"/>
                    <w:bottom w:val="single" w:color="auto" w:sz="4" w:space="0"/>
                    <w:right w:val="single" w:color="auto" w:sz="4" w:space="0"/>
                  </w:tcBorders>
                  <w:vAlign w:val="center"/>
                </w:tcPr>
                <w:p w14:paraId="748B3137">
                  <w:pPr>
                    <w:autoSpaceDE w:val="0"/>
                    <w:autoSpaceDN w:val="0"/>
                    <w:adjustRightInd w:val="0"/>
                    <w:spacing w:line="240" w:lineRule="exact"/>
                    <w:jc w:val="center"/>
                    <w:rPr>
                      <w:rFonts w:hint="eastAsia" w:cs="Times New Roman"/>
                      <w:sz w:val="18"/>
                      <w:szCs w:val="18"/>
                      <w:lang w:val="en-US" w:eastAsia="zh-CN"/>
                    </w:rPr>
                  </w:pPr>
                  <w:r>
                    <w:rPr>
                      <w:rFonts w:hint="default" w:ascii="Times New Roman" w:hAnsi="Times New Roman" w:cs="Times New Roman"/>
                      <w:sz w:val="18"/>
                      <w:szCs w:val="18"/>
                    </w:rPr>
                    <w:t>900-252-12</w:t>
                  </w:r>
                </w:p>
              </w:tc>
              <w:tc>
                <w:tcPr>
                  <w:tcW w:w="839" w:type="dxa"/>
                  <w:tcBorders>
                    <w:top w:val="single" w:color="auto" w:sz="4" w:space="0"/>
                    <w:left w:val="single" w:color="auto" w:sz="4" w:space="0"/>
                    <w:bottom w:val="single" w:color="auto" w:sz="4" w:space="0"/>
                    <w:right w:val="single" w:color="auto" w:sz="4" w:space="0"/>
                  </w:tcBorders>
                  <w:vAlign w:val="center"/>
                </w:tcPr>
                <w:p w14:paraId="791ABBA6">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0.197</w:t>
                  </w:r>
                </w:p>
              </w:tc>
              <w:tc>
                <w:tcPr>
                  <w:tcW w:w="628" w:type="dxa"/>
                  <w:tcBorders>
                    <w:top w:val="single" w:color="auto" w:sz="4" w:space="0"/>
                    <w:left w:val="single" w:color="auto" w:sz="4" w:space="0"/>
                    <w:bottom w:val="single" w:color="auto" w:sz="4" w:space="0"/>
                    <w:right w:val="single" w:color="auto" w:sz="4" w:space="0"/>
                  </w:tcBorders>
                  <w:vAlign w:val="center"/>
                </w:tcPr>
                <w:p w14:paraId="03B712BC">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喷涂工序</w:t>
                  </w:r>
                </w:p>
              </w:tc>
              <w:tc>
                <w:tcPr>
                  <w:tcW w:w="615" w:type="dxa"/>
                  <w:tcBorders>
                    <w:top w:val="single" w:color="auto" w:sz="4" w:space="0"/>
                    <w:left w:val="single" w:color="auto" w:sz="4" w:space="0"/>
                    <w:bottom w:val="single" w:color="auto" w:sz="4" w:space="0"/>
                    <w:right w:val="single" w:color="auto" w:sz="4" w:space="0"/>
                  </w:tcBorders>
                  <w:vAlign w:val="center"/>
                </w:tcPr>
                <w:p w14:paraId="604FB036">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固体</w:t>
                  </w:r>
                </w:p>
              </w:tc>
              <w:tc>
                <w:tcPr>
                  <w:tcW w:w="628" w:type="dxa"/>
                  <w:tcBorders>
                    <w:top w:val="single" w:color="auto" w:sz="4" w:space="0"/>
                    <w:left w:val="single" w:color="auto" w:sz="4" w:space="0"/>
                    <w:bottom w:val="single" w:color="auto" w:sz="4" w:space="0"/>
                    <w:right w:val="single" w:color="auto" w:sz="4" w:space="0"/>
                  </w:tcBorders>
                  <w:vAlign w:val="center"/>
                </w:tcPr>
                <w:p w14:paraId="4789F1E6">
                  <w:pPr>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lang w:val="en-US" w:eastAsia="zh-CN"/>
                    </w:rPr>
                    <w:t>沾染油漆</w:t>
                  </w:r>
                </w:p>
              </w:tc>
              <w:tc>
                <w:tcPr>
                  <w:tcW w:w="839" w:type="dxa"/>
                  <w:tcBorders>
                    <w:top w:val="single" w:color="auto" w:sz="4" w:space="0"/>
                    <w:left w:val="single" w:color="auto" w:sz="4" w:space="0"/>
                    <w:bottom w:val="single" w:color="auto" w:sz="4" w:space="0"/>
                    <w:right w:val="single" w:color="auto" w:sz="4" w:space="0"/>
                  </w:tcBorders>
                  <w:vAlign w:val="center"/>
                </w:tcPr>
                <w:p w14:paraId="673DA36E">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0.197</w:t>
                  </w:r>
                </w:p>
              </w:tc>
              <w:tc>
                <w:tcPr>
                  <w:tcW w:w="868" w:type="dxa"/>
                  <w:tcBorders>
                    <w:top w:val="single" w:color="auto" w:sz="4" w:space="0"/>
                    <w:left w:val="single" w:color="auto" w:sz="4" w:space="0"/>
                    <w:bottom w:val="single" w:color="auto" w:sz="4" w:space="0"/>
                    <w:right w:val="single" w:color="auto" w:sz="4" w:space="0"/>
                  </w:tcBorders>
                  <w:vAlign w:val="center"/>
                </w:tcPr>
                <w:p w14:paraId="20DF4078">
                  <w:pPr>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lang w:val="en-US" w:eastAsia="zh-CN"/>
                    </w:rPr>
                    <w:t>T、I</w:t>
                  </w:r>
                </w:p>
              </w:tc>
              <w:tc>
                <w:tcPr>
                  <w:tcW w:w="1064" w:type="dxa"/>
                  <w:vMerge w:val="restart"/>
                  <w:tcBorders>
                    <w:left w:val="single" w:color="auto" w:sz="4" w:space="0"/>
                    <w:right w:val="single" w:color="auto" w:sz="4" w:space="0"/>
                  </w:tcBorders>
                  <w:vAlign w:val="center"/>
                </w:tcPr>
                <w:p w14:paraId="6AEF4756">
                  <w:pPr>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妥善收集后暂存于危废仓库</w:t>
                  </w:r>
                  <w:r>
                    <w:rPr>
                      <w:rFonts w:hint="default" w:ascii="Times New Roman" w:hAnsi="Times New Roman" w:cs="Times New Roman"/>
                      <w:sz w:val="18"/>
                      <w:szCs w:val="18"/>
                      <w:lang w:eastAsia="zh-CN"/>
                    </w:rPr>
                    <w:t>，</w:t>
                  </w:r>
                  <w:r>
                    <w:rPr>
                      <w:rFonts w:hint="default" w:ascii="Times New Roman" w:hAnsi="Times New Roman" w:cs="Times New Roman"/>
                      <w:sz w:val="18"/>
                      <w:szCs w:val="18"/>
                    </w:rPr>
                    <w:t>定期交由具有相应处理资质的单位处理</w:t>
                  </w:r>
                </w:p>
              </w:tc>
            </w:tr>
            <w:tr w14:paraId="6F667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7" w:hRule="atLeast"/>
                <w:jc w:val="center"/>
              </w:trPr>
              <w:tc>
                <w:tcPr>
                  <w:tcW w:w="463" w:type="dxa"/>
                  <w:tcBorders>
                    <w:top w:val="single" w:color="auto" w:sz="4" w:space="0"/>
                    <w:left w:val="single" w:color="auto" w:sz="4" w:space="0"/>
                    <w:bottom w:val="single" w:color="auto" w:sz="4" w:space="0"/>
                    <w:right w:val="single" w:color="auto" w:sz="4" w:space="0"/>
                  </w:tcBorders>
                  <w:vAlign w:val="center"/>
                </w:tcPr>
                <w:p w14:paraId="16E55EDC">
                  <w:pPr>
                    <w:pStyle w:val="1041"/>
                    <w:numPr>
                      <w:ilvl w:val="0"/>
                      <w:numId w:val="21"/>
                    </w:numPr>
                    <w:spacing w:line="240" w:lineRule="exact"/>
                    <w:ind w:firstLine="0" w:firstLineChars="0"/>
                    <w:jc w:val="center"/>
                    <w:rPr>
                      <w:rFonts w:hint="default" w:ascii="Times New Roman" w:hAnsi="Times New Roman" w:cs="Times New Roman"/>
                      <w:sz w:val="18"/>
                      <w:szCs w:val="18"/>
                    </w:rPr>
                  </w:pPr>
                </w:p>
              </w:tc>
              <w:tc>
                <w:tcPr>
                  <w:tcW w:w="727" w:type="dxa"/>
                  <w:tcBorders>
                    <w:top w:val="single" w:color="auto" w:sz="4" w:space="0"/>
                    <w:left w:val="single" w:color="auto" w:sz="4" w:space="0"/>
                    <w:bottom w:val="single" w:color="auto" w:sz="4" w:space="0"/>
                    <w:right w:val="single" w:color="auto" w:sz="4" w:space="0"/>
                  </w:tcBorders>
                  <w:vAlign w:val="center"/>
                </w:tcPr>
                <w:p w14:paraId="11B4B660">
                  <w:pPr>
                    <w:autoSpaceDE w:val="0"/>
                    <w:autoSpaceDN w:val="0"/>
                    <w:adjustRightInd w:val="0"/>
                    <w:spacing w:line="240" w:lineRule="exact"/>
                    <w:jc w:val="center"/>
                    <w:rPr>
                      <w:rFonts w:hint="eastAsia"/>
                      <w:bCs/>
                      <w:sz w:val="18"/>
                      <w:szCs w:val="18"/>
                      <w:highlight w:val="none"/>
                      <w:lang w:eastAsia="zh-CN"/>
                    </w:rPr>
                  </w:pPr>
                  <w:r>
                    <w:rPr>
                      <w:rFonts w:hint="eastAsia"/>
                      <w:bCs/>
                      <w:sz w:val="18"/>
                      <w:szCs w:val="18"/>
                      <w:highlight w:val="none"/>
                      <w:lang w:eastAsia="zh-CN"/>
                    </w:rPr>
                    <w:t>废漆渣</w:t>
                  </w:r>
                </w:p>
              </w:tc>
              <w:tc>
                <w:tcPr>
                  <w:tcW w:w="726" w:type="dxa"/>
                  <w:tcBorders>
                    <w:top w:val="single" w:color="auto" w:sz="4" w:space="0"/>
                    <w:left w:val="single" w:color="auto" w:sz="4" w:space="0"/>
                    <w:bottom w:val="single" w:color="auto" w:sz="4" w:space="0"/>
                    <w:right w:val="single" w:color="auto" w:sz="4" w:space="0"/>
                  </w:tcBorders>
                  <w:vAlign w:val="center"/>
                </w:tcPr>
                <w:p w14:paraId="0C48EFED">
                  <w:pPr>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lang w:val="en-US" w:eastAsia="zh-CN"/>
                    </w:rPr>
                    <w:t>HW12</w:t>
                  </w:r>
                </w:p>
              </w:tc>
              <w:tc>
                <w:tcPr>
                  <w:tcW w:w="886" w:type="dxa"/>
                  <w:tcBorders>
                    <w:top w:val="single" w:color="auto" w:sz="4" w:space="0"/>
                    <w:left w:val="single" w:color="auto" w:sz="4" w:space="0"/>
                    <w:bottom w:val="single" w:color="auto" w:sz="4" w:space="0"/>
                    <w:right w:val="single" w:color="auto" w:sz="4" w:space="0"/>
                  </w:tcBorders>
                  <w:vAlign w:val="center"/>
                </w:tcPr>
                <w:p w14:paraId="6170F2BB">
                  <w:pPr>
                    <w:autoSpaceDE w:val="0"/>
                    <w:autoSpaceDN w:val="0"/>
                    <w:adjustRightInd w:val="0"/>
                    <w:spacing w:line="240" w:lineRule="exact"/>
                    <w:jc w:val="center"/>
                    <w:rPr>
                      <w:rFonts w:hint="default" w:ascii="Times New Roman" w:hAnsi="Times New Roman" w:cs="Times New Roman"/>
                      <w:sz w:val="18"/>
                      <w:szCs w:val="18"/>
                    </w:rPr>
                  </w:pPr>
                  <w:r>
                    <w:rPr>
                      <w:rFonts w:hint="default" w:ascii="Times New Roman" w:hAnsi="Times New Roman" w:cs="Times New Roman"/>
                      <w:sz w:val="18"/>
                      <w:szCs w:val="18"/>
                    </w:rPr>
                    <w:t>900-252-12</w:t>
                  </w:r>
                </w:p>
              </w:tc>
              <w:tc>
                <w:tcPr>
                  <w:tcW w:w="839" w:type="dxa"/>
                  <w:tcBorders>
                    <w:top w:val="single" w:color="auto" w:sz="4" w:space="0"/>
                    <w:left w:val="single" w:color="auto" w:sz="4" w:space="0"/>
                    <w:bottom w:val="single" w:color="auto" w:sz="4" w:space="0"/>
                    <w:right w:val="single" w:color="auto" w:sz="4" w:space="0"/>
                  </w:tcBorders>
                  <w:vAlign w:val="center"/>
                </w:tcPr>
                <w:p w14:paraId="015D560D">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0.495</w:t>
                  </w:r>
                </w:p>
              </w:tc>
              <w:tc>
                <w:tcPr>
                  <w:tcW w:w="628" w:type="dxa"/>
                  <w:tcBorders>
                    <w:top w:val="single" w:color="auto" w:sz="4" w:space="0"/>
                    <w:left w:val="single" w:color="auto" w:sz="4" w:space="0"/>
                    <w:bottom w:val="single" w:color="auto" w:sz="4" w:space="0"/>
                    <w:right w:val="single" w:color="auto" w:sz="4" w:space="0"/>
                  </w:tcBorders>
                  <w:vAlign w:val="center"/>
                </w:tcPr>
                <w:p w14:paraId="74A3926D">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喷涂工序</w:t>
                  </w:r>
                </w:p>
              </w:tc>
              <w:tc>
                <w:tcPr>
                  <w:tcW w:w="615" w:type="dxa"/>
                  <w:tcBorders>
                    <w:top w:val="single" w:color="auto" w:sz="4" w:space="0"/>
                    <w:left w:val="single" w:color="auto" w:sz="4" w:space="0"/>
                    <w:bottom w:val="single" w:color="auto" w:sz="4" w:space="0"/>
                    <w:right w:val="single" w:color="auto" w:sz="4" w:space="0"/>
                  </w:tcBorders>
                  <w:vAlign w:val="center"/>
                </w:tcPr>
                <w:p w14:paraId="514B3256">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固体</w:t>
                  </w:r>
                </w:p>
              </w:tc>
              <w:tc>
                <w:tcPr>
                  <w:tcW w:w="628" w:type="dxa"/>
                  <w:tcBorders>
                    <w:top w:val="single" w:color="auto" w:sz="4" w:space="0"/>
                    <w:left w:val="single" w:color="auto" w:sz="4" w:space="0"/>
                    <w:bottom w:val="single" w:color="auto" w:sz="4" w:space="0"/>
                    <w:right w:val="single" w:color="auto" w:sz="4" w:space="0"/>
                  </w:tcBorders>
                  <w:vAlign w:val="center"/>
                </w:tcPr>
                <w:p w14:paraId="782D2F9E">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含有VOCs</w:t>
                  </w:r>
                </w:p>
              </w:tc>
              <w:tc>
                <w:tcPr>
                  <w:tcW w:w="839" w:type="dxa"/>
                  <w:tcBorders>
                    <w:top w:val="single" w:color="auto" w:sz="4" w:space="0"/>
                    <w:left w:val="single" w:color="auto" w:sz="4" w:space="0"/>
                    <w:bottom w:val="single" w:color="auto" w:sz="4" w:space="0"/>
                    <w:right w:val="single" w:color="auto" w:sz="4" w:space="0"/>
                  </w:tcBorders>
                  <w:vAlign w:val="center"/>
                </w:tcPr>
                <w:p w14:paraId="5A54193C">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0.495</w:t>
                  </w:r>
                </w:p>
              </w:tc>
              <w:tc>
                <w:tcPr>
                  <w:tcW w:w="868" w:type="dxa"/>
                  <w:tcBorders>
                    <w:top w:val="single" w:color="auto" w:sz="4" w:space="0"/>
                    <w:left w:val="single" w:color="auto" w:sz="4" w:space="0"/>
                    <w:bottom w:val="single" w:color="auto" w:sz="4" w:space="0"/>
                    <w:right w:val="single" w:color="auto" w:sz="4" w:space="0"/>
                  </w:tcBorders>
                  <w:vAlign w:val="center"/>
                </w:tcPr>
                <w:p w14:paraId="57A74B28">
                  <w:pPr>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lang w:val="en-US" w:eastAsia="zh-CN"/>
                    </w:rPr>
                    <w:t>T、I</w:t>
                  </w:r>
                </w:p>
              </w:tc>
              <w:tc>
                <w:tcPr>
                  <w:tcW w:w="1064" w:type="dxa"/>
                  <w:vMerge w:val="continue"/>
                  <w:tcBorders>
                    <w:left w:val="single" w:color="auto" w:sz="4" w:space="0"/>
                    <w:right w:val="single" w:color="auto" w:sz="4" w:space="0"/>
                  </w:tcBorders>
                  <w:vAlign w:val="center"/>
                </w:tcPr>
                <w:p w14:paraId="6B3F9E02">
                  <w:pPr>
                    <w:spacing w:line="240" w:lineRule="exact"/>
                    <w:jc w:val="center"/>
                    <w:rPr>
                      <w:rFonts w:hint="default" w:ascii="Times New Roman" w:hAnsi="Times New Roman" w:cs="Times New Roman"/>
                      <w:sz w:val="18"/>
                      <w:szCs w:val="18"/>
                    </w:rPr>
                  </w:pPr>
                </w:p>
              </w:tc>
            </w:tr>
            <w:tr w14:paraId="3FD7B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7" w:hRule="atLeast"/>
                <w:jc w:val="center"/>
              </w:trPr>
              <w:tc>
                <w:tcPr>
                  <w:tcW w:w="463" w:type="dxa"/>
                  <w:tcBorders>
                    <w:top w:val="single" w:color="auto" w:sz="4" w:space="0"/>
                    <w:left w:val="single" w:color="auto" w:sz="4" w:space="0"/>
                    <w:bottom w:val="single" w:color="auto" w:sz="4" w:space="0"/>
                    <w:right w:val="single" w:color="auto" w:sz="4" w:space="0"/>
                  </w:tcBorders>
                  <w:vAlign w:val="center"/>
                </w:tcPr>
                <w:p w14:paraId="7202A144">
                  <w:pPr>
                    <w:pStyle w:val="1041"/>
                    <w:numPr>
                      <w:ilvl w:val="0"/>
                      <w:numId w:val="21"/>
                    </w:numPr>
                    <w:spacing w:line="240" w:lineRule="exact"/>
                    <w:ind w:firstLine="0" w:firstLineChars="0"/>
                    <w:jc w:val="center"/>
                    <w:rPr>
                      <w:rFonts w:hint="default" w:ascii="Times New Roman" w:hAnsi="Times New Roman" w:cs="Times New Roman"/>
                      <w:sz w:val="18"/>
                      <w:szCs w:val="18"/>
                    </w:rPr>
                  </w:pPr>
                </w:p>
              </w:tc>
              <w:tc>
                <w:tcPr>
                  <w:tcW w:w="727" w:type="dxa"/>
                  <w:tcBorders>
                    <w:top w:val="single" w:color="auto" w:sz="4" w:space="0"/>
                    <w:left w:val="single" w:color="auto" w:sz="4" w:space="0"/>
                    <w:bottom w:val="single" w:color="auto" w:sz="4" w:space="0"/>
                    <w:right w:val="single" w:color="auto" w:sz="4" w:space="0"/>
                  </w:tcBorders>
                  <w:vAlign w:val="center"/>
                </w:tcPr>
                <w:p w14:paraId="5C934A02">
                  <w:pPr>
                    <w:autoSpaceDE w:val="0"/>
                    <w:autoSpaceDN w:val="0"/>
                    <w:adjustRightInd w:val="0"/>
                    <w:spacing w:line="240" w:lineRule="exact"/>
                    <w:jc w:val="center"/>
                    <w:rPr>
                      <w:rFonts w:hint="eastAsia" w:ascii="Times New Roman" w:hAnsi="Times New Roman" w:eastAsia="宋体" w:cs="Times New Roman"/>
                      <w:sz w:val="18"/>
                      <w:szCs w:val="18"/>
                      <w:lang w:eastAsia="zh-CN"/>
                    </w:rPr>
                  </w:pPr>
                  <w:r>
                    <w:rPr>
                      <w:rFonts w:hint="eastAsia" w:cs="Times New Roman"/>
                      <w:sz w:val="18"/>
                      <w:szCs w:val="18"/>
                      <w:lang w:eastAsia="zh-CN"/>
                    </w:rPr>
                    <w:t>废机油</w:t>
                  </w:r>
                </w:p>
              </w:tc>
              <w:tc>
                <w:tcPr>
                  <w:tcW w:w="726" w:type="dxa"/>
                  <w:tcBorders>
                    <w:top w:val="single" w:color="auto" w:sz="4" w:space="0"/>
                    <w:left w:val="single" w:color="auto" w:sz="4" w:space="0"/>
                    <w:bottom w:val="single" w:color="auto" w:sz="4" w:space="0"/>
                    <w:right w:val="single" w:color="auto" w:sz="4" w:space="0"/>
                  </w:tcBorders>
                  <w:vAlign w:val="center"/>
                </w:tcPr>
                <w:p w14:paraId="1FD82695">
                  <w:pPr>
                    <w:autoSpaceDE w:val="0"/>
                    <w:autoSpaceDN w:val="0"/>
                    <w:adjustRightInd w:val="0"/>
                    <w:spacing w:line="24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HW08</w:t>
                  </w:r>
                </w:p>
              </w:tc>
              <w:tc>
                <w:tcPr>
                  <w:tcW w:w="886" w:type="dxa"/>
                  <w:tcBorders>
                    <w:top w:val="single" w:color="auto" w:sz="4" w:space="0"/>
                    <w:left w:val="single" w:color="auto" w:sz="4" w:space="0"/>
                    <w:bottom w:val="single" w:color="auto" w:sz="4" w:space="0"/>
                    <w:right w:val="single" w:color="auto" w:sz="4" w:space="0"/>
                  </w:tcBorders>
                  <w:vAlign w:val="center"/>
                </w:tcPr>
                <w:p w14:paraId="4539CC02">
                  <w:pPr>
                    <w:autoSpaceDE w:val="0"/>
                    <w:autoSpaceDN w:val="0"/>
                    <w:adjustRightInd w:val="0"/>
                    <w:spacing w:line="24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900-249-08</w:t>
                  </w:r>
                </w:p>
              </w:tc>
              <w:tc>
                <w:tcPr>
                  <w:tcW w:w="839" w:type="dxa"/>
                  <w:tcBorders>
                    <w:top w:val="single" w:color="auto" w:sz="4" w:space="0"/>
                    <w:left w:val="single" w:color="auto" w:sz="4" w:space="0"/>
                    <w:bottom w:val="single" w:color="auto" w:sz="4" w:space="0"/>
                    <w:right w:val="single" w:color="auto" w:sz="4" w:space="0"/>
                  </w:tcBorders>
                  <w:vAlign w:val="center"/>
                </w:tcPr>
                <w:p w14:paraId="383BFF89">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0.05</w:t>
                  </w:r>
                </w:p>
              </w:tc>
              <w:tc>
                <w:tcPr>
                  <w:tcW w:w="628" w:type="dxa"/>
                  <w:tcBorders>
                    <w:top w:val="single" w:color="auto" w:sz="4" w:space="0"/>
                    <w:left w:val="single" w:color="auto" w:sz="4" w:space="0"/>
                    <w:bottom w:val="single" w:color="auto" w:sz="4" w:space="0"/>
                    <w:right w:val="single" w:color="auto" w:sz="4" w:space="0"/>
                  </w:tcBorders>
                  <w:vAlign w:val="center"/>
                </w:tcPr>
                <w:p w14:paraId="74C70101">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设备维护保养</w:t>
                  </w:r>
                </w:p>
              </w:tc>
              <w:tc>
                <w:tcPr>
                  <w:tcW w:w="615" w:type="dxa"/>
                  <w:tcBorders>
                    <w:top w:val="single" w:color="auto" w:sz="4" w:space="0"/>
                    <w:left w:val="single" w:color="auto" w:sz="4" w:space="0"/>
                    <w:bottom w:val="single" w:color="auto" w:sz="4" w:space="0"/>
                    <w:right w:val="single" w:color="auto" w:sz="4" w:space="0"/>
                  </w:tcBorders>
                  <w:vAlign w:val="center"/>
                </w:tcPr>
                <w:p w14:paraId="2840CA58">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液体</w:t>
                  </w:r>
                </w:p>
              </w:tc>
              <w:tc>
                <w:tcPr>
                  <w:tcW w:w="628" w:type="dxa"/>
                  <w:tcBorders>
                    <w:top w:val="single" w:color="auto" w:sz="4" w:space="0"/>
                    <w:left w:val="single" w:color="auto" w:sz="4" w:space="0"/>
                    <w:bottom w:val="single" w:color="auto" w:sz="4" w:space="0"/>
                    <w:right w:val="single" w:color="auto" w:sz="4" w:space="0"/>
                  </w:tcBorders>
                  <w:vAlign w:val="center"/>
                </w:tcPr>
                <w:p w14:paraId="7F72B8A6">
                  <w:pPr>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lang w:val="en-US" w:eastAsia="zh-CN"/>
                    </w:rPr>
                    <w:t>矿物油</w:t>
                  </w:r>
                </w:p>
              </w:tc>
              <w:tc>
                <w:tcPr>
                  <w:tcW w:w="839" w:type="dxa"/>
                  <w:tcBorders>
                    <w:top w:val="single" w:color="auto" w:sz="4" w:space="0"/>
                    <w:left w:val="single" w:color="auto" w:sz="4" w:space="0"/>
                    <w:bottom w:val="single" w:color="auto" w:sz="4" w:space="0"/>
                    <w:right w:val="single" w:color="auto" w:sz="4" w:space="0"/>
                  </w:tcBorders>
                  <w:vAlign w:val="center"/>
                </w:tcPr>
                <w:p w14:paraId="79F2EA0E">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0.05</w:t>
                  </w:r>
                </w:p>
              </w:tc>
              <w:tc>
                <w:tcPr>
                  <w:tcW w:w="868" w:type="dxa"/>
                  <w:tcBorders>
                    <w:top w:val="single" w:color="auto" w:sz="4" w:space="0"/>
                    <w:left w:val="single" w:color="auto" w:sz="4" w:space="0"/>
                    <w:bottom w:val="single" w:color="auto" w:sz="4" w:space="0"/>
                    <w:right w:val="single" w:color="auto" w:sz="4" w:space="0"/>
                  </w:tcBorders>
                  <w:vAlign w:val="center"/>
                </w:tcPr>
                <w:p w14:paraId="22B06FFA">
                  <w:pPr>
                    <w:autoSpaceDE w:val="0"/>
                    <w:autoSpaceDN w:val="0"/>
                    <w:adjustRightInd w:val="0"/>
                    <w:spacing w:line="24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T、I</w:t>
                  </w:r>
                </w:p>
              </w:tc>
              <w:tc>
                <w:tcPr>
                  <w:tcW w:w="1064" w:type="dxa"/>
                  <w:vMerge w:val="continue"/>
                  <w:tcBorders>
                    <w:left w:val="single" w:color="auto" w:sz="4" w:space="0"/>
                    <w:right w:val="single" w:color="auto" w:sz="4" w:space="0"/>
                  </w:tcBorders>
                  <w:vAlign w:val="center"/>
                </w:tcPr>
                <w:p w14:paraId="51904802">
                  <w:pPr>
                    <w:spacing w:line="240" w:lineRule="exact"/>
                    <w:jc w:val="center"/>
                    <w:rPr>
                      <w:rFonts w:hint="default" w:ascii="Times New Roman" w:hAnsi="Times New Roman" w:cs="Times New Roman"/>
                      <w:sz w:val="18"/>
                      <w:szCs w:val="18"/>
                    </w:rPr>
                  </w:pPr>
                </w:p>
              </w:tc>
            </w:tr>
            <w:tr w14:paraId="3D0C2A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7" w:hRule="atLeast"/>
                <w:jc w:val="center"/>
              </w:trPr>
              <w:tc>
                <w:tcPr>
                  <w:tcW w:w="463" w:type="dxa"/>
                  <w:tcBorders>
                    <w:top w:val="single" w:color="auto" w:sz="4" w:space="0"/>
                    <w:left w:val="single" w:color="auto" w:sz="4" w:space="0"/>
                    <w:bottom w:val="single" w:color="auto" w:sz="4" w:space="0"/>
                    <w:right w:val="single" w:color="auto" w:sz="4" w:space="0"/>
                  </w:tcBorders>
                  <w:vAlign w:val="center"/>
                </w:tcPr>
                <w:p w14:paraId="6EA6F7AA">
                  <w:pPr>
                    <w:pStyle w:val="1041"/>
                    <w:numPr>
                      <w:ilvl w:val="0"/>
                      <w:numId w:val="21"/>
                    </w:numPr>
                    <w:spacing w:line="240" w:lineRule="exact"/>
                    <w:ind w:firstLine="0" w:firstLineChars="0"/>
                    <w:jc w:val="center"/>
                    <w:rPr>
                      <w:rFonts w:hint="default" w:ascii="Times New Roman" w:hAnsi="Times New Roman" w:cs="Times New Roman"/>
                      <w:sz w:val="18"/>
                      <w:szCs w:val="18"/>
                    </w:rPr>
                  </w:pPr>
                </w:p>
              </w:tc>
              <w:tc>
                <w:tcPr>
                  <w:tcW w:w="727" w:type="dxa"/>
                  <w:tcBorders>
                    <w:top w:val="single" w:color="auto" w:sz="4" w:space="0"/>
                    <w:left w:val="single" w:color="auto" w:sz="4" w:space="0"/>
                    <w:bottom w:val="single" w:color="auto" w:sz="4" w:space="0"/>
                    <w:right w:val="single" w:color="auto" w:sz="4" w:space="0"/>
                  </w:tcBorders>
                  <w:vAlign w:val="center"/>
                </w:tcPr>
                <w:p w14:paraId="763037B3">
                  <w:pPr>
                    <w:autoSpaceDE w:val="0"/>
                    <w:autoSpaceDN w:val="0"/>
                    <w:adjustRightInd w:val="0"/>
                    <w:spacing w:line="240" w:lineRule="exact"/>
                    <w:jc w:val="center"/>
                    <w:rPr>
                      <w:rFonts w:hint="eastAsia" w:cs="Times New Roman"/>
                      <w:sz w:val="18"/>
                      <w:szCs w:val="18"/>
                      <w:lang w:eastAsia="zh-CN"/>
                    </w:rPr>
                  </w:pPr>
                  <w:r>
                    <w:rPr>
                      <w:rFonts w:hint="eastAsia" w:cs="Times New Roman"/>
                      <w:b w:val="0"/>
                      <w:bCs w:val="0"/>
                      <w:kern w:val="2"/>
                      <w:sz w:val="18"/>
                      <w:szCs w:val="18"/>
                      <w:lang w:val="en-US" w:eastAsia="zh-CN" w:bidi="ar-SA"/>
                    </w:rPr>
                    <w:t>废液压油</w:t>
                  </w:r>
                </w:p>
              </w:tc>
              <w:tc>
                <w:tcPr>
                  <w:tcW w:w="726" w:type="dxa"/>
                  <w:tcBorders>
                    <w:top w:val="single" w:color="auto" w:sz="4" w:space="0"/>
                    <w:left w:val="single" w:color="auto" w:sz="4" w:space="0"/>
                    <w:bottom w:val="single" w:color="auto" w:sz="4" w:space="0"/>
                    <w:right w:val="single" w:color="auto" w:sz="4" w:space="0"/>
                  </w:tcBorders>
                  <w:vAlign w:val="center"/>
                </w:tcPr>
                <w:p w14:paraId="4781FB6E">
                  <w:pPr>
                    <w:tabs>
                      <w:tab w:val="left" w:pos="337"/>
                    </w:tabs>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lang w:val="en-US" w:eastAsia="zh-CN"/>
                    </w:rPr>
                    <w:t>HW08</w:t>
                  </w:r>
                </w:p>
              </w:tc>
              <w:tc>
                <w:tcPr>
                  <w:tcW w:w="886" w:type="dxa"/>
                  <w:tcBorders>
                    <w:top w:val="single" w:color="auto" w:sz="4" w:space="0"/>
                    <w:left w:val="single" w:color="auto" w:sz="4" w:space="0"/>
                    <w:bottom w:val="single" w:color="auto" w:sz="4" w:space="0"/>
                    <w:right w:val="single" w:color="auto" w:sz="4" w:space="0"/>
                  </w:tcBorders>
                  <w:vAlign w:val="center"/>
                </w:tcPr>
                <w:p w14:paraId="1B849913">
                  <w:pPr>
                    <w:autoSpaceDE w:val="0"/>
                    <w:autoSpaceDN w:val="0"/>
                    <w:adjustRightInd w:val="0"/>
                    <w:spacing w:line="240" w:lineRule="exact"/>
                    <w:jc w:val="center"/>
                    <w:rPr>
                      <w:rFonts w:hint="eastAsia" w:cs="Times New Roman"/>
                      <w:sz w:val="18"/>
                      <w:szCs w:val="18"/>
                      <w:lang w:val="en-US" w:eastAsia="zh-CN"/>
                    </w:rPr>
                  </w:pPr>
                  <w:r>
                    <w:rPr>
                      <w:rFonts w:hint="default" w:ascii="Times New Roman" w:hAnsi="Times New Roman" w:cs="Times New Roman"/>
                      <w:sz w:val="18"/>
                      <w:szCs w:val="18"/>
                    </w:rPr>
                    <w:t>900-218-08</w:t>
                  </w:r>
                </w:p>
              </w:tc>
              <w:tc>
                <w:tcPr>
                  <w:tcW w:w="839" w:type="dxa"/>
                  <w:tcBorders>
                    <w:top w:val="single" w:color="auto" w:sz="4" w:space="0"/>
                    <w:left w:val="single" w:color="auto" w:sz="4" w:space="0"/>
                    <w:bottom w:val="single" w:color="auto" w:sz="4" w:space="0"/>
                    <w:right w:val="single" w:color="auto" w:sz="4" w:space="0"/>
                  </w:tcBorders>
                  <w:vAlign w:val="center"/>
                </w:tcPr>
                <w:p w14:paraId="09DA65C8">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0.2</w:t>
                  </w:r>
                </w:p>
              </w:tc>
              <w:tc>
                <w:tcPr>
                  <w:tcW w:w="628" w:type="dxa"/>
                  <w:tcBorders>
                    <w:top w:val="single" w:color="auto" w:sz="4" w:space="0"/>
                    <w:left w:val="single" w:color="auto" w:sz="4" w:space="0"/>
                    <w:bottom w:val="single" w:color="auto" w:sz="4" w:space="0"/>
                    <w:right w:val="single" w:color="auto" w:sz="4" w:space="0"/>
                  </w:tcBorders>
                  <w:vAlign w:val="center"/>
                </w:tcPr>
                <w:p w14:paraId="06A522FA">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设备维护保养</w:t>
                  </w:r>
                </w:p>
              </w:tc>
              <w:tc>
                <w:tcPr>
                  <w:tcW w:w="615" w:type="dxa"/>
                  <w:tcBorders>
                    <w:top w:val="single" w:color="auto" w:sz="4" w:space="0"/>
                    <w:left w:val="single" w:color="auto" w:sz="4" w:space="0"/>
                    <w:bottom w:val="single" w:color="auto" w:sz="4" w:space="0"/>
                    <w:right w:val="single" w:color="auto" w:sz="4" w:space="0"/>
                  </w:tcBorders>
                  <w:vAlign w:val="center"/>
                </w:tcPr>
                <w:p w14:paraId="6968BD54">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液体</w:t>
                  </w:r>
                </w:p>
              </w:tc>
              <w:tc>
                <w:tcPr>
                  <w:tcW w:w="628" w:type="dxa"/>
                  <w:tcBorders>
                    <w:top w:val="single" w:color="auto" w:sz="4" w:space="0"/>
                    <w:left w:val="single" w:color="auto" w:sz="4" w:space="0"/>
                    <w:bottom w:val="single" w:color="auto" w:sz="4" w:space="0"/>
                    <w:right w:val="single" w:color="auto" w:sz="4" w:space="0"/>
                  </w:tcBorders>
                  <w:vAlign w:val="center"/>
                </w:tcPr>
                <w:p w14:paraId="1885D0C5">
                  <w:pPr>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lang w:val="en-US" w:eastAsia="zh-CN"/>
                    </w:rPr>
                    <w:t>矿物油</w:t>
                  </w:r>
                </w:p>
              </w:tc>
              <w:tc>
                <w:tcPr>
                  <w:tcW w:w="839" w:type="dxa"/>
                  <w:tcBorders>
                    <w:top w:val="single" w:color="auto" w:sz="4" w:space="0"/>
                    <w:left w:val="single" w:color="auto" w:sz="4" w:space="0"/>
                    <w:bottom w:val="single" w:color="auto" w:sz="4" w:space="0"/>
                    <w:right w:val="single" w:color="auto" w:sz="4" w:space="0"/>
                  </w:tcBorders>
                  <w:vAlign w:val="center"/>
                </w:tcPr>
                <w:p w14:paraId="372E072B">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0.2</w:t>
                  </w:r>
                </w:p>
              </w:tc>
              <w:tc>
                <w:tcPr>
                  <w:tcW w:w="868" w:type="dxa"/>
                  <w:tcBorders>
                    <w:top w:val="single" w:color="auto" w:sz="4" w:space="0"/>
                    <w:left w:val="single" w:color="auto" w:sz="4" w:space="0"/>
                    <w:bottom w:val="single" w:color="auto" w:sz="4" w:space="0"/>
                    <w:right w:val="single" w:color="auto" w:sz="4" w:space="0"/>
                  </w:tcBorders>
                  <w:vAlign w:val="center"/>
                </w:tcPr>
                <w:p w14:paraId="512A1507">
                  <w:pPr>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lang w:val="en-US" w:eastAsia="zh-CN"/>
                    </w:rPr>
                    <w:t>T、I</w:t>
                  </w:r>
                </w:p>
              </w:tc>
              <w:tc>
                <w:tcPr>
                  <w:tcW w:w="1064" w:type="dxa"/>
                  <w:vMerge w:val="continue"/>
                  <w:tcBorders>
                    <w:left w:val="single" w:color="auto" w:sz="4" w:space="0"/>
                    <w:right w:val="single" w:color="auto" w:sz="4" w:space="0"/>
                  </w:tcBorders>
                  <w:vAlign w:val="center"/>
                </w:tcPr>
                <w:p w14:paraId="2282AEC7">
                  <w:pPr>
                    <w:spacing w:line="240" w:lineRule="exact"/>
                    <w:jc w:val="center"/>
                    <w:rPr>
                      <w:rFonts w:hint="default" w:ascii="Times New Roman" w:hAnsi="Times New Roman" w:cs="Times New Roman"/>
                      <w:sz w:val="18"/>
                      <w:szCs w:val="18"/>
                    </w:rPr>
                  </w:pPr>
                </w:p>
              </w:tc>
            </w:tr>
            <w:tr w14:paraId="33CBDB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7" w:hRule="atLeast"/>
                <w:jc w:val="center"/>
              </w:trPr>
              <w:tc>
                <w:tcPr>
                  <w:tcW w:w="463" w:type="dxa"/>
                  <w:tcBorders>
                    <w:top w:val="single" w:color="auto" w:sz="4" w:space="0"/>
                    <w:left w:val="single" w:color="auto" w:sz="4" w:space="0"/>
                    <w:bottom w:val="single" w:color="auto" w:sz="4" w:space="0"/>
                    <w:right w:val="single" w:color="auto" w:sz="4" w:space="0"/>
                  </w:tcBorders>
                  <w:vAlign w:val="center"/>
                </w:tcPr>
                <w:p w14:paraId="315BD285">
                  <w:pPr>
                    <w:pStyle w:val="1041"/>
                    <w:numPr>
                      <w:ilvl w:val="0"/>
                      <w:numId w:val="21"/>
                    </w:numPr>
                    <w:spacing w:line="240" w:lineRule="exact"/>
                    <w:ind w:firstLine="0" w:firstLineChars="0"/>
                    <w:jc w:val="center"/>
                    <w:rPr>
                      <w:rFonts w:hint="default" w:ascii="Times New Roman" w:hAnsi="Times New Roman" w:cs="Times New Roman"/>
                      <w:sz w:val="18"/>
                      <w:szCs w:val="18"/>
                    </w:rPr>
                  </w:pPr>
                </w:p>
              </w:tc>
              <w:tc>
                <w:tcPr>
                  <w:tcW w:w="727" w:type="dxa"/>
                  <w:tcBorders>
                    <w:top w:val="single" w:color="auto" w:sz="4" w:space="0"/>
                    <w:left w:val="single" w:color="auto" w:sz="4" w:space="0"/>
                    <w:bottom w:val="single" w:color="auto" w:sz="4" w:space="0"/>
                    <w:right w:val="single" w:color="auto" w:sz="4" w:space="0"/>
                  </w:tcBorders>
                  <w:vAlign w:val="center"/>
                </w:tcPr>
                <w:p w14:paraId="5F78300E">
                  <w:pPr>
                    <w:autoSpaceDE w:val="0"/>
                    <w:autoSpaceDN w:val="0"/>
                    <w:adjustRightInd w:val="0"/>
                    <w:spacing w:line="240" w:lineRule="exact"/>
                    <w:jc w:val="center"/>
                    <w:rPr>
                      <w:rFonts w:hint="eastAsia" w:cs="Times New Roman"/>
                      <w:sz w:val="18"/>
                      <w:szCs w:val="18"/>
                      <w:lang w:eastAsia="zh-CN"/>
                    </w:rPr>
                  </w:pPr>
                  <w:r>
                    <w:rPr>
                      <w:rFonts w:hint="eastAsia" w:cs="Times New Roman"/>
                      <w:b w:val="0"/>
                      <w:bCs w:val="0"/>
                      <w:kern w:val="2"/>
                      <w:sz w:val="18"/>
                      <w:szCs w:val="18"/>
                      <w:lang w:val="en-US" w:eastAsia="zh-CN" w:bidi="ar-SA"/>
                    </w:rPr>
                    <w:t>废过滤箱、过滤棉</w:t>
                  </w:r>
                </w:p>
              </w:tc>
              <w:tc>
                <w:tcPr>
                  <w:tcW w:w="726" w:type="dxa"/>
                  <w:tcBorders>
                    <w:top w:val="single" w:color="auto" w:sz="4" w:space="0"/>
                    <w:left w:val="single" w:color="auto" w:sz="4" w:space="0"/>
                    <w:bottom w:val="single" w:color="auto" w:sz="4" w:space="0"/>
                    <w:right w:val="single" w:color="auto" w:sz="4" w:space="0"/>
                  </w:tcBorders>
                  <w:vAlign w:val="center"/>
                </w:tcPr>
                <w:p w14:paraId="0C4C8FE4">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HW49</w:t>
                  </w:r>
                </w:p>
              </w:tc>
              <w:tc>
                <w:tcPr>
                  <w:tcW w:w="886" w:type="dxa"/>
                  <w:tcBorders>
                    <w:top w:val="single" w:color="auto" w:sz="4" w:space="0"/>
                    <w:left w:val="single" w:color="auto" w:sz="4" w:space="0"/>
                    <w:bottom w:val="single" w:color="auto" w:sz="4" w:space="0"/>
                    <w:right w:val="single" w:color="auto" w:sz="4" w:space="0"/>
                  </w:tcBorders>
                  <w:vAlign w:val="center"/>
                </w:tcPr>
                <w:p w14:paraId="593C0F0B">
                  <w:pPr>
                    <w:autoSpaceDE w:val="0"/>
                    <w:autoSpaceDN w:val="0"/>
                    <w:adjustRightInd w:val="0"/>
                    <w:spacing w:line="240" w:lineRule="exact"/>
                    <w:jc w:val="center"/>
                    <w:rPr>
                      <w:rFonts w:hint="eastAsia" w:cs="Times New Roman"/>
                      <w:sz w:val="18"/>
                      <w:szCs w:val="18"/>
                      <w:lang w:val="en-US" w:eastAsia="zh-CN"/>
                    </w:rPr>
                  </w:pPr>
                  <w:r>
                    <w:rPr>
                      <w:rFonts w:hint="eastAsia" w:cs="Times New Roman"/>
                      <w:sz w:val="18"/>
                      <w:szCs w:val="18"/>
                      <w:highlight w:val="none"/>
                      <w:lang w:val="en-US" w:eastAsia="zh-CN"/>
                    </w:rPr>
                    <w:t>900-041-49</w:t>
                  </w:r>
                </w:p>
              </w:tc>
              <w:tc>
                <w:tcPr>
                  <w:tcW w:w="839" w:type="dxa"/>
                  <w:tcBorders>
                    <w:top w:val="single" w:color="auto" w:sz="4" w:space="0"/>
                    <w:left w:val="single" w:color="auto" w:sz="4" w:space="0"/>
                    <w:bottom w:val="single" w:color="auto" w:sz="4" w:space="0"/>
                    <w:right w:val="single" w:color="auto" w:sz="4" w:space="0"/>
                  </w:tcBorders>
                  <w:vAlign w:val="center"/>
                </w:tcPr>
                <w:p w14:paraId="777EE846">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0.853</w:t>
                  </w:r>
                </w:p>
              </w:tc>
              <w:tc>
                <w:tcPr>
                  <w:tcW w:w="628" w:type="dxa"/>
                  <w:tcBorders>
                    <w:top w:val="single" w:color="auto" w:sz="4" w:space="0"/>
                    <w:left w:val="single" w:color="auto" w:sz="4" w:space="0"/>
                    <w:bottom w:val="single" w:color="auto" w:sz="4" w:space="0"/>
                    <w:right w:val="single" w:color="auto" w:sz="4" w:space="0"/>
                  </w:tcBorders>
                  <w:vAlign w:val="center"/>
                </w:tcPr>
                <w:p w14:paraId="311FAE1D">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废气处理</w:t>
                  </w:r>
                </w:p>
              </w:tc>
              <w:tc>
                <w:tcPr>
                  <w:tcW w:w="615" w:type="dxa"/>
                  <w:tcBorders>
                    <w:top w:val="single" w:color="auto" w:sz="4" w:space="0"/>
                    <w:left w:val="single" w:color="auto" w:sz="4" w:space="0"/>
                    <w:bottom w:val="single" w:color="auto" w:sz="4" w:space="0"/>
                    <w:right w:val="single" w:color="auto" w:sz="4" w:space="0"/>
                  </w:tcBorders>
                  <w:vAlign w:val="center"/>
                </w:tcPr>
                <w:p w14:paraId="23348F21">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固体</w:t>
                  </w:r>
                </w:p>
              </w:tc>
              <w:tc>
                <w:tcPr>
                  <w:tcW w:w="628" w:type="dxa"/>
                  <w:tcBorders>
                    <w:top w:val="single" w:color="auto" w:sz="4" w:space="0"/>
                    <w:left w:val="single" w:color="auto" w:sz="4" w:space="0"/>
                    <w:bottom w:val="single" w:color="auto" w:sz="4" w:space="0"/>
                    <w:right w:val="single" w:color="auto" w:sz="4" w:space="0"/>
                  </w:tcBorders>
                  <w:vAlign w:val="center"/>
                </w:tcPr>
                <w:p w14:paraId="28A4487C">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沾染VOCs</w:t>
                  </w:r>
                </w:p>
              </w:tc>
              <w:tc>
                <w:tcPr>
                  <w:tcW w:w="839" w:type="dxa"/>
                  <w:tcBorders>
                    <w:top w:val="single" w:color="auto" w:sz="4" w:space="0"/>
                    <w:left w:val="single" w:color="auto" w:sz="4" w:space="0"/>
                    <w:bottom w:val="single" w:color="auto" w:sz="4" w:space="0"/>
                    <w:right w:val="single" w:color="auto" w:sz="4" w:space="0"/>
                  </w:tcBorders>
                  <w:vAlign w:val="center"/>
                </w:tcPr>
                <w:p w14:paraId="4AEAFB88">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0.853</w:t>
                  </w:r>
                </w:p>
              </w:tc>
              <w:tc>
                <w:tcPr>
                  <w:tcW w:w="868" w:type="dxa"/>
                  <w:tcBorders>
                    <w:top w:val="single" w:color="auto" w:sz="4" w:space="0"/>
                    <w:left w:val="single" w:color="auto" w:sz="4" w:space="0"/>
                    <w:bottom w:val="single" w:color="auto" w:sz="4" w:space="0"/>
                    <w:right w:val="single" w:color="auto" w:sz="4" w:space="0"/>
                  </w:tcBorders>
                  <w:vAlign w:val="center"/>
                </w:tcPr>
                <w:p w14:paraId="6709BF3B">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T</w:t>
                  </w:r>
                </w:p>
              </w:tc>
              <w:tc>
                <w:tcPr>
                  <w:tcW w:w="1064" w:type="dxa"/>
                  <w:vMerge w:val="continue"/>
                  <w:tcBorders>
                    <w:left w:val="single" w:color="auto" w:sz="4" w:space="0"/>
                    <w:right w:val="single" w:color="auto" w:sz="4" w:space="0"/>
                  </w:tcBorders>
                  <w:vAlign w:val="center"/>
                </w:tcPr>
                <w:p w14:paraId="678FC8BF">
                  <w:pPr>
                    <w:spacing w:line="240" w:lineRule="exact"/>
                    <w:jc w:val="center"/>
                    <w:rPr>
                      <w:rFonts w:hint="default" w:ascii="Times New Roman" w:hAnsi="Times New Roman" w:cs="Times New Roman"/>
                      <w:sz w:val="18"/>
                      <w:szCs w:val="18"/>
                    </w:rPr>
                  </w:pPr>
                </w:p>
              </w:tc>
            </w:tr>
            <w:tr w14:paraId="0E563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97" w:hRule="atLeast"/>
                <w:jc w:val="center"/>
              </w:trPr>
              <w:tc>
                <w:tcPr>
                  <w:tcW w:w="463" w:type="dxa"/>
                  <w:tcBorders>
                    <w:top w:val="single" w:color="auto" w:sz="4" w:space="0"/>
                    <w:left w:val="single" w:color="auto" w:sz="4" w:space="0"/>
                    <w:bottom w:val="single" w:color="auto" w:sz="4" w:space="0"/>
                    <w:right w:val="single" w:color="auto" w:sz="4" w:space="0"/>
                  </w:tcBorders>
                  <w:vAlign w:val="center"/>
                </w:tcPr>
                <w:p w14:paraId="2A41EE51">
                  <w:pPr>
                    <w:pStyle w:val="1041"/>
                    <w:numPr>
                      <w:ilvl w:val="0"/>
                      <w:numId w:val="21"/>
                    </w:numPr>
                    <w:spacing w:line="240" w:lineRule="exact"/>
                    <w:ind w:firstLine="0" w:firstLineChars="0"/>
                    <w:jc w:val="center"/>
                    <w:rPr>
                      <w:rFonts w:hint="default" w:ascii="Times New Roman" w:hAnsi="Times New Roman" w:cs="Times New Roman"/>
                      <w:sz w:val="18"/>
                      <w:szCs w:val="18"/>
                    </w:rPr>
                  </w:pPr>
                </w:p>
              </w:tc>
              <w:tc>
                <w:tcPr>
                  <w:tcW w:w="727" w:type="dxa"/>
                  <w:tcBorders>
                    <w:top w:val="single" w:color="auto" w:sz="4" w:space="0"/>
                    <w:left w:val="single" w:color="auto" w:sz="4" w:space="0"/>
                    <w:bottom w:val="single" w:color="auto" w:sz="4" w:space="0"/>
                    <w:right w:val="single" w:color="auto" w:sz="4" w:space="0"/>
                  </w:tcBorders>
                  <w:vAlign w:val="center"/>
                </w:tcPr>
                <w:p w14:paraId="3D6A6ABD">
                  <w:pPr>
                    <w:autoSpaceDE w:val="0"/>
                    <w:autoSpaceDN w:val="0"/>
                    <w:adjustRightInd w:val="0"/>
                    <w:spacing w:line="240" w:lineRule="exact"/>
                    <w:jc w:val="center"/>
                    <w:rPr>
                      <w:rFonts w:hint="eastAsia" w:cs="Times New Roman"/>
                      <w:sz w:val="18"/>
                      <w:szCs w:val="18"/>
                      <w:lang w:eastAsia="zh-CN"/>
                    </w:rPr>
                  </w:pPr>
                  <w:r>
                    <w:rPr>
                      <w:rFonts w:hint="eastAsia" w:cs="Times New Roman"/>
                      <w:b w:val="0"/>
                      <w:bCs w:val="0"/>
                      <w:kern w:val="2"/>
                      <w:sz w:val="18"/>
                      <w:szCs w:val="18"/>
                      <w:lang w:val="en-US" w:eastAsia="zh-CN" w:bidi="ar-SA"/>
                    </w:rPr>
                    <w:t>废活性炭</w:t>
                  </w:r>
                </w:p>
              </w:tc>
              <w:tc>
                <w:tcPr>
                  <w:tcW w:w="726" w:type="dxa"/>
                  <w:tcBorders>
                    <w:top w:val="single" w:color="auto" w:sz="4" w:space="0"/>
                    <w:left w:val="single" w:color="auto" w:sz="4" w:space="0"/>
                    <w:bottom w:val="single" w:color="auto" w:sz="4" w:space="0"/>
                    <w:right w:val="single" w:color="auto" w:sz="4" w:space="0"/>
                  </w:tcBorders>
                  <w:vAlign w:val="center"/>
                </w:tcPr>
                <w:p w14:paraId="159D5A6D">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HW49</w:t>
                  </w:r>
                </w:p>
              </w:tc>
              <w:tc>
                <w:tcPr>
                  <w:tcW w:w="886" w:type="dxa"/>
                  <w:tcBorders>
                    <w:top w:val="single" w:color="auto" w:sz="4" w:space="0"/>
                    <w:left w:val="single" w:color="auto" w:sz="4" w:space="0"/>
                    <w:bottom w:val="single" w:color="auto" w:sz="4" w:space="0"/>
                    <w:right w:val="single" w:color="auto" w:sz="4" w:space="0"/>
                  </w:tcBorders>
                  <w:vAlign w:val="center"/>
                </w:tcPr>
                <w:p w14:paraId="0A405989">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highlight w:val="none"/>
                      <w:lang w:val="en-US" w:eastAsia="zh-CN"/>
                    </w:rPr>
                    <w:t>900-039-49</w:t>
                  </w:r>
                </w:p>
              </w:tc>
              <w:tc>
                <w:tcPr>
                  <w:tcW w:w="839" w:type="dxa"/>
                  <w:tcBorders>
                    <w:top w:val="single" w:color="auto" w:sz="4" w:space="0"/>
                    <w:left w:val="single" w:color="auto" w:sz="4" w:space="0"/>
                    <w:bottom w:val="single" w:color="auto" w:sz="4" w:space="0"/>
                    <w:right w:val="single" w:color="auto" w:sz="4" w:space="0"/>
                  </w:tcBorders>
                  <w:vAlign w:val="center"/>
                </w:tcPr>
                <w:p w14:paraId="390967C6">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4.41</w:t>
                  </w:r>
                </w:p>
              </w:tc>
              <w:tc>
                <w:tcPr>
                  <w:tcW w:w="628" w:type="dxa"/>
                  <w:tcBorders>
                    <w:top w:val="single" w:color="auto" w:sz="4" w:space="0"/>
                    <w:left w:val="single" w:color="auto" w:sz="4" w:space="0"/>
                    <w:bottom w:val="single" w:color="auto" w:sz="4" w:space="0"/>
                    <w:right w:val="single" w:color="auto" w:sz="4" w:space="0"/>
                  </w:tcBorders>
                  <w:vAlign w:val="center"/>
                </w:tcPr>
                <w:p w14:paraId="717E2FC3">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废气处理</w:t>
                  </w:r>
                </w:p>
              </w:tc>
              <w:tc>
                <w:tcPr>
                  <w:tcW w:w="615" w:type="dxa"/>
                  <w:tcBorders>
                    <w:top w:val="single" w:color="auto" w:sz="4" w:space="0"/>
                    <w:left w:val="single" w:color="auto" w:sz="4" w:space="0"/>
                    <w:bottom w:val="single" w:color="auto" w:sz="4" w:space="0"/>
                    <w:right w:val="single" w:color="auto" w:sz="4" w:space="0"/>
                  </w:tcBorders>
                  <w:vAlign w:val="center"/>
                </w:tcPr>
                <w:p w14:paraId="76DC2B80">
                  <w:pPr>
                    <w:autoSpaceDE w:val="0"/>
                    <w:autoSpaceDN w:val="0"/>
                    <w:adjustRightInd w:val="0"/>
                    <w:spacing w:line="240" w:lineRule="exact"/>
                    <w:jc w:val="center"/>
                    <w:rPr>
                      <w:rFonts w:hint="eastAsia" w:cs="Times New Roman"/>
                      <w:sz w:val="18"/>
                      <w:szCs w:val="18"/>
                      <w:lang w:eastAsia="zh-CN"/>
                    </w:rPr>
                  </w:pPr>
                  <w:r>
                    <w:rPr>
                      <w:rFonts w:hint="eastAsia" w:cs="Times New Roman"/>
                      <w:sz w:val="18"/>
                      <w:szCs w:val="18"/>
                      <w:lang w:eastAsia="zh-CN"/>
                    </w:rPr>
                    <w:t>固体</w:t>
                  </w:r>
                </w:p>
              </w:tc>
              <w:tc>
                <w:tcPr>
                  <w:tcW w:w="628" w:type="dxa"/>
                  <w:tcBorders>
                    <w:top w:val="single" w:color="auto" w:sz="4" w:space="0"/>
                    <w:left w:val="single" w:color="auto" w:sz="4" w:space="0"/>
                    <w:bottom w:val="single" w:color="auto" w:sz="4" w:space="0"/>
                    <w:right w:val="single" w:color="auto" w:sz="4" w:space="0"/>
                  </w:tcBorders>
                  <w:vAlign w:val="center"/>
                </w:tcPr>
                <w:p w14:paraId="3FA2C522">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沾染VOCs</w:t>
                  </w:r>
                </w:p>
              </w:tc>
              <w:tc>
                <w:tcPr>
                  <w:tcW w:w="839" w:type="dxa"/>
                  <w:tcBorders>
                    <w:top w:val="single" w:color="auto" w:sz="4" w:space="0"/>
                    <w:left w:val="single" w:color="auto" w:sz="4" w:space="0"/>
                    <w:bottom w:val="single" w:color="auto" w:sz="4" w:space="0"/>
                    <w:right w:val="single" w:color="auto" w:sz="4" w:space="0"/>
                  </w:tcBorders>
                  <w:vAlign w:val="center"/>
                </w:tcPr>
                <w:p w14:paraId="3A1805C8">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4.41</w:t>
                  </w:r>
                </w:p>
              </w:tc>
              <w:tc>
                <w:tcPr>
                  <w:tcW w:w="868" w:type="dxa"/>
                  <w:tcBorders>
                    <w:top w:val="single" w:color="auto" w:sz="4" w:space="0"/>
                    <w:left w:val="single" w:color="auto" w:sz="4" w:space="0"/>
                    <w:bottom w:val="single" w:color="auto" w:sz="4" w:space="0"/>
                    <w:right w:val="single" w:color="auto" w:sz="4" w:space="0"/>
                  </w:tcBorders>
                  <w:vAlign w:val="center"/>
                </w:tcPr>
                <w:p w14:paraId="5D3AC2C1">
                  <w:pPr>
                    <w:autoSpaceDE w:val="0"/>
                    <w:autoSpaceDN w:val="0"/>
                    <w:adjustRightInd w:val="0"/>
                    <w:spacing w:line="240" w:lineRule="exact"/>
                    <w:jc w:val="center"/>
                    <w:rPr>
                      <w:rFonts w:hint="default" w:cs="Times New Roman"/>
                      <w:sz w:val="18"/>
                      <w:szCs w:val="18"/>
                      <w:lang w:val="en-US" w:eastAsia="zh-CN"/>
                    </w:rPr>
                  </w:pPr>
                  <w:r>
                    <w:rPr>
                      <w:rFonts w:hint="eastAsia" w:cs="Times New Roman"/>
                      <w:sz w:val="18"/>
                      <w:szCs w:val="18"/>
                      <w:lang w:val="en-US" w:eastAsia="zh-CN"/>
                    </w:rPr>
                    <w:t>T/In</w:t>
                  </w:r>
                </w:p>
              </w:tc>
              <w:tc>
                <w:tcPr>
                  <w:tcW w:w="1064" w:type="dxa"/>
                  <w:vMerge w:val="continue"/>
                  <w:tcBorders>
                    <w:left w:val="single" w:color="auto" w:sz="4" w:space="0"/>
                    <w:right w:val="single" w:color="auto" w:sz="4" w:space="0"/>
                  </w:tcBorders>
                  <w:vAlign w:val="center"/>
                </w:tcPr>
                <w:p w14:paraId="3E30BDE8">
                  <w:pPr>
                    <w:spacing w:line="240" w:lineRule="exact"/>
                    <w:jc w:val="center"/>
                    <w:rPr>
                      <w:rFonts w:hint="default" w:ascii="Times New Roman" w:hAnsi="Times New Roman" w:cs="Times New Roman"/>
                      <w:sz w:val="18"/>
                      <w:szCs w:val="18"/>
                    </w:rPr>
                  </w:pPr>
                </w:p>
              </w:tc>
            </w:tr>
          </w:tbl>
          <w:p w14:paraId="280490FC">
            <w:pPr>
              <w:autoSpaceDE w:val="0"/>
              <w:autoSpaceDN w:val="0"/>
              <w:adjustRightInd w:val="0"/>
              <w:snapToGrid w:val="0"/>
              <w:spacing w:line="360" w:lineRule="auto"/>
              <w:ind w:firstLine="422" w:firstLineChars="200"/>
              <w:rPr>
                <w:b/>
                <w:bCs/>
              </w:rPr>
            </w:pPr>
            <w:r>
              <w:rPr>
                <w:b/>
                <w:bCs/>
              </w:rPr>
              <w:t>2、环境管理要求</w:t>
            </w:r>
          </w:p>
          <w:p w14:paraId="4528614E">
            <w:pPr>
              <w:autoSpaceDE w:val="0"/>
              <w:autoSpaceDN w:val="0"/>
              <w:adjustRightInd w:val="0"/>
              <w:snapToGrid w:val="0"/>
              <w:spacing w:line="360" w:lineRule="auto"/>
              <w:ind w:firstLine="420" w:firstLineChars="200"/>
            </w:pPr>
            <w:r>
              <w:rPr>
                <w:rFonts w:hint="default" w:ascii="Times New Roman" w:hAnsi="Times New Roman" w:cs="Times New Roman"/>
                <w:szCs w:val="21"/>
                <w:highlight w:val="none"/>
              </w:rPr>
              <w:t>一般固体废物执行《中华人民共和国固体废物污染环境防治法》相关要求，采取防扬散、防流失、防渗漏或者其他防止污染环境的措施，不得擅自倾倒、堆放、丢弃、遗撒，管理过程中应符合《一般工业固体废物管理台账制定指南（试行）》（公告 2021 年第 82 号）要求</w:t>
            </w:r>
            <w:r>
              <w:rPr>
                <w:rFonts w:hint="eastAsia"/>
                <w:highlight w:val="none"/>
                <w:lang w:eastAsia="zh-CN"/>
              </w:rPr>
              <w:t>。</w:t>
            </w:r>
            <w:r>
              <w:rPr>
                <w:highlight w:val="none"/>
              </w:rPr>
              <w:t>贮存区采取防风防雨措施；各类固废应分类收集；贮存区按照《环境保护图形标志——固体废物贮存（处置）场》（GB15562.2）的要求设置环保图形标志；指定专人进</w:t>
            </w:r>
            <w:r>
              <w:t>行日常管理</w:t>
            </w:r>
            <w:r>
              <w:rPr>
                <w:rFonts w:hint="eastAsia"/>
                <w:lang w:eastAsia="zh-CN"/>
              </w:rPr>
              <w:t>；做好一般固体废物台账记录，记录一般固废的产生及处置情况</w:t>
            </w:r>
            <w:r>
              <w:t>。</w:t>
            </w:r>
          </w:p>
          <w:p w14:paraId="0C39087D">
            <w:pPr>
              <w:spacing w:line="360" w:lineRule="auto"/>
              <w:ind w:firstLine="420" w:firstLineChars="200"/>
              <w:rPr>
                <w:color w:val="000000"/>
                <w:szCs w:val="21"/>
              </w:rPr>
            </w:pPr>
            <w:r>
              <w:rPr>
                <w:color w:val="000000"/>
                <w:szCs w:val="21"/>
              </w:rPr>
              <w:t>项目危险废物在存储过程中</w:t>
            </w:r>
            <w:r>
              <w:rPr>
                <w:rFonts w:hint="eastAsia"/>
                <w:color w:val="000000"/>
                <w:szCs w:val="21"/>
                <w:lang w:eastAsia="zh-CN"/>
              </w:rPr>
              <w:t>应</w:t>
            </w:r>
            <w:r>
              <w:rPr>
                <w:color w:val="000000"/>
                <w:szCs w:val="21"/>
              </w:rPr>
              <w:t>严格按照《危险废物贮存污染控制标准》（GB18597</w:t>
            </w:r>
            <w:r>
              <w:rPr>
                <w:rFonts w:hint="eastAsia"/>
                <w:color w:val="000000"/>
                <w:szCs w:val="21"/>
                <w:lang w:val="en-US" w:eastAsia="zh-CN"/>
              </w:rPr>
              <w:t>-2023</w:t>
            </w:r>
            <w:r>
              <w:rPr>
                <w:color w:val="000000"/>
                <w:szCs w:val="21"/>
              </w:rPr>
              <w:t>）要求</w:t>
            </w:r>
            <w:r>
              <w:rPr>
                <w:rFonts w:hint="eastAsia"/>
                <w:color w:val="000000"/>
                <w:szCs w:val="21"/>
                <w:lang w:eastAsia="zh-CN"/>
              </w:rPr>
              <w:t>进行</w:t>
            </w:r>
            <w:r>
              <w:rPr>
                <w:color w:val="000000"/>
                <w:szCs w:val="21"/>
              </w:rPr>
              <w:t>。</w:t>
            </w:r>
          </w:p>
          <w:p w14:paraId="11D9279A">
            <w:pPr>
              <w:spacing w:line="360" w:lineRule="auto"/>
              <w:ind w:firstLine="420" w:firstLineChars="200"/>
              <w:rPr>
                <w:color w:val="000000"/>
                <w:szCs w:val="21"/>
              </w:rPr>
            </w:pPr>
            <w:r>
              <w:rPr>
                <w:rFonts w:hint="eastAsia"/>
                <w:szCs w:val="21"/>
                <w:lang w:eastAsia="zh-CN"/>
              </w:rPr>
              <w:t>项目厂区</w:t>
            </w:r>
            <w:r>
              <w:rPr>
                <w:rFonts w:hint="eastAsia"/>
                <w:szCs w:val="21"/>
              </w:rPr>
              <w:t>内</w:t>
            </w:r>
            <w:r>
              <w:rPr>
                <w:rFonts w:hint="eastAsia"/>
                <w:szCs w:val="21"/>
                <w:lang w:eastAsia="zh-CN"/>
              </w:rPr>
              <w:t>拟建设</w:t>
            </w:r>
            <w:r>
              <w:rPr>
                <w:rFonts w:hint="eastAsia"/>
                <w:szCs w:val="21"/>
                <w:highlight w:val="none"/>
                <w:lang w:val="en-US" w:eastAsia="zh-CN"/>
              </w:rPr>
              <w:t>10</w:t>
            </w:r>
            <w:r>
              <w:rPr>
                <w:rFonts w:hint="eastAsia"/>
                <w:szCs w:val="21"/>
                <w:highlight w:val="none"/>
              </w:rPr>
              <w:t>m</w:t>
            </w:r>
            <w:r>
              <w:rPr>
                <w:rFonts w:hint="eastAsia"/>
                <w:szCs w:val="21"/>
                <w:highlight w:val="none"/>
                <w:vertAlign w:val="superscript"/>
              </w:rPr>
              <w:t>2</w:t>
            </w:r>
            <w:r>
              <w:rPr>
                <w:szCs w:val="21"/>
                <w:highlight w:val="none"/>
              </w:rPr>
              <w:t>危废</w:t>
            </w:r>
            <w:r>
              <w:rPr>
                <w:rFonts w:hint="eastAsia"/>
                <w:szCs w:val="21"/>
                <w:highlight w:val="none"/>
                <w:lang w:eastAsia="zh-CN"/>
              </w:rPr>
              <w:t>间</w:t>
            </w:r>
            <w:r>
              <w:rPr>
                <w:szCs w:val="21"/>
                <w:highlight w:val="none"/>
              </w:rPr>
              <w:t>1</w:t>
            </w:r>
            <w:r>
              <w:rPr>
                <w:rFonts w:hint="eastAsia"/>
                <w:szCs w:val="21"/>
                <w:highlight w:val="none"/>
                <w:lang w:eastAsia="zh-CN"/>
              </w:rPr>
              <w:t>座</w:t>
            </w:r>
            <w:r>
              <w:rPr>
                <w:rFonts w:hint="eastAsia"/>
                <w:szCs w:val="21"/>
                <w:lang w:eastAsia="zh-CN"/>
              </w:rPr>
              <w:t>，</w:t>
            </w:r>
            <w:r>
              <w:rPr>
                <w:rFonts w:hint="eastAsia"/>
                <w:szCs w:val="21"/>
                <w:highlight w:val="none"/>
                <w:lang w:eastAsia="zh-CN"/>
              </w:rPr>
              <w:t>高约</w:t>
            </w:r>
            <w:r>
              <w:rPr>
                <w:rFonts w:hint="eastAsia"/>
                <w:szCs w:val="21"/>
                <w:highlight w:val="none"/>
                <w:lang w:val="en-US" w:eastAsia="zh-CN"/>
              </w:rPr>
              <w:t>3m</w:t>
            </w:r>
            <w:r>
              <w:rPr>
                <w:rFonts w:hint="eastAsia"/>
                <w:szCs w:val="21"/>
                <w:highlight w:val="none"/>
              </w:rPr>
              <w:t>，位于</w:t>
            </w:r>
            <w:r>
              <w:rPr>
                <w:rFonts w:hint="eastAsia"/>
                <w:szCs w:val="21"/>
                <w:highlight w:val="none"/>
                <w:lang w:eastAsia="zh-CN"/>
              </w:rPr>
              <w:t>厂区南侧</w:t>
            </w:r>
            <w:r>
              <w:rPr>
                <w:rFonts w:hint="eastAsia"/>
                <w:szCs w:val="21"/>
              </w:rPr>
              <w:t>，该危废间用于存放</w:t>
            </w:r>
            <w:r>
              <w:rPr>
                <w:rFonts w:hint="eastAsia"/>
                <w:szCs w:val="21"/>
                <w:lang w:eastAsia="zh-CN"/>
              </w:rPr>
              <w:t>项目</w:t>
            </w:r>
            <w:r>
              <w:rPr>
                <w:rFonts w:hint="eastAsia"/>
                <w:szCs w:val="21"/>
              </w:rPr>
              <w:t>产生的</w:t>
            </w:r>
            <w:r>
              <w:rPr>
                <w:rFonts w:hint="eastAsia"/>
                <w:szCs w:val="21"/>
                <w:lang w:eastAsia="zh-CN"/>
              </w:rPr>
              <w:t>废机油、废液压油、废漆渣、废油漆桶、稀释剂桶、废过滤箱、过滤棉、废活性炭</w:t>
            </w:r>
            <w:r>
              <w:rPr>
                <w:rFonts w:hint="eastAsia"/>
                <w:bCs/>
                <w:sz w:val="21"/>
                <w:szCs w:val="21"/>
                <w:highlight w:val="none"/>
                <w:lang w:val="en-US" w:eastAsia="zh-CN"/>
              </w:rPr>
              <w:t>。</w:t>
            </w:r>
            <w:r>
              <w:rPr>
                <w:rFonts w:hint="eastAsia"/>
                <w:bCs/>
                <w:sz w:val="21"/>
                <w:szCs w:val="21"/>
                <w:highlight w:val="none"/>
                <w:vertAlign w:val="baseline"/>
                <w:lang w:val="en-US" w:eastAsia="zh-CN"/>
              </w:rPr>
              <w:t>项目建成后废机油产生0.05t/a，需使用1个标准油桶盛放，每年处置一次，占地面积约0.5</w:t>
            </w:r>
            <w:r>
              <w:rPr>
                <w:rFonts w:hint="eastAsia"/>
                <w:bCs/>
                <w:sz w:val="21"/>
                <w:szCs w:val="21"/>
                <w:highlight w:val="none"/>
                <w:lang w:val="en-US" w:eastAsia="zh-CN"/>
              </w:rPr>
              <w:t>m</w:t>
            </w:r>
            <w:r>
              <w:rPr>
                <w:rFonts w:hint="eastAsia"/>
                <w:bCs/>
                <w:sz w:val="21"/>
                <w:szCs w:val="21"/>
                <w:highlight w:val="none"/>
                <w:vertAlign w:val="superscript"/>
                <w:lang w:val="en-US" w:eastAsia="zh-CN"/>
              </w:rPr>
              <w:t>2</w:t>
            </w:r>
            <w:r>
              <w:rPr>
                <w:rFonts w:hint="eastAsia"/>
                <w:bCs/>
                <w:sz w:val="21"/>
                <w:szCs w:val="21"/>
                <w:highlight w:val="none"/>
                <w:vertAlign w:val="baseline"/>
                <w:lang w:val="en-US" w:eastAsia="zh-CN"/>
              </w:rPr>
              <w:t>；废液压油产生0.2t/a，需使用1个标准油桶盛放，每年处置一次，占地面积约0.5</w:t>
            </w:r>
            <w:r>
              <w:rPr>
                <w:rFonts w:hint="eastAsia"/>
                <w:bCs/>
                <w:sz w:val="21"/>
                <w:szCs w:val="21"/>
                <w:highlight w:val="none"/>
                <w:lang w:val="en-US" w:eastAsia="zh-CN"/>
              </w:rPr>
              <w:t>m</w:t>
            </w:r>
            <w:r>
              <w:rPr>
                <w:rFonts w:hint="eastAsia"/>
                <w:bCs/>
                <w:sz w:val="21"/>
                <w:szCs w:val="21"/>
                <w:highlight w:val="none"/>
                <w:vertAlign w:val="superscript"/>
                <w:lang w:val="en-US" w:eastAsia="zh-CN"/>
              </w:rPr>
              <w:t>2</w:t>
            </w:r>
            <w:r>
              <w:rPr>
                <w:rFonts w:hint="eastAsia"/>
                <w:bCs/>
                <w:sz w:val="21"/>
                <w:szCs w:val="21"/>
                <w:highlight w:val="none"/>
                <w:vertAlign w:val="baseline"/>
                <w:lang w:val="en-US" w:eastAsia="zh-CN"/>
              </w:rPr>
              <w:t>；废油漆桶、稀释剂桶约131个，密闭堆存，</w:t>
            </w:r>
            <w:r>
              <w:rPr>
                <w:rFonts w:hint="eastAsia"/>
                <w:bCs/>
                <w:highlight w:val="none"/>
                <w:lang w:val="en-US" w:eastAsia="zh-CN"/>
              </w:rPr>
              <w:t>所占空间约6m</w:t>
            </w:r>
            <w:r>
              <w:rPr>
                <w:rFonts w:hint="eastAsia"/>
                <w:bCs/>
                <w:highlight w:val="none"/>
                <w:vertAlign w:val="superscript"/>
                <w:lang w:val="en-US" w:eastAsia="zh-CN"/>
              </w:rPr>
              <w:t>3</w:t>
            </w:r>
            <w:r>
              <w:rPr>
                <w:rFonts w:hint="eastAsia"/>
                <w:bCs/>
                <w:highlight w:val="none"/>
                <w:vertAlign w:val="baseline"/>
                <w:lang w:val="en-US" w:eastAsia="zh-CN"/>
              </w:rPr>
              <w:t>，堆存高度约2m，每半年处置一次，危废仓库</w:t>
            </w:r>
            <w:r>
              <w:rPr>
                <w:rFonts w:hint="eastAsia"/>
                <w:bCs/>
                <w:highlight w:val="none"/>
                <w:lang w:val="en-US" w:eastAsia="zh-CN"/>
              </w:rPr>
              <w:t>占地约3m</w:t>
            </w:r>
            <w:r>
              <w:rPr>
                <w:rFonts w:hint="eastAsia"/>
                <w:bCs/>
                <w:highlight w:val="none"/>
                <w:vertAlign w:val="superscript"/>
                <w:lang w:val="en-US" w:eastAsia="zh-CN"/>
              </w:rPr>
              <w:t>2</w:t>
            </w:r>
            <w:r>
              <w:rPr>
                <w:rFonts w:hint="eastAsia"/>
                <w:bCs/>
                <w:sz w:val="21"/>
                <w:szCs w:val="21"/>
                <w:highlight w:val="none"/>
                <w:vertAlign w:val="baseline"/>
                <w:lang w:val="en-US" w:eastAsia="zh-CN"/>
              </w:rPr>
              <w:t>；</w:t>
            </w:r>
            <w:r>
              <w:rPr>
                <w:rFonts w:hint="eastAsia"/>
                <w:bCs/>
                <w:sz w:val="21"/>
                <w:szCs w:val="21"/>
                <w:highlight w:val="none"/>
                <w:lang w:val="en-US" w:eastAsia="zh-CN"/>
              </w:rPr>
              <w:t>废活性炭产生量为4.41t/a，</w:t>
            </w:r>
            <w:r>
              <w:rPr>
                <w:rFonts w:hint="eastAsia"/>
                <w:color w:val="000000"/>
                <w:sz w:val="21"/>
                <w:szCs w:val="21"/>
                <w:highlight w:val="none"/>
                <w:lang w:eastAsia="zh-CN"/>
              </w:rPr>
              <w:t>蜂窝活性炭密度约</w:t>
            </w:r>
            <w:r>
              <w:rPr>
                <w:rFonts w:hint="eastAsia"/>
                <w:color w:val="000000"/>
                <w:sz w:val="21"/>
                <w:szCs w:val="21"/>
                <w:highlight w:val="none"/>
                <w:lang w:val="en-US" w:eastAsia="zh-CN"/>
              </w:rPr>
              <w:t>0.4g/cm</w:t>
            </w:r>
            <w:r>
              <w:rPr>
                <w:rFonts w:hint="eastAsia"/>
                <w:color w:val="000000"/>
                <w:sz w:val="21"/>
                <w:szCs w:val="21"/>
                <w:highlight w:val="none"/>
                <w:vertAlign w:val="superscript"/>
                <w:lang w:val="en-US" w:eastAsia="zh-CN"/>
              </w:rPr>
              <w:t>3</w:t>
            </w:r>
            <w:r>
              <w:rPr>
                <w:rFonts w:hint="eastAsia"/>
                <w:bCs/>
                <w:highlight w:val="none"/>
                <w:lang w:val="en-US" w:eastAsia="zh-CN"/>
              </w:rPr>
              <w:t>，所占空间约11m</w:t>
            </w:r>
            <w:r>
              <w:rPr>
                <w:rFonts w:hint="eastAsia"/>
                <w:bCs/>
                <w:highlight w:val="none"/>
                <w:vertAlign w:val="superscript"/>
                <w:lang w:val="en-US" w:eastAsia="zh-CN"/>
              </w:rPr>
              <w:t>3</w:t>
            </w:r>
            <w:r>
              <w:rPr>
                <w:rFonts w:hint="eastAsia"/>
                <w:bCs/>
                <w:highlight w:val="none"/>
                <w:vertAlign w:val="baseline"/>
                <w:lang w:val="en-US" w:eastAsia="zh-CN"/>
              </w:rPr>
              <w:t>，按2m高箱装储存，每半年处置一次，危废仓库内所占地</w:t>
            </w:r>
            <w:r>
              <w:rPr>
                <w:rFonts w:hint="eastAsia"/>
                <w:bCs/>
                <w:highlight w:val="none"/>
                <w:lang w:val="en-US" w:eastAsia="zh-CN"/>
              </w:rPr>
              <w:t>约3m</w:t>
            </w:r>
            <w:r>
              <w:rPr>
                <w:rFonts w:hint="eastAsia"/>
                <w:bCs/>
                <w:highlight w:val="none"/>
                <w:vertAlign w:val="superscript"/>
                <w:lang w:val="en-US" w:eastAsia="zh-CN"/>
              </w:rPr>
              <w:t>2</w:t>
            </w:r>
            <w:r>
              <w:rPr>
                <w:rFonts w:hint="eastAsia"/>
                <w:bCs/>
                <w:highlight w:val="none"/>
                <w:lang w:val="de-DE" w:eastAsia="zh-CN"/>
              </w:rPr>
              <w:t>；</w:t>
            </w:r>
            <w:r>
              <w:rPr>
                <w:rFonts w:hint="eastAsia"/>
                <w:bCs/>
                <w:sz w:val="21"/>
                <w:szCs w:val="21"/>
                <w:highlight w:val="none"/>
                <w:lang w:val="en-US" w:eastAsia="zh-CN"/>
              </w:rPr>
              <w:t>废过滤箱、过滤棉产生量为0.853t/a，</w:t>
            </w:r>
            <w:r>
              <w:rPr>
                <w:rFonts w:hint="eastAsia"/>
                <w:bCs/>
                <w:highlight w:val="none"/>
                <w:lang w:val="en-US" w:eastAsia="zh-CN"/>
              </w:rPr>
              <w:t>所占空间约4m</w:t>
            </w:r>
            <w:r>
              <w:rPr>
                <w:rFonts w:hint="eastAsia"/>
                <w:bCs/>
                <w:highlight w:val="none"/>
                <w:vertAlign w:val="superscript"/>
                <w:lang w:val="en-US" w:eastAsia="zh-CN"/>
              </w:rPr>
              <w:t>3</w:t>
            </w:r>
            <w:r>
              <w:rPr>
                <w:rFonts w:hint="eastAsia"/>
                <w:bCs/>
                <w:highlight w:val="none"/>
                <w:vertAlign w:val="baseline"/>
                <w:lang w:val="en-US" w:eastAsia="zh-CN"/>
              </w:rPr>
              <w:t>，按2m高箱装储存，每半年处置一次，危废仓库所</w:t>
            </w:r>
            <w:r>
              <w:rPr>
                <w:rFonts w:hint="eastAsia"/>
                <w:bCs/>
                <w:highlight w:val="none"/>
                <w:lang w:val="en-US" w:eastAsia="zh-CN"/>
              </w:rPr>
              <w:t>占地约2m</w:t>
            </w:r>
            <w:r>
              <w:rPr>
                <w:rFonts w:hint="eastAsia"/>
                <w:bCs/>
                <w:highlight w:val="none"/>
                <w:vertAlign w:val="superscript"/>
                <w:lang w:val="en-US" w:eastAsia="zh-CN"/>
              </w:rPr>
              <w:t>2</w:t>
            </w:r>
            <w:r>
              <w:rPr>
                <w:rFonts w:hint="eastAsia"/>
                <w:bCs/>
                <w:highlight w:val="none"/>
                <w:lang w:val="de-DE" w:eastAsia="zh-CN"/>
              </w:rPr>
              <w:t>；废漆渣</w:t>
            </w:r>
            <w:r>
              <w:rPr>
                <w:rFonts w:hint="eastAsia"/>
                <w:bCs/>
                <w:sz w:val="21"/>
                <w:szCs w:val="21"/>
                <w:highlight w:val="none"/>
                <w:lang w:val="en-US" w:eastAsia="zh-CN"/>
              </w:rPr>
              <w:t>产生量为0.495t/a，</w:t>
            </w:r>
            <w:r>
              <w:rPr>
                <w:rFonts w:hint="eastAsia"/>
                <w:bCs/>
                <w:highlight w:val="none"/>
                <w:lang w:val="en-US" w:eastAsia="zh-CN"/>
              </w:rPr>
              <w:t>所占空间约1m</w:t>
            </w:r>
            <w:r>
              <w:rPr>
                <w:rFonts w:hint="eastAsia"/>
                <w:bCs/>
                <w:highlight w:val="none"/>
                <w:vertAlign w:val="superscript"/>
                <w:lang w:val="en-US" w:eastAsia="zh-CN"/>
              </w:rPr>
              <w:t>3</w:t>
            </w:r>
            <w:r>
              <w:rPr>
                <w:rFonts w:hint="eastAsia"/>
                <w:bCs/>
                <w:highlight w:val="none"/>
                <w:vertAlign w:val="baseline"/>
                <w:lang w:val="en-US" w:eastAsia="zh-CN"/>
              </w:rPr>
              <w:t>，每半年处置一次，危废仓库所占空间为0.5m</w:t>
            </w:r>
            <w:r>
              <w:rPr>
                <w:rFonts w:hint="eastAsia"/>
                <w:bCs/>
                <w:highlight w:val="none"/>
                <w:vertAlign w:val="superscript"/>
                <w:lang w:val="en-US" w:eastAsia="zh-CN"/>
              </w:rPr>
              <w:t>3</w:t>
            </w:r>
            <w:r>
              <w:rPr>
                <w:rFonts w:hint="eastAsia"/>
                <w:bCs/>
                <w:highlight w:val="none"/>
                <w:vertAlign w:val="baseline"/>
                <w:lang w:val="en-US" w:eastAsia="zh-CN"/>
              </w:rPr>
              <w:t>，</w:t>
            </w:r>
            <w:r>
              <w:rPr>
                <w:rFonts w:hint="eastAsia"/>
                <w:bCs/>
                <w:highlight w:val="none"/>
                <w:lang w:val="en-US" w:eastAsia="zh-CN"/>
              </w:rPr>
              <w:t>占地约0.5m</w:t>
            </w:r>
            <w:r>
              <w:rPr>
                <w:rFonts w:hint="eastAsia"/>
                <w:bCs/>
                <w:highlight w:val="none"/>
                <w:vertAlign w:val="superscript"/>
                <w:lang w:val="en-US" w:eastAsia="zh-CN"/>
              </w:rPr>
              <w:t>2</w:t>
            </w:r>
            <w:r>
              <w:rPr>
                <w:rFonts w:hint="eastAsia"/>
                <w:bCs/>
                <w:highlight w:val="none"/>
                <w:lang w:val="de-DE" w:eastAsia="zh-CN"/>
              </w:rPr>
              <w:t>；综上项目危险废物约需</w:t>
            </w:r>
            <w:r>
              <w:rPr>
                <w:rFonts w:hint="eastAsia"/>
                <w:bCs/>
                <w:highlight w:val="none"/>
                <w:lang w:val="en-US" w:eastAsia="zh-CN"/>
              </w:rPr>
              <w:t>9.5m</w:t>
            </w:r>
            <w:r>
              <w:rPr>
                <w:rFonts w:hint="eastAsia"/>
                <w:bCs/>
                <w:highlight w:val="none"/>
                <w:vertAlign w:val="superscript"/>
                <w:lang w:val="en-US" w:eastAsia="zh-CN"/>
              </w:rPr>
              <w:t>2</w:t>
            </w:r>
            <w:r>
              <w:rPr>
                <w:rFonts w:hint="eastAsia"/>
                <w:bCs/>
                <w:highlight w:val="none"/>
                <w:lang w:val="de-DE" w:eastAsia="zh-CN"/>
              </w:rPr>
              <w:t>占地面积，</w:t>
            </w:r>
            <w:r>
              <w:rPr>
                <w:rFonts w:hint="eastAsia"/>
                <w:bCs/>
                <w:sz w:val="21"/>
                <w:szCs w:val="21"/>
                <w:highlight w:val="none"/>
                <w:vertAlign w:val="baseline"/>
                <w:lang w:val="en-US" w:eastAsia="zh-CN"/>
              </w:rPr>
              <w:t>本项目完成后，10</w:t>
            </w:r>
            <w:r>
              <w:rPr>
                <w:rFonts w:hint="eastAsia"/>
                <w:bCs/>
                <w:highlight w:val="none"/>
                <w:lang w:val="en-US" w:eastAsia="zh-CN"/>
              </w:rPr>
              <w:t>m</w:t>
            </w:r>
            <w:r>
              <w:rPr>
                <w:rFonts w:hint="eastAsia"/>
                <w:bCs/>
                <w:highlight w:val="none"/>
                <w:vertAlign w:val="superscript"/>
                <w:lang w:val="en-US" w:eastAsia="zh-CN"/>
              </w:rPr>
              <w:t>2</w:t>
            </w:r>
            <w:r>
              <w:rPr>
                <w:szCs w:val="21"/>
              </w:rPr>
              <w:t>危废暂存间</w:t>
            </w:r>
            <w:r>
              <w:rPr>
                <w:rFonts w:hint="eastAsia"/>
                <w:szCs w:val="21"/>
              </w:rPr>
              <w:t>可以满足存放要求。</w:t>
            </w:r>
            <w:r>
              <w:rPr>
                <w:color w:val="000000"/>
                <w:szCs w:val="21"/>
              </w:rPr>
              <w:t>危险废物储存在该危险废物暂存间中，分类储存，严谨烟火和外人出入。</w:t>
            </w:r>
            <w:r>
              <w:rPr>
                <w:szCs w:val="21"/>
              </w:rPr>
              <w:t>危废</w:t>
            </w:r>
            <w:r>
              <w:rPr>
                <w:rFonts w:hint="eastAsia"/>
                <w:szCs w:val="21"/>
                <w:lang w:eastAsia="zh-CN"/>
              </w:rPr>
              <w:t>仓库</w:t>
            </w:r>
            <w:r>
              <w:rPr>
                <w:color w:val="000000"/>
                <w:szCs w:val="21"/>
              </w:rPr>
              <w:t>地面做硬化处理，设置围堰，不同种类的危险废物分类存放。危废暂存间设置相应的环境保护图形标志。</w:t>
            </w:r>
          </w:p>
          <w:p w14:paraId="0085B27C">
            <w:pPr>
              <w:autoSpaceDE w:val="0"/>
              <w:autoSpaceDN w:val="0"/>
              <w:adjustRightInd w:val="0"/>
              <w:spacing w:line="420" w:lineRule="exact"/>
              <w:ind w:firstLine="25" w:firstLineChars="12"/>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表4-</w:t>
            </w:r>
            <w:r>
              <w:rPr>
                <w:rFonts w:hint="default" w:ascii="Times New Roman" w:hAnsi="Times New Roman" w:eastAsia="宋体" w:cs="Times New Roman"/>
                <w:b/>
                <w:bCs/>
                <w:szCs w:val="21"/>
                <w:lang w:val="en-US" w:eastAsia="zh-CN"/>
              </w:rPr>
              <w:t>2</w:t>
            </w:r>
            <w:r>
              <w:rPr>
                <w:rFonts w:hint="eastAsia" w:ascii="Times New Roman" w:hAnsi="Times New Roman" w:eastAsia="宋体" w:cs="Times New Roman"/>
                <w:b/>
                <w:bCs/>
                <w:szCs w:val="21"/>
                <w:lang w:val="en-US" w:eastAsia="zh-CN"/>
              </w:rPr>
              <w:t>7</w:t>
            </w:r>
            <w:r>
              <w:rPr>
                <w:rFonts w:hint="default" w:ascii="Times New Roman" w:hAnsi="Times New Roman" w:eastAsia="宋体" w:cs="Times New Roman"/>
                <w:b/>
                <w:bCs/>
                <w:szCs w:val="21"/>
              </w:rPr>
              <w:t>项目危险废物贮存场所（设施）基本情况表</w:t>
            </w:r>
          </w:p>
          <w:tbl>
            <w:tblPr>
              <w:tblStyle w:val="81"/>
              <w:tblW w:w="4949"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108" w:type="dxa"/>
                <w:bottom w:w="0" w:type="dxa"/>
                <w:right w:w="108" w:type="dxa"/>
              </w:tblCellMar>
            </w:tblPr>
            <w:tblGrid>
              <w:gridCol w:w="433"/>
              <w:gridCol w:w="1035"/>
              <w:gridCol w:w="1140"/>
              <w:gridCol w:w="765"/>
              <w:gridCol w:w="1385"/>
              <w:gridCol w:w="799"/>
              <w:gridCol w:w="651"/>
              <w:gridCol w:w="1249"/>
              <w:gridCol w:w="832"/>
            </w:tblGrid>
            <w:tr w14:paraId="2C66BAD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3" w:type="dxa"/>
                  <w:tcBorders>
                    <w:top w:val="single" w:color="auto" w:sz="2" w:space="0"/>
                    <w:left w:val="single" w:color="auto" w:sz="2" w:space="0"/>
                    <w:bottom w:val="single" w:color="auto" w:sz="2" w:space="0"/>
                    <w:right w:val="single" w:color="auto" w:sz="2" w:space="0"/>
                  </w:tcBorders>
                  <w:vAlign w:val="center"/>
                </w:tcPr>
                <w:p w14:paraId="13945193">
                  <w:pPr>
                    <w:spacing w:beforeLines="50"/>
                    <w:ind w:left="-143" w:leftChars="-68" w:right="-124" w:rightChars="-59"/>
                    <w:jc w:val="center"/>
                    <w:rPr>
                      <w:rFonts w:hint="default" w:ascii="Times New Roman" w:hAnsi="Times New Roman" w:cs="Times New Roman"/>
                      <w:b/>
                      <w:sz w:val="18"/>
                      <w:szCs w:val="18"/>
                    </w:rPr>
                  </w:pPr>
                  <w:r>
                    <w:rPr>
                      <w:rFonts w:hint="default" w:ascii="Times New Roman" w:hAnsi="Times New Roman" w:cs="Times New Roman"/>
                      <w:b/>
                      <w:sz w:val="18"/>
                      <w:szCs w:val="18"/>
                    </w:rPr>
                    <w:t>序号</w:t>
                  </w:r>
                </w:p>
              </w:tc>
              <w:tc>
                <w:tcPr>
                  <w:tcW w:w="1035" w:type="dxa"/>
                  <w:tcBorders>
                    <w:top w:val="single" w:color="auto" w:sz="2" w:space="0"/>
                    <w:left w:val="single" w:color="auto" w:sz="2" w:space="0"/>
                    <w:bottom w:val="single" w:color="auto" w:sz="2" w:space="0"/>
                    <w:right w:val="single" w:color="auto" w:sz="2" w:space="0"/>
                  </w:tcBorders>
                  <w:vAlign w:val="center"/>
                </w:tcPr>
                <w:p w14:paraId="1E758A90">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贮存场所</w:t>
                  </w:r>
                </w:p>
                <w:p w14:paraId="3381B858">
                  <w:pPr>
                    <w:jc w:val="center"/>
                    <w:rPr>
                      <w:rFonts w:hint="default" w:ascii="Times New Roman" w:hAnsi="Times New Roman" w:cs="Times New Roman"/>
                      <w:sz w:val="18"/>
                      <w:szCs w:val="18"/>
                    </w:rPr>
                  </w:pPr>
                  <w:r>
                    <w:rPr>
                      <w:rFonts w:hint="default" w:ascii="Times New Roman" w:hAnsi="Times New Roman" w:cs="Times New Roman"/>
                      <w:b/>
                      <w:bCs/>
                      <w:sz w:val="18"/>
                      <w:szCs w:val="18"/>
                    </w:rPr>
                    <w:t>名称</w:t>
                  </w:r>
                </w:p>
              </w:tc>
              <w:tc>
                <w:tcPr>
                  <w:tcW w:w="1140" w:type="dxa"/>
                  <w:tcBorders>
                    <w:top w:val="single" w:color="auto" w:sz="2" w:space="0"/>
                    <w:left w:val="single" w:color="auto" w:sz="2" w:space="0"/>
                    <w:bottom w:val="single" w:color="auto" w:sz="2" w:space="0"/>
                    <w:right w:val="single" w:color="auto" w:sz="2" w:space="0"/>
                  </w:tcBorders>
                  <w:vAlign w:val="center"/>
                </w:tcPr>
                <w:p w14:paraId="687712E2">
                  <w:pPr>
                    <w:spacing w:beforeLines="50"/>
                    <w:ind w:left="-143" w:leftChars="-68" w:right="-124" w:rightChars="-59"/>
                    <w:jc w:val="center"/>
                    <w:rPr>
                      <w:rFonts w:hint="default" w:ascii="Times New Roman" w:hAnsi="Times New Roman" w:cs="Times New Roman"/>
                      <w:b/>
                      <w:sz w:val="18"/>
                      <w:szCs w:val="18"/>
                    </w:rPr>
                  </w:pPr>
                  <w:r>
                    <w:rPr>
                      <w:rFonts w:hint="default" w:ascii="Times New Roman" w:hAnsi="Times New Roman" w:cs="Times New Roman"/>
                      <w:b/>
                      <w:sz w:val="18"/>
                      <w:szCs w:val="18"/>
                    </w:rPr>
                    <w:t>危险废物名称</w:t>
                  </w:r>
                </w:p>
              </w:tc>
              <w:tc>
                <w:tcPr>
                  <w:tcW w:w="765" w:type="dxa"/>
                  <w:tcBorders>
                    <w:top w:val="single" w:color="auto" w:sz="2" w:space="0"/>
                    <w:left w:val="single" w:color="auto" w:sz="2" w:space="0"/>
                    <w:bottom w:val="single" w:color="auto" w:sz="2" w:space="0"/>
                    <w:right w:val="single" w:color="auto" w:sz="2" w:space="0"/>
                  </w:tcBorders>
                  <w:vAlign w:val="center"/>
                </w:tcPr>
                <w:p w14:paraId="2151AD35">
                  <w:pPr>
                    <w:spacing w:beforeLines="50"/>
                    <w:ind w:left="-143" w:leftChars="-68" w:right="-124" w:rightChars="-59"/>
                    <w:jc w:val="center"/>
                    <w:rPr>
                      <w:rFonts w:hint="default" w:ascii="Times New Roman" w:hAnsi="Times New Roman" w:cs="Times New Roman"/>
                      <w:b/>
                      <w:sz w:val="18"/>
                      <w:szCs w:val="18"/>
                    </w:rPr>
                  </w:pPr>
                  <w:r>
                    <w:rPr>
                      <w:rFonts w:hint="default" w:ascii="Times New Roman" w:hAnsi="Times New Roman" w:cs="Times New Roman"/>
                      <w:b/>
                      <w:sz w:val="18"/>
                      <w:szCs w:val="18"/>
                    </w:rPr>
                    <w:t>危险废物类别</w:t>
                  </w:r>
                </w:p>
              </w:tc>
              <w:tc>
                <w:tcPr>
                  <w:tcW w:w="1385" w:type="dxa"/>
                  <w:tcBorders>
                    <w:top w:val="single" w:color="auto" w:sz="2" w:space="0"/>
                    <w:left w:val="single" w:color="auto" w:sz="2" w:space="0"/>
                    <w:bottom w:val="single" w:color="auto" w:sz="2" w:space="0"/>
                    <w:right w:val="single" w:color="auto" w:sz="2" w:space="0"/>
                  </w:tcBorders>
                  <w:vAlign w:val="center"/>
                </w:tcPr>
                <w:p w14:paraId="29C4A14E">
                  <w:pPr>
                    <w:jc w:val="center"/>
                    <w:rPr>
                      <w:rFonts w:hint="default" w:ascii="Times New Roman" w:hAnsi="Times New Roman" w:cs="Times New Roman"/>
                      <w:b/>
                      <w:sz w:val="18"/>
                      <w:szCs w:val="18"/>
                    </w:rPr>
                  </w:pPr>
                  <w:r>
                    <w:rPr>
                      <w:rFonts w:hint="default" w:ascii="Times New Roman" w:hAnsi="Times New Roman" w:cs="Times New Roman"/>
                      <w:b/>
                      <w:bCs/>
                      <w:sz w:val="18"/>
                      <w:szCs w:val="18"/>
                    </w:rPr>
                    <w:t>危险废物代码</w:t>
                  </w:r>
                </w:p>
              </w:tc>
              <w:tc>
                <w:tcPr>
                  <w:tcW w:w="799" w:type="dxa"/>
                  <w:tcBorders>
                    <w:top w:val="single" w:color="auto" w:sz="2" w:space="0"/>
                    <w:left w:val="single" w:color="auto" w:sz="2" w:space="0"/>
                    <w:bottom w:val="single" w:color="auto" w:sz="2" w:space="0"/>
                    <w:right w:val="single" w:color="auto" w:sz="2" w:space="0"/>
                  </w:tcBorders>
                  <w:vAlign w:val="center"/>
                </w:tcPr>
                <w:p w14:paraId="74E9CB01">
                  <w:pPr>
                    <w:spacing w:beforeLines="50"/>
                    <w:ind w:left="-143" w:leftChars="-68" w:right="-124" w:rightChars="-59"/>
                    <w:jc w:val="center"/>
                    <w:rPr>
                      <w:rFonts w:hint="default" w:ascii="Times New Roman" w:hAnsi="Times New Roman" w:cs="Times New Roman"/>
                      <w:b/>
                      <w:sz w:val="18"/>
                      <w:szCs w:val="18"/>
                    </w:rPr>
                  </w:pPr>
                  <w:r>
                    <w:rPr>
                      <w:rFonts w:hint="default" w:ascii="Times New Roman" w:hAnsi="Times New Roman" w:cs="Times New Roman"/>
                      <w:b/>
                      <w:sz w:val="18"/>
                      <w:szCs w:val="18"/>
                    </w:rPr>
                    <w:t>位置</w:t>
                  </w:r>
                </w:p>
              </w:tc>
              <w:tc>
                <w:tcPr>
                  <w:tcW w:w="651" w:type="dxa"/>
                  <w:tcBorders>
                    <w:top w:val="single" w:color="auto" w:sz="2" w:space="0"/>
                    <w:left w:val="single" w:color="auto" w:sz="2" w:space="0"/>
                    <w:bottom w:val="single" w:color="auto" w:sz="2" w:space="0"/>
                    <w:right w:val="single" w:color="auto" w:sz="2" w:space="0"/>
                  </w:tcBorders>
                  <w:vAlign w:val="center"/>
                </w:tcPr>
                <w:p w14:paraId="46A1B6D4">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sz w:val="18"/>
                      <w:szCs w:val="18"/>
                    </w:rPr>
                  </w:pPr>
                  <w:r>
                    <w:rPr>
                      <w:rFonts w:hint="default" w:ascii="Times New Roman" w:hAnsi="Times New Roman" w:cs="Times New Roman"/>
                      <w:b/>
                      <w:sz w:val="18"/>
                      <w:szCs w:val="18"/>
                    </w:rPr>
                    <w:t>占地</w:t>
                  </w:r>
                </w:p>
                <w:p w14:paraId="2677C0B5">
                  <w:pPr>
                    <w:keepNext w:val="0"/>
                    <w:keepLines w:val="0"/>
                    <w:pageBreakBefore w:val="0"/>
                    <w:widowControl w:val="0"/>
                    <w:kinsoku/>
                    <w:wordWrap/>
                    <w:overflowPunct/>
                    <w:topLinePunct w:val="0"/>
                    <w:autoSpaceDE/>
                    <w:autoSpaceDN/>
                    <w:bidi w:val="0"/>
                    <w:adjustRightInd/>
                    <w:snapToGrid/>
                    <w:ind w:left="0" w:leftChars="0" w:right="0" w:rightChars="0"/>
                    <w:jc w:val="center"/>
                    <w:textAlignment w:val="auto"/>
                    <w:rPr>
                      <w:rFonts w:hint="default" w:ascii="Times New Roman" w:hAnsi="Times New Roman" w:cs="Times New Roman"/>
                      <w:b/>
                      <w:sz w:val="18"/>
                      <w:szCs w:val="18"/>
                    </w:rPr>
                  </w:pPr>
                  <w:r>
                    <w:rPr>
                      <w:rFonts w:hint="default" w:ascii="Times New Roman" w:hAnsi="Times New Roman" w:cs="Times New Roman"/>
                      <w:b/>
                      <w:sz w:val="18"/>
                      <w:szCs w:val="18"/>
                    </w:rPr>
                    <w:t>面积</w:t>
                  </w:r>
                </w:p>
              </w:tc>
              <w:tc>
                <w:tcPr>
                  <w:tcW w:w="1249" w:type="dxa"/>
                  <w:tcBorders>
                    <w:top w:val="single" w:color="auto" w:sz="2" w:space="0"/>
                    <w:left w:val="single" w:color="auto" w:sz="2" w:space="0"/>
                    <w:bottom w:val="single" w:color="auto" w:sz="2" w:space="0"/>
                    <w:right w:val="single" w:color="auto" w:sz="2" w:space="0"/>
                  </w:tcBorders>
                  <w:vAlign w:val="center"/>
                </w:tcPr>
                <w:p w14:paraId="0371B61D">
                  <w:pPr>
                    <w:spacing w:beforeLines="50"/>
                    <w:ind w:left="-143" w:leftChars="-68" w:right="-124" w:rightChars="-59"/>
                    <w:jc w:val="center"/>
                    <w:rPr>
                      <w:rFonts w:hint="default" w:ascii="Times New Roman" w:hAnsi="Times New Roman" w:cs="Times New Roman"/>
                      <w:b/>
                      <w:sz w:val="18"/>
                      <w:szCs w:val="18"/>
                    </w:rPr>
                  </w:pPr>
                  <w:r>
                    <w:rPr>
                      <w:rFonts w:hint="default" w:ascii="Times New Roman" w:hAnsi="Times New Roman" w:cs="Times New Roman"/>
                      <w:b/>
                      <w:sz w:val="18"/>
                      <w:szCs w:val="18"/>
                    </w:rPr>
                    <w:t>贮存方式</w:t>
                  </w:r>
                </w:p>
              </w:tc>
              <w:tc>
                <w:tcPr>
                  <w:tcW w:w="832" w:type="dxa"/>
                  <w:tcBorders>
                    <w:top w:val="single" w:color="auto" w:sz="2" w:space="0"/>
                    <w:left w:val="single" w:color="auto" w:sz="2" w:space="0"/>
                    <w:bottom w:val="single" w:color="auto" w:sz="2" w:space="0"/>
                    <w:right w:val="single" w:color="auto" w:sz="2" w:space="0"/>
                  </w:tcBorders>
                  <w:vAlign w:val="center"/>
                </w:tcPr>
                <w:p w14:paraId="14AC007E">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贮存</w:t>
                  </w:r>
                </w:p>
                <w:p w14:paraId="7CAE3A54">
                  <w:pPr>
                    <w:jc w:val="center"/>
                    <w:rPr>
                      <w:rFonts w:hint="default" w:ascii="Times New Roman" w:hAnsi="Times New Roman" w:cs="Times New Roman"/>
                      <w:b/>
                      <w:bCs/>
                      <w:sz w:val="18"/>
                      <w:szCs w:val="18"/>
                    </w:rPr>
                  </w:pPr>
                  <w:r>
                    <w:rPr>
                      <w:rFonts w:hint="default" w:ascii="Times New Roman" w:hAnsi="Times New Roman" w:cs="Times New Roman"/>
                      <w:b/>
                      <w:bCs/>
                      <w:sz w:val="18"/>
                      <w:szCs w:val="18"/>
                    </w:rPr>
                    <w:t>周期</w:t>
                  </w:r>
                </w:p>
              </w:tc>
            </w:tr>
            <w:tr w14:paraId="2BD50FBB">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3" w:type="dxa"/>
                  <w:tcBorders>
                    <w:top w:val="single" w:color="auto" w:sz="2" w:space="0"/>
                    <w:left w:val="single" w:color="auto" w:sz="2" w:space="0"/>
                    <w:bottom w:val="single" w:color="auto" w:sz="2" w:space="0"/>
                    <w:right w:val="single" w:color="auto" w:sz="2" w:space="0"/>
                  </w:tcBorders>
                  <w:vAlign w:val="center"/>
                </w:tcPr>
                <w:p w14:paraId="6A7A5FFA">
                  <w:pPr>
                    <w:pStyle w:val="1041"/>
                    <w:numPr>
                      <w:ilvl w:val="0"/>
                      <w:numId w:val="22"/>
                    </w:numPr>
                    <w:spacing w:beforeLines="50"/>
                    <w:ind w:right="-124" w:rightChars="-59" w:firstLine="0" w:firstLineChars="0"/>
                    <w:jc w:val="center"/>
                    <w:rPr>
                      <w:rStyle w:val="227"/>
                      <w:rFonts w:hint="default" w:ascii="Times New Roman" w:hAnsi="Times New Roman" w:cs="Times New Roman"/>
                      <w:sz w:val="18"/>
                      <w:szCs w:val="18"/>
                    </w:rPr>
                  </w:pPr>
                </w:p>
              </w:tc>
              <w:tc>
                <w:tcPr>
                  <w:tcW w:w="1035" w:type="dxa"/>
                  <w:vMerge w:val="restart"/>
                  <w:tcBorders>
                    <w:top w:val="single" w:color="auto" w:sz="2" w:space="0"/>
                    <w:left w:val="single" w:color="auto" w:sz="2" w:space="0"/>
                    <w:right w:val="single" w:color="auto" w:sz="2" w:space="0"/>
                  </w:tcBorders>
                  <w:vAlign w:val="center"/>
                </w:tcPr>
                <w:p w14:paraId="6BEE7422">
                  <w:pPr>
                    <w:autoSpaceDE w:val="0"/>
                    <w:autoSpaceDN w:val="0"/>
                    <w:adjustRightIn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危废间</w:t>
                  </w:r>
                </w:p>
              </w:tc>
              <w:tc>
                <w:tcPr>
                  <w:tcW w:w="1140" w:type="dxa"/>
                  <w:tcBorders>
                    <w:top w:val="single" w:color="auto" w:sz="2" w:space="0"/>
                    <w:left w:val="single" w:color="auto" w:sz="2" w:space="0"/>
                    <w:bottom w:val="single" w:color="auto" w:sz="2" w:space="0"/>
                    <w:right w:val="single" w:color="auto" w:sz="2" w:space="0"/>
                  </w:tcBorders>
                  <w:vAlign w:val="center"/>
                </w:tcPr>
                <w:p w14:paraId="1CA317D8">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bCs/>
                      <w:sz w:val="18"/>
                      <w:szCs w:val="18"/>
                      <w:highlight w:val="none"/>
                      <w:lang w:eastAsia="zh-CN"/>
                    </w:rPr>
                    <w:t>废</w:t>
                  </w:r>
                  <w:r>
                    <w:rPr>
                      <w:rFonts w:hint="eastAsia" w:ascii="Times New Roman" w:hAnsi="Times New Roman" w:cs="Times New Roman"/>
                      <w:b w:val="0"/>
                      <w:bCs w:val="0"/>
                      <w:kern w:val="2"/>
                      <w:sz w:val="18"/>
                      <w:szCs w:val="18"/>
                      <w:lang w:val="en-US" w:eastAsia="zh-CN" w:bidi="ar-SA"/>
                    </w:rPr>
                    <w:t>油漆桶、稀释剂桶</w:t>
                  </w:r>
                </w:p>
              </w:tc>
              <w:tc>
                <w:tcPr>
                  <w:tcW w:w="765" w:type="dxa"/>
                  <w:tcBorders>
                    <w:top w:val="single" w:color="auto" w:sz="2" w:space="0"/>
                    <w:left w:val="single" w:color="auto" w:sz="2" w:space="0"/>
                    <w:bottom w:val="single" w:color="auto" w:sz="2" w:space="0"/>
                    <w:right w:val="single" w:color="auto" w:sz="2" w:space="0"/>
                  </w:tcBorders>
                  <w:vAlign w:val="center"/>
                </w:tcPr>
                <w:p w14:paraId="6954FB8A">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eastAsia" w:cs="Times New Roman"/>
                      <w:sz w:val="18"/>
                      <w:szCs w:val="18"/>
                      <w:lang w:val="en-US" w:eastAsia="zh-CN"/>
                    </w:rPr>
                    <w:t>HW12</w:t>
                  </w:r>
                </w:p>
              </w:tc>
              <w:tc>
                <w:tcPr>
                  <w:tcW w:w="1385" w:type="dxa"/>
                  <w:tcBorders>
                    <w:top w:val="single" w:color="auto" w:sz="2" w:space="0"/>
                    <w:left w:val="single" w:color="auto" w:sz="2" w:space="0"/>
                    <w:bottom w:val="single" w:color="auto" w:sz="2" w:space="0"/>
                    <w:right w:val="single" w:color="auto" w:sz="2" w:space="0"/>
                  </w:tcBorders>
                  <w:vAlign w:val="center"/>
                </w:tcPr>
                <w:p w14:paraId="7E7598B6">
                  <w:pPr>
                    <w:autoSpaceDE w:val="0"/>
                    <w:autoSpaceDN w:val="0"/>
                    <w:adjustRightInd w:val="0"/>
                    <w:spacing w:line="240" w:lineRule="exact"/>
                    <w:jc w:val="center"/>
                    <w:rPr>
                      <w:rFonts w:hint="default"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900-252-12</w:t>
                  </w:r>
                </w:p>
              </w:tc>
              <w:tc>
                <w:tcPr>
                  <w:tcW w:w="799" w:type="dxa"/>
                  <w:vMerge w:val="restart"/>
                  <w:tcBorders>
                    <w:top w:val="single" w:color="auto" w:sz="2" w:space="0"/>
                    <w:left w:val="single" w:color="auto" w:sz="2" w:space="0"/>
                    <w:right w:val="single" w:color="auto" w:sz="2" w:space="0"/>
                  </w:tcBorders>
                  <w:vAlign w:val="center"/>
                </w:tcPr>
                <w:p w14:paraId="1D0D568D">
                  <w:pPr>
                    <w:autoSpaceDE w:val="0"/>
                    <w:autoSpaceDN w:val="0"/>
                    <w:adjustRightInd w:val="0"/>
                    <w:spacing w:line="30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eastAsia="zh-CN"/>
                    </w:rPr>
                    <w:t>厂区南侧</w:t>
                  </w:r>
                </w:p>
              </w:tc>
              <w:tc>
                <w:tcPr>
                  <w:tcW w:w="651" w:type="dxa"/>
                  <w:tcBorders>
                    <w:top w:val="single" w:color="auto" w:sz="2" w:space="0"/>
                    <w:left w:val="single" w:color="auto" w:sz="2" w:space="0"/>
                    <w:bottom w:val="single" w:color="auto" w:sz="2" w:space="0"/>
                    <w:right w:val="single" w:color="auto" w:sz="2" w:space="0"/>
                  </w:tcBorders>
                  <w:vAlign w:val="center"/>
                </w:tcPr>
                <w:p w14:paraId="10C11D54">
                  <w:pPr>
                    <w:autoSpaceDE w:val="0"/>
                    <w:autoSpaceDN w:val="0"/>
                    <w:adjustRightInd w:val="0"/>
                    <w:spacing w:line="300" w:lineRule="exact"/>
                    <w:jc w:val="center"/>
                    <w:rPr>
                      <w:rFonts w:hint="default" w:ascii="Times New Roman" w:hAnsi="Times New Roman" w:cs="Times New Roman"/>
                      <w:sz w:val="18"/>
                      <w:szCs w:val="18"/>
                    </w:rPr>
                  </w:pPr>
                  <w:r>
                    <w:rPr>
                      <w:rFonts w:hint="eastAsia" w:cs="Times New Roman"/>
                      <w:sz w:val="18"/>
                      <w:szCs w:val="18"/>
                      <w:lang w:val="en-US" w:eastAsia="zh-CN"/>
                    </w:rPr>
                    <w:t>3</w:t>
                  </w: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p>
              </w:tc>
              <w:tc>
                <w:tcPr>
                  <w:tcW w:w="1249" w:type="dxa"/>
                  <w:tcBorders>
                    <w:top w:val="single" w:color="auto" w:sz="2" w:space="0"/>
                    <w:left w:val="single" w:color="auto" w:sz="2" w:space="0"/>
                    <w:bottom w:val="single" w:color="auto" w:sz="2" w:space="0"/>
                    <w:right w:val="single" w:color="auto" w:sz="2" w:space="0"/>
                  </w:tcBorders>
                  <w:vAlign w:val="center"/>
                </w:tcPr>
                <w:p w14:paraId="228D1976">
                  <w:pPr>
                    <w:autoSpaceDE w:val="0"/>
                    <w:autoSpaceDN w:val="0"/>
                    <w:adjustRightInd w:val="0"/>
                    <w:spacing w:line="300" w:lineRule="exact"/>
                    <w:jc w:val="center"/>
                    <w:rPr>
                      <w:rFonts w:hint="eastAsia" w:ascii="Times New Roman" w:hAnsi="Times New Roman" w:eastAsia="宋体" w:cs="Times New Roman"/>
                      <w:sz w:val="18"/>
                      <w:szCs w:val="18"/>
                      <w:lang w:eastAsia="zh-CN"/>
                    </w:rPr>
                  </w:pPr>
                  <w:r>
                    <w:rPr>
                      <w:rFonts w:hint="eastAsia" w:cs="Times New Roman"/>
                      <w:sz w:val="18"/>
                      <w:szCs w:val="18"/>
                      <w:lang w:eastAsia="zh-CN"/>
                    </w:rPr>
                    <w:t>密闭堆存</w:t>
                  </w:r>
                </w:p>
              </w:tc>
              <w:tc>
                <w:tcPr>
                  <w:tcW w:w="832" w:type="dxa"/>
                  <w:tcBorders>
                    <w:top w:val="single" w:color="auto" w:sz="2" w:space="0"/>
                    <w:left w:val="single" w:color="auto" w:sz="2" w:space="0"/>
                    <w:bottom w:val="single" w:color="auto" w:sz="2" w:space="0"/>
                    <w:right w:val="single" w:color="auto" w:sz="2" w:space="0"/>
                  </w:tcBorders>
                  <w:vAlign w:val="center"/>
                </w:tcPr>
                <w:p w14:paraId="29D0F62A">
                  <w:pPr>
                    <w:autoSpaceDE w:val="0"/>
                    <w:autoSpaceDN w:val="0"/>
                    <w:adjustRightInd w:val="0"/>
                    <w:spacing w:line="300" w:lineRule="exact"/>
                    <w:jc w:val="center"/>
                    <w:rPr>
                      <w:rFonts w:hint="default" w:ascii="Times New Roman" w:hAnsi="Times New Roman" w:cs="Times New Roman"/>
                      <w:sz w:val="18"/>
                      <w:szCs w:val="18"/>
                    </w:rPr>
                  </w:pPr>
                  <w:r>
                    <w:rPr>
                      <w:rFonts w:hint="eastAsia" w:cs="Times New Roman"/>
                      <w:sz w:val="18"/>
                      <w:szCs w:val="18"/>
                      <w:lang w:val="en-US" w:eastAsia="zh-CN"/>
                    </w:rPr>
                    <w:t>半</w:t>
                  </w:r>
                  <w:r>
                    <w:rPr>
                      <w:rFonts w:hint="default" w:ascii="Times New Roman" w:hAnsi="Times New Roman" w:cs="Times New Roman"/>
                      <w:sz w:val="18"/>
                      <w:szCs w:val="18"/>
                    </w:rPr>
                    <w:t>年</w:t>
                  </w:r>
                </w:p>
              </w:tc>
            </w:tr>
            <w:tr w14:paraId="089E536D">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3" w:type="dxa"/>
                  <w:tcBorders>
                    <w:top w:val="single" w:color="auto" w:sz="2" w:space="0"/>
                    <w:left w:val="single" w:color="auto" w:sz="2" w:space="0"/>
                    <w:bottom w:val="single" w:color="auto" w:sz="2" w:space="0"/>
                    <w:right w:val="single" w:color="auto" w:sz="2" w:space="0"/>
                  </w:tcBorders>
                  <w:vAlign w:val="center"/>
                </w:tcPr>
                <w:p w14:paraId="5E586B76">
                  <w:pPr>
                    <w:pStyle w:val="1041"/>
                    <w:numPr>
                      <w:ilvl w:val="0"/>
                      <w:numId w:val="22"/>
                    </w:numPr>
                    <w:spacing w:beforeLines="50"/>
                    <w:ind w:right="-124" w:rightChars="-59" w:firstLine="0" w:firstLineChars="0"/>
                    <w:jc w:val="center"/>
                    <w:rPr>
                      <w:rStyle w:val="227"/>
                      <w:rFonts w:hint="default" w:ascii="Times New Roman" w:hAnsi="Times New Roman" w:cs="Times New Roman"/>
                      <w:sz w:val="18"/>
                      <w:szCs w:val="18"/>
                    </w:rPr>
                  </w:pPr>
                </w:p>
              </w:tc>
              <w:tc>
                <w:tcPr>
                  <w:tcW w:w="1035" w:type="dxa"/>
                  <w:vMerge w:val="continue"/>
                  <w:tcBorders>
                    <w:left w:val="single" w:color="auto" w:sz="2" w:space="0"/>
                    <w:right w:val="single" w:color="auto" w:sz="2" w:space="0"/>
                  </w:tcBorders>
                  <w:vAlign w:val="center"/>
                </w:tcPr>
                <w:p w14:paraId="178A48B8">
                  <w:pPr>
                    <w:autoSpaceDE w:val="0"/>
                    <w:autoSpaceDN w:val="0"/>
                    <w:adjustRightInd w:val="0"/>
                    <w:spacing w:line="300" w:lineRule="exact"/>
                    <w:jc w:val="center"/>
                    <w:rPr>
                      <w:rFonts w:hint="default" w:ascii="Times New Roman" w:hAnsi="Times New Roman" w:cs="Times New Roman"/>
                      <w:sz w:val="18"/>
                      <w:szCs w:val="18"/>
                    </w:rPr>
                  </w:pPr>
                </w:p>
              </w:tc>
              <w:tc>
                <w:tcPr>
                  <w:tcW w:w="1140" w:type="dxa"/>
                  <w:tcBorders>
                    <w:top w:val="single" w:color="auto" w:sz="2" w:space="0"/>
                    <w:left w:val="single" w:color="auto" w:sz="2" w:space="0"/>
                    <w:bottom w:val="single" w:color="auto" w:sz="2" w:space="0"/>
                    <w:right w:val="single" w:color="auto" w:sz="2" w:space="0"/>
                  </w:tcBorders>
                  <w:vAlign w:val="center"/>
                </w:tcPr>
                <w:p w14:paraId="2B01E248">
                  <w:pPr>
                    <w:autoSpaceDE w:val="0"/>
                    <w:autoSpaceDN w:val="0"/>
                    <w:adjustRightInd w:val="0"/>
                    <w:spacing w:line="240" w:lineRule="exact"/>
                    <w:jc w:val="center"/>
                    <w:rPr>
                      <w:rFonts w:hint="eastAsia" w:ascii="Times New Roman" w:hAnsi="Times New Roman" w:eastAsia="宋体" w:cs="Times New Roman"/>
                      <w:bCs/>
                      <w:kern w:val="2"/>
                      <w:sz w:val="18"/>
                      <w:szCs w:val="18"/>
                      <w:highlight w:val="none"/>
                      <w:lang w:val="en-US" w:eastAsia="zh-CN" w:bidi="ar-SA"/>
                    </w:rPr>
                  </w:pPr>
                  <w:r>
                    <w:rPr>
                      <w:rFonts w:hint="eastAsia"/>
                      <w:bCs/>
                      <w:sz w:val="18"/>
                      <w:szCs w:val="18"/>
                      <w:highlight w:val="none"/>
                      <w:lang w:eastAsia="zh-CN"/>
                    </w:rPr>
                    <w:t>废漆渣</w:t>
                  </w:r>
                </w:p>
              </w:tc>
              <w:tc>
                <w:tcPr>
                  <w:tcW w:w="765" w:type="dxa"/>
                  <w:tcBorders>
                    <w:top w:val="single" w:color="auto" w:sz="2" w:space="0"/>
                    <w:left w:val="single" w:color="auto" w:sz="2" w:space="0"/>
                    <w:bottom w:val="single" w:color="auto" w:sz="2" w:space="0"/>
                    <w:right w:val="single" w:color="auto" w:sz="2" w:space="0"/>
                  </w:tcBorders>
                  <w:vAlign w:val="center"/>
                </w:tcPr>
                <w:p w14:paraId="3EB2ED13">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HW12</w:t>
                  </w:r>
                </w:p>
              </w:tc>
              <w:tc>
                <w:tcPr>
                  <w:tcW w:w="1385" w:type="dxa"/>
                  <w:tcBorders>
                    <w:top w:val="single" w:color="auto" w:sz="2" w:space="0"/>
                    <w:left w:val="single" w:color="auto" w:sz="2" w:space="0"/>
                    <w:bottom w:val="single" w:color="auto" w:sz="2" w:space="0"/>
                    <w:right w:val="single" w:color="auto" w:sz="2" w:space="0"/>
                  </w:tcBorders>
                  <w:vAlign w:val="center"/>
                </w:tcPr>
                <w:p w14:paraId="454AC7E4">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900-252-12</w:t>
                  </w:r>
                </w:p>
              </w:tc>
              <w:tc>
                <w:tcPr>
                  <w:tcW w:w="799" w:type="dxa"/>
                  <w:vMerge w:val="continue"/>
                  <w:tcBorders>
                    <w:left w:val="single" w:color="auto" w:sz="2" w:space="0"/>
                    <w:right w:val="single" w:color="auto" w:sz="2" w:space="0"/>
                  </w:tcBorders>
                  <w:vAlign w:val="center"/>
                </w:tcPr>
                <w:p w14:paraId="26EA397A">
                  <w:pPr>
                    <w:autoSpaceDE w:val="0"/>
                    <w:autoSpaceDN w:val="0"/>
                    <w:adjustRightInd w:val="0"/>
                    <w:spacing w:line="300" w:lineRule="exact"/>
                    <w:jc w:val="center"/>
                    <w:rPr>
                      <w:rFonts w:hint="eastAsia" w:cs="Times New Roman"/>
                      <w:sz w:val="18"/>
                      <w:szCs w:val="18"/>
                      <w:lang w:eastAsia="zh-CN"/>
                    </w:rPr>
                  </w:pPr>
                </w:p>
              </w:tc>
              <w:tc>
                <w:tcPr>
                  <w:tcW w:w="651" w:type="dxa"/>
                  <w:tcBorders>
                    <w:top w:val="single" w:color="auto" w:sz="2" w:space="0"/>
                    <w:left w:val="single" w:color="auto" w:sz="2" w:space="0"/>
                    <w:bottom w:val="single" w:color="auto" w:sz="2" w:space="0"/>
                    <w:right w:val="single" w:color="auto" w:sz="2" w:space="0"/>
                  </w:tcBorders>
                  <w:vAlign w:val="center"/>
                </w:tcPr>
                <w:p w14:paraId="156D21A1">
                  <w:pPr>
                    <w:autoSpaceDE w:val="0"/>
                    <w:autoSpaceDN w:val="0"/>
                    <w:adjustRightInd w:val="0"/>
                    <w:spacing w:line="300" w:lineRule="exact"/>
                    <w:jc w:val="center"/>
                    <w:rPr>
                      <w:rFonts w:hint="eastAsia" w:cs="Times New Roman"/>
                      <w:sz w:val="18"/>
                      <w:szCs w:val="18"/>
                      <w:lang w:val="en-US" w:eastAsia="zh-CN"/>
                    </w:rPr>
                  </w:pPr>
                  <w:r>
                    <w:rPr>
                      <w:rFonts w:hint="eastAsia" w:cs="Times New Roman"/>
                      <w:sz w:val="18"/>
                      <w:szCs w:val="18"/>
                      <w:lang w:val="en-US" w:eastAsia="zh-CN"/>
                    </w:rPr>
                    <w:t>0.5</w:t>
                  </w: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p>
              </w:tc>
              <w:tc>
                <w:tcPr>
                  <w:tcW w:w="1249" w:type="dxa"/>
                  <w:tcBorders>
                    <w:top w:val="single" w:color="auto" w:sz="2" w:space="0"/>
                    <w:left w:val="single" w:color="auto" w:sz="2" w:space="0"/>
                    <w:bottom w:val="single" w:color="auto" w:sz="2" w:space="0"/>
                    <w:right w:val="single" w:color="auto" w:sz="2" w:space="0"/>
                  </w:tcBorders>
                  <w:vAlign w:val="center"/>
                </w:tcPr>
                <w:p w14:paraId="329DD178">
                  <w:pPr>
                    <w:autoSpaceDE w:val="0"/>
                    <w:autoSpaceDN w:val="0"/>
                    <w:adjustRightInd w:val="0"/>
                    <w:spacing w:line="300" w:lineRule="exact"/>
                    <w:jc w:val="center"/>
                    <w:rPr>
                      <w:rFonts w:hint="eastAsia" w:cs="Times New Roman"/>
                      <w:sz w:val="18"/>
                      <w:szCs w:val="18"/>
                      <w:lang w:eastAsia="zh-CN"/>
                    </w:rPr>
                  </w:pPr>
                  <w:r>
                    <w:rPr>
                      <w:rFonts w:hint="eastAsia" w:cs="Times New Roman"/>
                      <w:sz w:val="18"/>
                      <w:szCs w:val="18"/>
                      <w:lang w:eastAsia="zh-CN"/>
                    </w:rPr>
                    <w:t>桶装密闭储存</w:t>
                  </w:r>
                </w:p>
              </w:tc>
              <w:tc>
                <w:tcPr>
                  <w:tcW w:w="832" w:type="dxa"/>
                  <w:tcBorders>
                    <w:top w:val="single" w:color="auto" w:sz="2" w:space="0"/>
                    <w:left w:val="single" w:color="auto" w:sz="2" w:space="0"/>
                    <w:bottom w:val="single" w:color="auto" w:sz="2" w:space="0"/>
                    <w:right w:val="single" w:color="auto" w:sz="2" w:space="0"/>
                  </w:tcBorders>
                  <w:vAlign w:val="center"/>
                </w:tcPr>
                <w:p w14:paraId="30195176">
                  <w:pPr>
                    <w:autoSpaceDE w:val="0"/>
                    <w:autoSpaceDN w:val="0"/>
                    <w:adjustRightInd w:val="0"/>
                    <w:spacing w:line="300" w:lineRule="exact"/>
                    <w:jc w:val="center"/>
                    <w:rPr>
                      <w:rFonts w:hint="eastAsia" w:ascii="Times New Roman" w:hAnsi="Times New Roman" w:eastAsia="宋体" w:cs="Times New Roman"/>
                      <w:sz w:val="18"/>
                      <w:szCs w:val="18"/>
                      <w:lang w:eastAsia="zh-CN"/>
                    </w:rPr>
                  </w:pPr>
                  <w:r>
                    <w:rPr>
                      <w:rFonts w:hint="eastAsia" w:cs="Times New Roman"/>
                      <w:sz w:val="18"/>
                      <w:szCs w:val="18"/>
                      <w:lang w:val="en-US" w:eastAsia="zh-CN"/>
                    </w:rPr>
                    <w:t>半</w:t>
                  </w:r>
                  <w:r>
                    <w:rPr>
                      <w:rFonts w:hint="eastAsia" w:cs="Times New Roman"/>
                      <w:sz w:val="18"/>
                      <w:szCs w:val="18"/>
                      <w:lang w:eastAsia="zh-CN"/>
                    </w:rPr>
                    <w:t>年</w:t>
                  </w:r>
                </w:p>
              </w:tc>
            </w:tr>
            <w:tr w14:paraId="230C3EBF">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3" w:type="dxa"/>
                  <w:tcBorders>
                    <w:top w:val="single" w:color="auto" w:sz="2" w:space="0"/>
                    <w:left w:val="single" w:color="auto" w:sz="2" w:space="0"/>
                    <w:bottom w:val="single" w:color="auto" w:sz="2" w:space="0"/>
                    <w:right w:val="single" w:color="auto" w:sz="2" w:space="0"/>
                  </w:tcBorders>
                  <w:vAlign w:val="center"/>
                </w:tcPr>
                <w:p w14:paraId="527F79C6">
                  <w:pPr>
                    <w:pStyle w:val="1041"/>
                    <w:numPr>
                      <w:ilvl w:val="0"/>
                      <w:numId w:val="22"/>
                    </w:numPr>
                    <w:spacing w:beforeLines="50"/>
                    <w:ind w:right="-124" w:rightChars="-59" w:firstLine="0" w:firstLineChars="0"/>
                    <w:jc w:val="center"/>
                    <w:rPr>
                      <w:rStyle w:val="227"/>
                      <w:rFonts w:hint="default" w:ascii="Times New Roman" w:hAnsi="Times New Roman" w:cs="Times New Roman"/>
                      <w:sz w:val="18"/>
                      <w:szCs w:val="18"/>
                    </w:rPr>
                  </w:pPr>
                </w:p>
              </w:tc>
              <w:tc>
                <w:tcPr>
                  <w:tcW w:w="1035" w:type="dxa"/>
                  <w:vMerge w:val="continue"/>
                  <w:tcBorders>
                    <w:left w:val="single" w:color="auto" w:sz="2" w:space="0"/>
                    <w:right w:val="single" w:color="auto" w:sz="2" w:space="0"/>
                  </w:tcBorders>
                  <w:vAlign w:val="center"/>
                </w:tcPr>
                <w:p w14:paraId="43FA4134">
                  <w:pPr>
                    <w:autoSpaceDE w:val="0"/>
                    <w:autoSpaceDN w:val="0"/>
                    <w:adjustRightInd w:val="0"/>
                    <w:spacing w:line="300" w:lineRule="exact"/>
                    <w:jc w:val="center"/>
                    <w:rPr>
                      <w:rFonts w:hint="default" w:ascii="Times New Roman" w:hAnsi="Times New Roman" w:cs="Times New Roman"/>
                      <w:sz w:val="18"/>
                      <w:szCs w:val="18"/>
                    </w:rPr>
                  </w:pPr>
                </w:p>
              </w:tc>
              <w:tc>
                <w:tcPr>
                  <w:tcW w:w="1140" w:type="dxa"/>
                  <w:tcBorders>
                    <w:top w:val="single" w:color="auto" w:sz="2" w:space="0"/>
                    <w:left w:val="single" w:color="auto" w:sz="2" w:space="0"/>
                    <w:bottom w:val="single" w:color="auto" w:sz="2" w:space="0"/>
                    <w:right w:val="single" w:color="auto" w:sz="2" w:space="0"/>
                  </w:tcBorders>
                  <w:vAlign w:val="center"/>
                </w:tcPr>
                <w:p w14:paraId="14448404">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eastAsia="zh-CN"/>
                    </w:rPr>
                    <w:t>废机油</w:t>
                  </w:r>
                </w:p>
              </w:tc>
              <w:tc>
                <w:tcPr>
                  <w:tcW w:w="765" w:type="dxa"/>
                  <w:tcBorders>
                    <w:top w:val="single" w:color="auto" w:sz="2" w:space="0"/>
                    <w:left w:val="single" w:color="auto" w:sz="2" w:space="0"/>
                    <w:bottom w:val="single" w:color="auto" w:sz="2" w:space="0"/>
                    <w:right w:val="single" w:color="auto" w:sz="2" w:space="0"/>
                  </w:tcBorders>
                  <w:vAlign w:val="center"/>
                </w:tcPr>
                <w:p w14:paraId="29C5E8BE">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HW08</w:t>
                  </w:r>
                </w:p>
              </w:tc>
              <w:tc>
                <w:tcPr>
                  <w:tcW w:w="1385" w:type="dxa"/>
                  <w:tcBorders>
                    <w:top w:val="single" w:color="auto" w:sz="2" w:space="0"/>
                    <w:left w:val="single" w:color="auto" w:sz="2" w:space="0"/>
                    <w:bottom w:val="single" w:color="auto" w:sz="2" w:space="0"/>
                    <w:right w:val="single" w:color="auto" w:sz="2" w:space="0"/>
                  </w:tcBorders>
                  <w:vAlign w:val="center"/>
                </w:tcPr>
                <w:p w14:paraId="13E7CAEA">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900-249-08</w:t>
                  </w:r>
                </w:p>
              </w:tc>
              <w:tc>
                <w:tcPr>
                  <w:tcW w:w="799" w:type="dxa"/>
                  <w:vMerge w:val="continue"/>
                  <w:tcBorders>
                    <w:left w:val="single" w:color="auto" w:sz="2" w:space="0"/>
                    <w:right w:val="single" w:color="auto" w:sz="2" w:space="0"/>
                  </w:tcBorders>
                  <w:vAlign w:val="center"/>
                </w:tcPr>
                <w:p w14:paraId="23E96DCD">
                  <w:pPr>
                    <w:autoSpaceDE w:val="0"/>
                    <w:autoSpaceDN w:val="0"/>
                    <w:adjustRightInd w:val="0"/>
                    <w:spacing w:line="300" w:lineRule="exact"/>
                    <w:jc w:val="center"/>
                    <w:rPr>
                      <w:rFonts w:hint="eastAsia" w:cs="Times New Roman"/>
                      <w:sz w:val="18"/>
                      <w:szCs w:val="18"/>
                      <w:lang w:eastAsia="zh-CN"/>
                    </w:rPr>
                  </w:pPr>
                </w:p>
              </w:tc>
              <w:tc>
                <w:tcPr>
                  <w:tcW w:w="651" w:type="dxa"/>
                  <w:tcBorders>
                    <w:top w:val="single" w:color="auto" w:sz="2" w:space="0"/>
                    <w:left w:val="single" w:color="auto" w:sz="2" w:space="0"/>
                    <w:bottom w:val="single" w:color="auto" w:sz="2" w:space="0"/>
                    <w:right w:val="single" w:color="auto" w:sz="2" w:space="0"/>
                  </w:tcBorders>
                  <w:vAlign w:val="center"/>
                </w:tcPr>
                <w:p w14:paraId="5766C87D">
                  <w:pPr>
                    <w:autoSpaceDE w:val="0"/>
                    <w:autoSpaceDN w:val="0"/>
                    <w:adjustRightInd w:val="0"/>
                    <w:spacing w:line="300" w:lineRule="exact"/>
                    <w:jc w:val="center"/>
                    <w:rPr>
                      <w:rFonts w:hint="default" w:cs="Times New Roman"/>
                      <w:sz w:val="18"/>
                      <w:szCs w:val="18"/>
                      <w:lang w:val="en-US" w:eastAsia="zh-CN"/>
                    </w:rPr>
                  </w:pPr>
                  <w:r>
                    <w:rPr>
                      <w:rFonts w:hint="eastAsia" w:cs="Times New Roman"/>
                      <w:sz w:val="18"/>
                      <w:szCs w:val="18"/>
                      <w:lang w:val="en-US" w:eastAsia="zh-CN"/>
                    </w:rPr>
                    <w:t>0.5</w:t>
                  </w: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p>
              </w:tc>
              <w:tc>
                <w:tcPr>
                  <w:tcW w:w="1249" w:type="dxa"/>
                  <w:tcBorders>
                    <w:top w:val="single" w:color="auto" w:sz="2" w:space="0"/>
                    <w:left w:val="single" w:color="auto" w:sz="2" w:space="0"/>
                    <w:bottom w:val="single" w:color="auto" w:sz="2" w:space="0"/>
                    <w:right w:val="single" w:color="auto" w:sz="2" w:space="0"/>
                  </w:tcBorders>
                  <w:vAlign w:val="center"/>
                </w:tcPr>
                <w:p w14:paraId="074F0A02">
                  <w:pPr>
                    <w:autoSpaceDE w:val="0"/>
                    <w:autoSpaceDN w:val="0"/>
                    <w:adjustRightInd w:val="0"/>
                    <w:spacing w:line="300" w:lineRule="exact"/>
                    <w:jc w:val="center"/>
                    <w:rPr>
                      <w:rFonts w:hint="eastAsia" w:cs="Times New Roman"/>
                      <w:sz w:val="18"/>
                      <w:szCs w:val="18"/>
                      <w:lang w:eastAsia="zh-CN"/>
                    </w:rPr>
                  </w:pPr>
                  <w:r>
                    <w:rPr>
                      <w:rFonts w:hint="eastAsia" w:cs="Times New Roman"/>
                      <w:sz w:val="18"/>
                      <w:szCs w:val="18"/>
                      <w:lang w:eastAsia="zh-CN"/>
                    </w:rPr>
                    <w:t>桶装密闭储存</w:t>
                  </w:r>
                </w:p>
              </w:tc>
              <w:tc>
                <w:tcPr>
                  <w:tcW w:w="832" w:type="dxa"/>
                  <w:tcBorders>
                    <w:top w:val="single" w:color="auto" w:sz="2" w:space="0"/>
                    <w:left w:val="single" w:color="auto" w:sz="2" w:space="0"/>
                    <w:bottom w:val="single" w:color="auto" w:sz="2" w:space="0"/>
                    <w:right w:val="single" w:color="auto" w:sz="2" w:space="0"/>
                  </w:tcBorders>
                  <w:vAlign w:val="center"/>
                </w:tcPr>
                <w:p w14:paraId="26F46E87">
                  <w:pPr>
                    <w:autoSpaceDE w:val="0"/>
                    <w:autoSpaceDN w:val="0"/>
                    <w:adjustRightInd w:val="0"/>
                    <w:spacing w:line="300" w:lineRule="exact"/>
                    <w:jc w:val="center"/>
                    <w:rPr>
                      <w:rFonts w:hint="default" w:ascii="Times New Roman" w:hAnsi="Times New Roman" w:cs="Times New Roman"/>
                      <w:sz w:val="18"/>
                      <w:szCs w:val="18"/>
                    </w:rPr>
                  </w:pPr>
                  <w:r>
                    <w:rPr>
                      <w:rFonts w:hint="eastAsia" w:cs="Times New Roman"/>
                      <w:sz w:val="18"/>
                      <w:szCs w:val="18"/>
                      <w:lang w:eastAsia="zh-CN"/>
                    </w:rPr>
                    <w:t>年</w:t>
                  </w:r>
                </w:p>
              </w:tc>
            </w:tr>
            <w:tr w14:paraId="4DC06270">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3" w:type="dxa"/>
                  <w:tcBorders>
                    <w:top w:val="single" w:color="auto" w:sz="2" w:space="0"/>
                    <w:left w:val="single" w:color="auto" w:sz="2" w:space="0"/>
                    <w:bottom w:val="single" w:color="auto" w:sz="2" w:space="0"/>
                    <w:right w:val="single" w:color="auto" w:sz="2" w:space="0"/>
                  </w:tcBorders>
                  <w:vAlign w:val="center"/>
                </w:tcPr>
                <w:p w14:paraId="262E6362">
                  <w:pPr>
                    <w:pStyle w:val="1041"/>
                    <w:numPr>
                      <w:ilvl w:val="0"/>
                      <w:numId w:val="22"/>
                    </w:numPr>
                    <w:spacing w:beforeLines="50"/>
                    <w:ind w:right="-124" w:rightChars="-59" w:firstLine="0" w:firstLineChars="0"/>
                    <w:jc w:val="center"/>
                    <w:rPr>
                      <w:rStyle w:val="227"/>
                      <w:rFonts w:hint="default" w:ascii="Times New Roman" w:hAnsi="Times New Roman" w:cs="Times New Roman"/>
                      <w:sz w:val="18"/>
                      <w:szCs w:val="18"/>
                    </w:rPr>
                  </w:pPr>
                </w:p>
              </w:tc>
              <w:tc>
                <w:tcPr>
                  <w:tcW w:w="1035" w:type="dxa"/>
                  <w:vMerge w:val="continue"/>
                  <w:tcBorders>
                    <w:left w:val="single" w:color="auto" w:sz="2" w:space="0"/>
                    <w:right w:val="single" w:color="auto" w:sz="2" w:space="0"/>
                  </w:tcBorders>
                  <w:vAlign w:val="center"/>
                </w:tcPr>
                <w:p w14:paraId="07ABB311">
                  <w:pPr>
                    <w:autoSpaceDE w:val="0"/>
                    <w:autoSpaceDN w:val="0"/>
                    <w:adjustRightInd w:val="0"/>
                    <w:spacing w:line="300" w:lineRule="exact"/>
                    <w:jc w:val="center"/>
                    <w:rPr>
                      <w:rFonts w:hint="default" w:ascii="Times New Roman" w:hAnsi="Times New Roman" w:cs="Times New Roman"/>
                      <w:sz w:val="18"/>
                      <w:szCs w:val="18"/>
                    </w:rPr>
                  </w:pPr>
                </w:p>
              </w:tc>
              <w:tc>
                <w:tcPr>
                  <w:tcW w:w="1140" w:type="dxa"/>
                  <w:tcBorders>
                    <w:top w:val="single" w:color="auto" w:sz="2" w:space="0"/>
                    <w:left w:val="single" w:color="auto" w:sz="2" w:space="0"/>
                    <w:bottom w:val="single" w:color="auto" w:sz="2" w:space="0"/>
                    <w:right w:val="single" w:color="auto" w:sz="2" w:space="0"/>
                  </w:tcBorders>
                  <w:vAlign w:val="center"/>
                </w:tcPr>
                <w:p w14:paraId="05BD6F51">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b w:val="0"/>
                      <w:bCs w:val="0"/>
                      <w:kern w:val="2"/>
                      <w:sz w:val="18"/>
                      <w:szCs w:val="18"/>
                      <w:lang w:val="en-US" w:eastAsia="zh-CN" w:bidi="ar-SA"/>
                    </w:rPr>
                    <w:t>废液压油</w:t>
                  </w:r>
                </w:p>
              </w:tc>
              <w:tc>
                <w:tcPr>
                  <w:tcW w:w="765" w:type="dxa"/>
                  <w:tcBorders>
                    <w:top w:val="single" w:color="auto" w:sz="2" w:space="0"/>
                    <w:left w:val="single" w:color="auto" w:sz="2" w:space="0"/>
                    <w:bottom w:val="single" w:color="auto" w:sz="2" w:space="0"/>
                    <w:right w:val="single" w:color="auto" w:sz="2" w:space="0"/>
                  </w:tcBorders>
                  <w:vAlign w:val="center"/>
                </w:tcPr>
                <w:p w14:paraId="2D358583">
                  <w:pPr>
                    <w:tabs>
                      <w:tab w:val="left" w:pos="337"/>
                    </w:tabs>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HW08</w:t>
                  </w:r>
                </w:p>
              </w:tc>
              <w:tc>
                <w:tcPr>
                  <w:tcW w:w="1385" w:type="dxa"/>
                  <w:tcBorders>
                    <w:top w:val="single" w:color="auto" w:sz="2" w:space="0"/>
                    <w:left w:val="single" w:color="auto" w:sz="2" w:space="0"/>
                    <w:bottom w:val="single" w:color="auto" w:sz="2" w:space="0"/>
                    <w:right w:val="single" w:color="auto" w:sz="2" w:space="0"/>
                  </w:tcBorders>
                  <w:vAlign w:val="center"/>
                </w:tcPr>
                <w:p w14:paraId="0A25A603">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default" w:ascii="Times New Roman" w:hAnsi="Times New Roman" w:cs="Times New Roman"/>
                      <w:sz w:val="18"/>
                      <w:szCs w:val="18"/>
                    </w:rPr>
                    <w:t>900-218-08</w:t>
                  </w:r>
                </w:p>
              </w:tc>
              <w:tc>
                <w:tcPr>
                  <w:tcW w:w="799" w:type="dxa"/>
                  <w:vMerge w:val="continue"/>
                  <w:tcBorders>
                    <w:left w:val="single" w:color="auto" w:sz="2" w:space="0"/>
                    <w:right w:val="single" w:color="auto" w:sz="2" w:space="0"/>
                  </w:tcBorders>
                  <w:vAlign w:val="center"/>
                </w:tcPr>
                <w:p w14:paraId="42A4797C">
                  <w:pPr>
                    <w:autoSpaceDE w:val="0"/>
                    <w:autoSpaceDN w:val="0"/>
                    <w:adjustRightInd w:val="0"/>
                    <w:spacing w:line="300" w:lineRule="exact"/>
                    <w:jc w:val="center"/>
                    <w:rPr>
                      <w:rFonts w:hint="eastAsia" w:cs="Times New Roman"/>
                      <w:sz w:val="18"/>
                      <w:szCs w:val="18"/>
                      <w:lang w:eastAsia="zh-CN"/>
                    </w:rPr>
                  </w:pPr>
                </w:p>
              </w:tc>
              <w:tc>
                <w:tcPr>
                  <w:tcW w:w="651" w:type="dxa"/>
                  <w:tcBorders>
                    <w:top w:val="single" w:color="auto" w:sz="2" w:space="0"/>
                    <w:left w:val="single" w:color="auto" w:sz="2" w:space="0"/>
                    <w:bottom w:val="single" w:color="auto" w:sz="2" w:space="0"/>
                    <w:right w:val="single" w:color="auto" w:sz="2" w:space="0"/>
                  </w:tcBorders>
                  <w:vAlign w:val="center"/>
                </w:tcPr>
                <w:p w14:paraId="40E9C9DA">
                  <w:pPr>
                    <w:autoSpaceDE w:val="0"/>
                    <w:autoSpaceDN w:val="0"/>
                    <w:adjustRightInd w:val="0"/>
                    <w:spacing w:line="300" w:lineRule="exact"/>
                    <w:jc w:val="center"/>
                    <w:rPr>
                      <w:rFonts w:hint="eastAsia" w:cs="Times New Roman"/>
                      <w:sz w:val="18"/>
                      <w:szCs w:val="18"/>
                      <w:lang w:val="en-US" w:eastAsia="zh-CN"/>
                    </w:rPr>
                  </w:pPr>
                  <w:r>
                    <w:rPr>
                      <w:rFonts w:hint="eastAsia" w:ascii="Times New Roman" w:hAnsi="Times New Roman" w:cs="Times New Roman"/>
                      <w:sz w:val="18"/>
                      <w:szCs w:val="18"/>
                      <w:lang w:val="en-US" w:eastAsia="zh-CN"/>
                    </w:rPr>
                    <w:t>0.5</w:t>
                  </w: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p>
              </w:tc>
              <w:tc>
                <w:tcPr>
                  <w:tcW w:w="1249" w:type="dxa"/>
                  <w:tcBorders>
                    <w:top w:val="single" w:color="auto" w:sz="2" w:space="0"/>
                    <w:left w:val="single" w:color="auto" w:sz="2" w:space="0"/>
                    <w:bottom w:val="single" w:color="auto" w:sz="2" w:space="0"/>
                    <w:right w:val="single" w:color="auto" w:sz="2" w:space="0"/>
                  </w:tcBorders>
                  <w:vAlign w:val="center"/>
                </w:tcPr>
                <w:p w14:paraId="2686823C">
                  <w:pPr>
                    <w:autoSpaceDE w:val="0"/>
                    <w:autoSpaceDN w:val="0"/>
                    <w:adjustRightInd w:val="0"/>
                    <w:spacing w:line="300" w:lineRule="exact"/>
                    <w:jc w:val="center"/>
                    <w:rPr>
                      <w:rFonts w:hint="eastAsia" w:cs="Times New Roman"/>
                      <w:sz w:val="18"/>
                      <w:szCs w:val="18"/>
                      <w:lang w:eastAsia="zh-CN"/>
                    </w:rPr>
                  </w:pPr>
                  <w:r>
                    <w:rPr>
                      <w:rFonts w:hint="eastAsia" w:cs="Times New Roman"/>
                      <w:sz w:val="18"/>
                      <w:szCs w:val="18"/>
                      <w:lang w:eastAsia="zh-CN"/>
                    </w:rPr>
                    <w:t>桶装密闭储存</w:t>
                  </w:r>
                </w:p>
              </w:tc>
              <w:tc>
                <w:tcPr>
                  <w:tcW w:w="832" w:type="dxa"/>
                  <w:tcBorders>
                    <w:top w:val="single" w:color="auto" w:sz="2" w:space="0"/>
                    <w:left w:val="single" w:color="auto" w:sz="2" w:space="0"/>
                    <w:bottom w:val="single" w:color="auto" w:sz="2" w:space="0"/>
                    <w:right w:val="single" w:color="auto" w:sz="2" w:space="0"/>
                  </w:tcBorders>
                  <w:vAlign w:val="center"/>
                </w:tcPr>
                <w:p w14:paraId="0FDB3A43">
                  <w:pPr>
                    <w:autoSpaceDE w:val="0"/>
                    <w:autoSpaceDN w:val="0"/>
                    <w:adjustRightInd w:val="0"/>
                    <w:spacing w:line="300" w:lineRule="exact"/>
                    <w:jc w:val="center"/>
                    <w:rPr>
                      <w:rFonts w:hint="default" w:ascii="Times New Roman" w:hAnsi="Times New Roman" w:cs="Times New Roman"/>
                      <w:sz w:val="18"/>
                      <w:szCs w:val="18"/>
                    </w:rPr>
                  </w:pPr>
                  <w:r>
                    <w:rPr>
                      <w:rFonts w:hint="eastAsia" w:cs="Times New Roman"/>
                      <w:sz w:val="18"/>
                      <w:szCs w:val="18"/>
                      <w:lang w:eastAsia="zh-CN"/>
                    </w:rPr>
                    <w:t>年</w:t>
                  </w:r>
                </w:p>
              </w:tc>
            </w:tr>
            <w:tr w14:paraId="25609A88">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3" w:type="dxa"/>
                  <w:tcBorders>
                    <w:top w:val="single" w:color="auto" w:sz="2" w:space="0"/>
                    <w:left w:val="single" w:color="auto" w:sz="2" w:space="0"/>
                    <w:bottom w:val="single" w:color="auto" w:sz="2" w:space="0"/>
                    <w:right w:val="single" w:color="auto" w:sz="2" w:space="0"/>
                  </w:tcBorders>
                  <w:vAlign w:val="center"/>
                </w:tcPr>
                <w:p w14:paraId="12D96F26">
                  <w:pPr>
                    <w:pStyle w:val="1041"/>
                    <w:numPr>
                      <w:ilvl w:val="0"/>
                      <w:numId w:val="22"/>
                    </w:numPr>
                    <w:spacing w:beforeLines="50"/>
                    <w:ind w:right="-124" w:rightChars="-59" w:firstLine="0" w:firstLineChars="0"/>
                    <w:jc w:val="center"/>
                    <w:rPr>
                      <w:rStyle w:val="227"/>
                      <w:rFonts w:hint="default" w:ascii="Times New Roman" w:hAnsi="Times New Roman" w:cs="Times New Roman"/>
                      <w:sz w:val="18"/>
                      <w:szCs w:val="18"/>
                    </w:rPr>
                  </w:pPr>
                </w:p>
              </w:tc>
              <w:tc>
                <w:tcPr>
                  <w:tcW w:w="1035" w:type="dxa"/>
                  <w:vMerge w:val="continue"/>
                  <w:tcBorders>
                    <w:left w:val="single" w:color="auto" w:sz="2" w:space="0"/>
                    <w:right w:val="single" w:color="auto" w:sz="2" w:space="0"/>
                  </w:tcBorders>
                  <w:vAlign w:val="center"/>
                </w:tcPr>
                <w:p w14:paraId="27B5484C">
                  <w:pPr>
                    <w:autoSpaceDE w:val="0"/>
                    <w:autoSpaceDN w:val="0"/>
                    <w:adjustRightInd w:val="0"/>
                    <w:spacing w:line="300" w:lineRule="exact"/>
                    <w:jc w:val="center"/>
                    <w:rPr>
                      <w:rFonts w:hint="default" w:ascii="Times New Roman" w:hAnsi="Times New Roman" w:cs="Times New Roman"/>
                      <w:sz w:val="18"/>
                      <w:szCs w:val="18"/>
                    </w:rPr>
                  </w:pPr>
                </w:p>
              </w:tc>
              <w:tc>
                <w:tcPr>
                  <w:tcW w:w="1140" w:type="dxa"/>
                  <w:tcBorders>
                    <w:top w:val="single" w:color="auto" w:sz="2" w:space="0"/>
                    <w:left w:val="single" w:color="auto" w:sz="2" w:space="0"/>
                    <w:bottom w:val="single" w:color="auto" w:sz="2" w:space="0"/>
                    <w:right w:val="single" w:color="auto" w:sz="2" w:space="0"/>
                  </w:tcBorders>
                  <w:vAlign w:val="center"/>
                </w:tcPr>
                <w:p w14:paraId="4F1E05A8">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b w:val="0"/>
                      <w:bCs w:val="0"/>
                      <w:kern w:val="2"/>
                      <w:sz w:val="18"/>
                      <w:szCs w:val="18"/>
                      <w:lang w:val="en-US" w:eastAsia="zh-CN" w:bidi="ar-SA"/>
                    </w:rPr>
                    <w:t>废过滤箱、过滤棉</w:t>
                  </w:r>
                </w:p>
              </w:tc>
              <w:tc>
                <w:tcPr>
                  <w:tcW w:w="765" w:type="dxa"/>
                  <w:tcBorders>
                    <w:top w:val="single" w:color="auto" w:sz="2" w:space="0"/>
                    <w:left w:val="single" w:color="auto" w:sz="2" w:space="0"/>
                    <w:bottom w:val="single" w:color="auto" w:sz="2" w:space="0"/>
                    <w:right w:val="single" w:color="auto" w:sz="2" w:space="0"/>
                  </w:tcBorders>
                  <w:vAlign w:val="center"/>
                </w:tcPr>
                <w:p w14:paraId="720A1799">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HW49</w:t>
                  </w:r>
                </w:p>
              </w:tc>
              <w:tc>
                <w:tcPr>
                  <w:tcW w:w="1385" w:type="dxa"/>
                  <w:tcBorders>
                    <w:top w:val="single" w:color="auto" w:sz="2" w:space="0"/>
                    <w:left w:val="single" w:color="auto" w:sz="2" w:space="0"/>
                    <w:bottom w:val="single" w:color="auto" w:sz="2" w:space="0"/>
                    <w:right w:val="single" w:color="auto" w:sz="2" w:space="0"/>
                  </w:tcBorders>
                  <w:vAlign w:val="center"/>
                </w:tcPr>
                <w:p w14:paraId="04C4C3E2">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highlight w:val="none"/>
                      <w:lang w:val="en-US" w:eastAsia="zh-CN"/>
                    </w:rPr>
                    <w:t>900-041-49</w:t>
                  </w:r>
                </w:p>
              </w:tc>
              <w:tc>
                <w:tcPr>
                  <w:tcW w:w="799" w:type="dxa"/>
                  <w:vMerge w:val="continue"/>
                  <w:tcBorders>
                    <w:left w:val="single" w:color="auto" w:sz="2" w:space="0"/>
                    <w:right w:val="single" w:color="auto" w:sz="2" w:space="0"/>
                  </w:tcBorders>
                  <w:vAlign w:val="center"/>
                </w:tcPr>
                <w:p w14:paraId="25EC1B52">
                  <w:pPr>
                    <w:autoSpaceDE w:val="0"/>
                    <w:autoSpaceDN w:val="0"/>
                    <w:adjustRightInd w:val="0"/>
                    <w:spacing w:line="300" w:lineRule="exact"/>
                    <w:jc w:val="center"/>
                    <w:rPr>
                      <w:rFonts w:hint="eastAsia" w:cs="Times New Roman"/>
                      <w:sz w:val="18"/>
                      <w:szCs w:val="18"/>
                      <w:lang w:eastAsia="zh-CN"/>
                    </w:rPr>
                  </w:pPr>
                </w:p>
              </w:tc>
              <w:tc>
                <w:tcPr>
                  <w:tcW w:w="651" w:type="dxa"/>
                  <w:tcBorders>
                    <w:top w:val="single" w:color="auto" w:sz="2" w:space="0"/>
                    <w:left w:val="single" w:color="auto" w:sz="2" w:space="0"/>
                    <w:bottom w:val="single" w:color="auto" w:sz="2" w:space="0"/>
                    <w:right w:val="single" w:color="auto" w:sz="2" w:space="0"/>
                  </w:tcBorders>
                  <w:vAlign w:val="center"/>
                </w:tcPr>
                <w:p w14:paraId="281EEF56">
                  <w:pPr>
                    <w:autoSpaceDE w:val="0"/>
                    <w:autoSpaceDN w:val="0"/>
                    <w:adjustRightInd w:val="0"/>
                    <w:spacing w:line="300" w:lineRule="exact"/>
                    <w:jc w:val="center"/>
                    <w:rPr>
                      <w:rFonts w:hint="eastAsia" w:cs="Times New Roman"/>
                      <w:sz w:val="18"/>
                      <w:szCs w:val="18"/>
                      <w:lang w:val="en-US" w:eastAsia="zh-CN"/>
                    </w:rPr>
                  </w:pPr>
                  <w:r>
                    <w:rPr>
                      <w:rFonts w:hint="eastAsia" w:cs="Times New Roman"/>
                      <w:sz w:val="18"/>
                      <w:szCs w:val="18"/>
                      <w:lang w:val="en-US" w:eastAsia="zh-CN"/>
                    </w:rPr>
                    <w:t>2</w:t>
                  </w: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p>
              </w:tc>
              <w:tc>
                <w:tcPr>
                  <w:tcW w:w="1249" w:type="dxa"/>
                  <w:tcBorders>
                    <w:top w:val="single" w:color="auto" w:sz="2" w:space="0"/>
                    <w:left w:val="single" w:color="auto" w:sz="2" w:space="0"/>
                    <w:bottom w:val="single" w:color="auto" w:sz="2" w:space="0"/>
                    <w:right w:val="single" w:color="auto" w:sz="2" w:space="0"/>
                  </w:tcBorders>
                  <w:vAlign w:val="center"/>
                </w:tcPr>
                <w:p w14:paraId="1908C462">
                  <w:pPr>
                    <w:autoSpaceDE w:val="0"/>
                    <w:autoSpaceDN w:val="0"/>
                    <w:adjustRightInd w:val="0"/>
                    <w:spacing w:line="300" w:lineRule="exact"/>
                    <w:jc w:val="center"/>
                    <w:rPr>
                      <w:rFonts w:hint="eastAsia" w:cs="Times New Roman"/>
                      <w:sz w:val="18"/>
                      <w:szCs w:val="18"/>
                      <w:lang w:eastAsia="zh-CN"/>
                    </w:rPr>
                  </w:pPr>
                  <w:r>
                    <w:rPr>
                      <w:rFonts w:hint="eastAsia" w:cs="Times New Roman"/>
                      <w:sz w:val="18"/>
                      <w:szCs w:val="18"/>
                      <w:lang w:eastAsia="zh-CN"/>
                    </w:rPr>
                    <w:t>箱装密闭</w:t>
                  </w:r>
                </w:p>
              </w:tc>
              <w:tc>
                <w:tcPr>
                  <w:tcW w:w="832" w:type="dxa"/>
                  <w:tcBorders>
                    <w:top w:val="single" w:color="auto" w:sz="2" w:space="0"/>
                    <w:left w:val="single" w:color="auto" w:sz="2" w:space="0"/>
                    <w:bottom w:val="single" w:color="auto" w:sz="2" w:space="0"/>
                    <w:right w:val="single" w:color="auto" w:sz="2" w:space="0"/>
                  </w:tcBorders>
                  <w:vAlign w:val="center"/>
                </w:tcPr>
                <w:p w14:paraId="03C74E2D">
                  <w:pPr>
                    <w:autoSpaceDE w:val="0"/>
                    <w:autoSpaceDN w:val="0"/>
                    <w:adjustRightInd w:val="0"/>
                    <w:spacing w:line="300" w:lineRule="exact"/>
                    <w:jc w:val="center"/>
                    <w:rPr>
                      <w:rFonts w:hint="default" w:ascii="Times New Roman" w:hAnsi="Times New Roman" w:cs="Times New Roman"/>
                      <w:sz w:val="18"/>
                      <w:szCs w:val="18"/>
                    </w:rPr>
                  </w:pPr>
                  <w:r>
                    <w:rPr>
                      <w:rFonts w:hint="eastAsia" w:cs="Times New Roman"/>
                      <w:sz w:val="18"/>
                      <w:szCs w:val="18"/>
                      <w:lang w:val="en-US" w:eastAsia="zh-CN"/>
                    </w:rPr>
                    <w:t>半</w:t>
                  </w:r>
                  <w:r>
                    <w:rPr>
                      <w:rFonts w:hint="default" w:ascii="Times New Roman" w:hAnsi="Times New Roman" w:cs="Times New Roman"/>
                      <w:sz w:val="18"/>
                      <w:szCs w:val="18"/>
                    </w:rPr>
                    <w:t>年</w:t>
                  </w:r>
                </w:p>
              </w:tc>
            </w:tr>
            <w:tr w14:paraId="414CF14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108" w:type="dxa"/>
                  <w:bottom w:w="0" w:type="dxa"/>
                  <w:right w:w="108" w:type="dxa"/>
                </w:tblCellMar>
              </w:tblPrEx>
              <w:trPr>
                <w:trHeight w:val="20" w:hRule="atLeast"/>
                <w:jc w:val="center"/>
              </w:trPr>
              <w:tc>
                <w:tcPr>
                  <w:tcW w:w="433" w:type="dxa"/>
                  <w:tcBorders>
                    <w:top w:val="single" w:color="auto" w:sz="2" w:space="0"/>
                    <w:left w:val="single" w:color="auto" w:sz="2" w:space="0"/>
                    <w:bottom w:val="single" w:color="auto" w:sz="2" w:space="0"/>
                    <w:right w:val="single" w:color="auto" w:sz="2" w:space="0"/>
                  </w:tcBorders>
                  <w:vAlign w:val="center"/>
                </w:tcPr>
                <w:p w14:paraId="285D9BB7">
                  <w:pPr>
                    <w:pStyle w:val="1041"/>
                    <w:numPr>
                      <w:ilvl w:val="0"/>
                      <w:numId w:val="22"/>
                    </w:numPr>
                    <w:spacing w:beforeLines="50"/>
                    <w:ind w:right="-124" w:rightChars="-59" w:firstLine="0" w:firstLineChars="0"/>
                    <w:jc w:val="center"/>
                    <w:rPr>
                      <w:rStyle w:val="227"/>
                      <w:rFonts w:hint="default" w:ascii="Times New Roman" w:hAnsi="Times New Roman" w:cs="Times New Roman"/>
                      <w:sz w:val="18"/>
                      <w:szCs w:val="18"/>
                    </w:rPr>
                  </w:pPr>
                </w:p>
              </w:tc>
              <w:tc>
                <w:tcPr>
                  <w:tcW w:w="1035" w:type="dxa"/>
                  <w:vMerge w:val="continue"/>
                  <w:tcBorders>
                    <w:left w:val="single" w:color="auto" w:sz="2" w:space="0"/>
                    <w:right w:val="single" w:color="auto" w:sz="2" w:space="0"/>
                  </w:tcBorders>
                  <w:vAlign w:val="center"/>
                </w:tcPr>
                <w:p w14:paraId="6FDE8F7E">
                  <w:pPr>
                    <w:autoSpaceDE w:val="0"/>
                    <w:autoSpaceDN w:val="0"/>
                    <w:adjustRightInd w:val="0"/>
                    <w:spacing w:line="300" w:lineRule="exact"/>
                    <w:jc w:val="center"/>
                    <w:rPr>
                      <w:rFonts w:hint="default" w:ascii="Times New Roman" w:hAnsi="Times New Roman" w:cs="Times New Roman"/>
                      <w:sz w:val="18"/>
                      <w:szCs w:val="18"/>
                    </w:rPr>
                  </w:pPr>
                </w:p>
              </w:tc>
              <w:tc>
                <w:tcPr>
                  <w:tcW w:w="1140" w:type="dxa"/>
                  <w:tcBorders>
                    <w:top w:val="single" w:color="auto" w:sz="2" w:space="0"/>
                    <w:left w:val="single" w:color="auto" w:sz="2" w:space="0"/>
                    <w:bottom w:val="single" w:color="auto" w:sz="2" w:space="0"/>
                    <w:right w:val="single" w:color="auto" w:sz="2" w:space="0"/>
                  </w:tcBorders>
                  <w:vAlign w:val="center"/>
                </w:tcPr>
                <w:p w14:paraId="437D9571">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b w:val="0"/>
                      <w:bCs w:val="0"/>
                      <w:kern w:val="2"/>
                      <w:sz w:val="18"/>
                      <w:szCs w:val="18"/>
                      <w:lang w:val="en-US" w:eastAsia="zh-CN" w:bidi="ar-SA"/>
                    </w:rPr>
                    <w:t>废活性炭</w:t>
                  </w:r>
                </w:p>
              </w:tc>
              <w:tc>
                <w:tcPr>
                  <w:tcW w:w="765" w:type="dxa"/>
                  <w:tcBorders>
                    <w:top w:val="single" w:color="auto" w:sz="2" w:space="0"/>
                    <w:left w:val="single" w:color="auto" w:sz="2" w:space="0"/>
                    <w:bottom w:val="single" w:color="auto" w:sz="2" w:space="0"/>
                    <w:right w:val="single" w:color="auto" w:sz="2" w:space="0"/>
                  </w:tcBorders>
                  <w:vAlign w:val="center"/>
                </w:tcPr>
                <w:p w14:paraId="72D62066">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lang w:val="en-US" w:eastAsia="zh-CN"/>
                    </w:rPr>
                    <w:t>HW49</w:t>
                  </w:r>
                </w:p>
              </w:tc>
              <w:tc>
                <w:tcPr>
                  <w:tcW w:w="1385" w:type="dxa"/>
                  <w:tcBorders>
                    <w:top w:val="single" w:color="auto" w:sz="2" w:space="0"/>
                    <w:left w:val="single" w:color="auto" w:sz="2" w:space="0"/>
                    <w:bottom w:val="single" w:color="auto" w:sz="2" w:space="0"/>
                    <w:right w:val="single" w:color="auto" w:sz="2" w:space="0"/>
                  </w:tcBorders>
                  <w:vAlign w:val="center"/>
                </w:tcPr>
                <w:p w14:paraId="3820AE63">
                  <w:pPr>
                    <w:autoSpaceDE w:val="0"/>
                    <w:autoSpaceDN w:val="0"/>
                    <w:adjustRightInd w:val="0"/>
                    <w:spacing w:line="240" w:lineRule="exact"/>
                    <w:jc w:val="center"/>
                    <w:rPr>
                      <w:rFonts w:hint="eastAsia" w:ascii="Times New Roman" w:hAnsi="Times New Roman" w:eastAsia="宋体" w:cs="Times New Roman"/>
                      <w:kern w:val="2"/>
                      <w:sz w:val="18"/>
                      <w:szCs w:val="18"/>
                      <w:lang w:val="en-US" w:eastAsia="zh-CN" w:bidi="ar-SA"/>
                    </w:rPr>
                  </w:pPr>
                  <w:r>
                    <w:rPr>
                      <w:rFonts w:hint="eastAsia" w:cs="Times New Roman"/>
                      <w:sz w:val="18"/>
                      <w:szCs w:val="18"/>
                      <w:highlight w:val="none"/>
                      <w:lang w:val="en-US" w:eastAsia="zh-CN"/>
                    </w:rPr>
                    <w:t>900-039-49</w:t>
                  </w:r>
                </w:p>
              </w:tc>
              <w:tc>
                <w:tcPr>
                  <w:tcW w:w="799" w:type="dxa"/>
                  <w:vMerge w:val="continue"/>
                  <w:tcBorders>
                    <w:left w:val="single" w:color="auto" w:sz="2" w:space="0"/>
                    <w:right w:val="single" w:color="auto" w:sz="2" w:space="0"/>
                  </w:tcBorders>
                  <w:vAlign w:val="center"/>
                </w:tcPr>
                <w:p w14:paraId="729C61B8">
                  <w:pPr>
                    <w:autoSpaceDE w:val="0"/>
                    <w:autoSpaceDN w:val="0"/>
                    <w:adjustRightInd w:val="0"/>
                    <w:spacing w:line="300" w:lineRule="exact"/>
                    <w:jc w:val="center"/>
                    <w:rPr>
                      <w:rFonts w:hint="eastAsia" w:cs="Times New Roman"/>
                      <w:sz w:val="18"/>
                      <w:szCs w:val="18"/>
                      <w:lang w:eastAsia="zh-CN"/>
                    </w:rPr>
                  </w:pPr>
                </w:p>
              </w:tc>
              <w:tc>
                <w:tcPr>
                  <w:tcW w:w="651" w:type="dxa"/>
                  <w:tcBorders>
                    <w:top w:val="single" w:color="auto" w:sz="2" w:space="0"/>
                    <w:left w:val="single" w:color="auto" w:sz="2" w:space="0"/>
                    <w:bottom w:val="single" w:color="auto" w:sz="2" w:space="0"/>
                    <w:right w:val="single" w:color="auto" w:sz="2" w:space="0"/>
                  </w:tcBorders>
                  <w:vAlign w:val="center"/>
                </w:tcPr>
                <w:p w14:paraId="26777254">
                  <w:pPr>
                    <w:autoSpaceDE w:val="0"/>
                    <w:autoSpaceDN w:val="0"/>
                    <w:adjustRightInd w:val="0"/>
                    <w:spacing w:line="300" w:lineRule="exact"/>
                    <w:jc w:val="center"/>
                    <w:rPr>
                      <w:rFonts w:hint="eastAsia" w:cs="Times New Roman"/>
                      <w:sz w:val="18"/>
                      <w:szCs w:val="18"/>
                      <w:lang w:val="en-US" w:eastAsia="zh-CN"/>
                    </w:rPr>
                  </w:pPr>
                  <w:r>
                    <w:rPr>
                      <w:rFonts w:hint="eastAsia" w:cs="Times New Roman"/>
                      <w:sz w:val="18"/>
                      <w:szCs w:val="18"/>
                      <w:lang w:val="en-US" w:eastAsia="zh-CN"/>
                    </w:rPr>
                    <w:t>3</w:t>
                  </w:r>
                  <w:r>
                    <w:rPr>
                      <w:rFonts w:hint="default" w:ascii="Times New Roman" w:hAnsi="Times New Roman" w:cs="Times New Roman"/>
                      <w:sz w:val="18"/>
                      <w:szCs w:val="18"/>
                    </w:rPr>
                    <w:t>m</w:t>
                  </w:r>
                  <w:r>
                    <w:rPr>
                      <w:rFonts w:hint="default" w:ascii="Times New Roman" w:hAnsi="Times New Roman" w:cs="Times New Roman"/>
                      <w:sz w:val="18"/>
                      <w:szCs w:val="18"/>
                      <w:vertAlign w:val="superscript"/>
                    </w:rPr>
                    <w:t>2</w:t>
                  </w:r>
                </w:p>
              </w:tc>
              <w:tc>
                <w:tcPr>
                  <w:tcW w:w="1249" w:type="dxa"/>
                  <w:tcBorders>
                    <w:top w:val="single" w:color="auto" w:sz="2" w:space="0"/>
                    <w:left w:val="single" w:color="auto" w:sz="2" w:space="0"/>
                    <w:bottom w:val="single" w:color="auto" w:sz="2" w:space="0"/>
                    <w:right w:val="single" w:color="auto" w:sz="2" w:space="0"/>
                  </w:tcBorders>
                  <w:vAlign w:val="center"/>
                </w:tcPr>
                <w:p w14:paraId="0D2D2A52">
                  <w:pPr>
                    <w:autoSpaceDE w:val="0"/>
                    <w:autoSpaceDN w:val="0"/>
                    <w:adjustRightInd w:val="0"/>
                    <w:spacing w:line="300" w:lineRule="exact"/>
                    <w:jc w:val="center"/>
                    <w:rPr>
                      <w:rFonts w:hint="eastAsia" w:cs="Times New Roman"/>
                      <w:sz w:val="18"/>
                      <w:szCs w:val="18"/>
                      <w:lang w:eastAsia="zh-CN"/>
                    </w:rPr>
                  </w:pPr>
                  <w:r>
                    <w:rPr>
                      <w:rFonts w:hint="eastAsia" w:cs="Times New Roman"/>
                      <w:sz w:val="18"/>
                      <w:szCs w:val="18"/>
                      <w:lang w:eastAsia="zh-CN"/>
                    </w:rPr>
                    <w:t>箱装密闭</w:t>
                  </w:r>
                </w:p>
              </w:tc>
              <w:tc>
                <w:tcPr>
                  <w:tcW w:w="832" w:type="dxa"/>
                  <w:tcBorders>
                    <w:top w:val="single" w:color="auto" w:sz="2" w:space="0"/>
                    <w:left w:val="single" w:color="auto" w:sz="2" w:space="0"/>
                    <w:bottom w:val="single" w:color="auto" w:sz="2" w:space="0"/>
                    <w:right w:val="single" w:color="auto" w:sz="2" w:space="0"/>
                  </w:tcBorders>
                  <w:vAlign w:val="center"/>
                </w:tcPr>
                <w:p w14:paraId="310AB4F2">
                  <w:pPr>
                    <w:autoSpaceDE w:val="0"/>
                    <w:autoSpaceDN w:val="0"/>
                    <w:adjustRightInd w:val="0"/>
                    <w:spacing w:line="300" w:lineRule="exact"/>
                    <w:jc w:val="center"/>
                    <w:rPr>
                      <w:rFonts w:hint="default" w:ascii="Times New Roman" w:hAnsi="Times New Roman" w:cs="Times New Roman"/>
                      <w:sz w:val="18"/>
                      <w:szCs w:val="18"/>
                    </w:rPr>
                  </w:pPr>
                  <w:r>
                    <w:rPr>
                      <w:rFonts w:hint="eastAsia" w:cs="Times New Roman"/>
                      <w:sz w:val="18"/>
                      <w:szCs w:val="18"/>
                      <w:lang w:val="en-US" w:eastAsia="zh-CN"/>
                    </w:rPr>
                    <w:t>半</w:t>
                  </w:r>
                  <w:r>
                    <w:rPr>
                      <w:rFonts w:hint="default" w:ascii="Times New Roman" w:hAnsi="Times New Roman" w:cs="Times New Roman"/>
                      <w:sz w:val="18"/>
                      <w:szCs w:val="18"/>
                    </w:rPr>
                    <w:t>年</w:t>
                  </w:r>
                </w:p>
              </w:tc>
            </w:tr>
          </w:tbl>
          <w:p w14:paraId="69A31CB7">
            <w:pPr>
              <w:autoSpaceDE w:val="0"/>
              <w:autoSpaceDN w:val="0"/>
              <w:adjustRightInd w:val="0"/>
              <w:snapToGrid w:val="0"/>
              <w:spacing w:line="360" w:lineRule="auto"/>
              <w:ind w:firstLine="420" w:firstLineChars="200"/>
            </w:pPr>
            <w:r>
              <w:t>危险废物仓库建设应满足《危险废物贮存污染控制标准》（GB18597-20</w:t>
            </w:r>
            <w:r>
              <w:rPr>
                <w:rFonts w:hint="eastAsia"/>
                <w:lang w:val="en-US" w:eastAsia="zh-CN"/>
              </w:rPr>
              <w:t>23</w:t>
            </w:r>
            <w:r>
              <w:t>）相关要求，主要包括：</w:t>
            </w:r>
          </w:p>
          <w:p w14:paraId="789A63B9">
            <w:pPr>
              <w:keepNext w:val="0"/>
              <w:keepLines w:val="0"/>
              <w:widowControl/>
              <w:suppressLineNumbers w:val="0"/>
              <w:spacing w:line="360" w:lineRule="auto"/>
              <w:ind w:firstLine="420" w:firstLineChars="200"/>
              <w:jc w:val="both"/>
              <w:rPr>
                <w:sz w:val="21"/>
                <w:szCs w:val="21"/>
              </w:rPr>
            </w:pPr>
            <w:r>
              <w:rPr>
                <w:sz w:val="21"/>
                <w:szCs w:val="21"/>
              </w:rPr>
              <w:t>①</w:t>
            </w:r>
            <w:r>
              <w:rPr>
                <w:rFonts w:hint="eastAsia" w:ascii="宋体" w:hAnsi="宋体" w:eastAsia="宋体" w:cs="宋体"/>
                <w:color w:val="000000"/>
                <w:kern w:val="0"/>
                <w:sz w:val="21"/>
                <w:szCs w:val="21"/>
                <w:lang w:val="en-US" w:eastAsia="zh-CN" w:bidi="ar"/>
              </w:rPr>
              <w:t>贮存设施应根据危险废物的形态、物理化学性质、包装形式和污染物迁移途径，采取必要的防风、防晒、防雨、防漏、防渗、防腐以及其他环境污染防治措施，不应露天堆放危险废物</w:t>
            </w:r>
            <w:r>
              <w:rPr>
                <w:sz w:val="21"/>
                <w:szCs w:val="21"/>
              </w:rPr>
              <w:t>；</w:t>
            </w:r>
          </w:p>
          <w:p w14:paraId="683A274A">
            <w:pPr>
              <w:keepNext w:val="0"/>
              <w:keepLines w:val="0"/>
              <w:widowControl/>
              <w:suppressLineNumbers w:val="0"/>
              <w:spacing w:line="360" w:lineRule="auto"/>
              <w:ind w:firstLine="420" w:firstLineChars="200"/>
              <w:jc w:val="both"/>
              <w:rPr>
                <w:sz w:val="21"/>
                <w:szCs w:val="21"/>
              </w:rPr>
            </w:pPr>
            <w:r>
              <w:rPr>
                <w:sz w:val="21"/>
                <w:szCs w:val="21"/>
              </w:rPr>
              <w:t>②</w:t>
            </w:r>
            <w:r>
              <w:rPr>
                <w:rFonts w:hint="eastAsia" w:ascii="宋体" w:hAnsi="宋体" w:eastAsia="宋体" w:cs="宋体"/>
                <w:color w:val="000000"/>
                <w:kern w:val="0"/>
                <w:sz w:val="21"/>
                <w:szCs w:val="21"/>
                <w:lang w:val="en-US" w:eastAsia="zh-CN" w:bidi="ar"/>
              </w:rPr>
              <w:t>贮存设施应根据危险废物的类别、数量、形态、物理化学性质和污染防治等要求设置必要的贮存分区，避免不相容的危险废物接触、混合</w:t>
            </w:r>
            <w:r>
              <w:rPr>
                <w:sz w:val="21"/>
                <w:szCs w:val="21"/>
              </w:rPr>
              <w:t>；</w:t>
            </w:r>
          </w:p>
          <w:p w14:paraId="530ADBC1">
            <w:pPr>
              <w:keepNext w:val="0"/>
              <w:keepLines w:val="0"/>
              <w:widowControl/>
              <w:suppressLineNumbers w:val="0"/>
              <w:spacing w:line="360" w:lineRule="auto"/>
              <w:ind w:firstLine="420" w:firstLineChars="200"/>
              <w:jc w:val="both"/>
              <w:rPr>
                <w:sz w:val="21"/>
                <w:szCs w:val="21"/>
              </w:rPr>
            </w:pPr>
            <w:r>
              <w:rPr>
                <w:sz w:val="21"/>
                <w:szCs w:val="21"/>
              </w:rPr>
              <w:t>③</w:t>
            </w:r>
            <w:r>
              <w:rPr>
                <w:rFonts w:hint="eastAsia" w:ascii="宋体" w:hAnsi="宋体" w:eastAsia="宋体" w:cs="宋体"/>
                <w:color w:val="000000"/>
                <w:kern w:val="0"/>
                <w:sz w:val="21"/>
                <w:szCs w:val="21"/>
                <w:lang w:val="en-US" w:eastAsia="zh-CN" w:bidi="ar"/>
              </w:rPr>
              <w:t>贮存设施或贮存分区内地面、墙面裙脚、堵截泄漏的围堰、接触危险废物的隔板和墙体等应采用坚固的材料建造，表面无裂缝</w:t>
            </w:r>
            <w:r>
              <w:rPr>
                <w:sz w:val="21"/>
                <w:szCs w:val="21"/>
              </w:rPr>
              <w:t>；</w:t>
            </w:r>
          </w:p>
          <w:p w14:paraId="341EA1CA">
            <w:pPr>
              <w:keepNext w:val="0"/>
              <w:keepLines w:val="0"/>
              <w:widowControl/>
              <w:suppressLineNumbers w:val="0"/>
              <w:spacing w:line="360" w:lineRule="auto"/>
              <w:ind w:firstLine="420" w:firstLineChars="200"/>
              <w:jc w:val="both"/>
              <w:rPr>
                <w:sz w:val="21"/>
                <w:szCs w:val="21"/>
              </w:rPr>
            </w:pPr>
            <w:r>
              <w:rPr>
                <w:sz w:val="21"/>
                <w:szCs w:val="21"/>
              </w:rPr>
              <w:t>④</w:t>
            </w:r>
            <w:r>
              <w:rPr>
                <w:rFonts w:hint="eastAsia" w:ascii="宋体" w:hAnsi="宋体" w:eastAsia="宋体" w:cs="宋体"/>
                <w:color w:val="000000"/>
                <w:kern w:val="0"/>
                <w:sz w:val="21"/>
                <w:szCs w:val="21"/>
                <w:lang w:val="en-US" w:eastAsia="zh-CN" w:bidi="ar"/>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w:t>
            </w:r>
            <w:r>
              <w:rPr>
                <w:rFonts w:hint="default" w:ascii="Times New Roman" w:hAnsi="Times New Roman" w:eastAsia="宋体" w:cs="Times New Roman"/>
                <w:color w:val="000000"/>
                <w:kern w:val="0"/>
                <w:sz w:val="21"/>
                <w:szCs w:val="21"/>
                <w:lang w:val="en-US" w:eastAsia="zh-CN" w:bidi="ar"/>
              </w:rPr>
              <w:t xml:space="preserve">1m </w:t>
            </w:r>
            <w:r>
              <w:rPr>
                <w:rFonts w:hint="eastAsia" w:ascii="宋体" w:hAnsi="宋体" w:eastAsia="宋体" w:cs="宋体"/>
                <w:color w:val="000000"/>
                <w:kern w:val="0"/>
                <w:sz w:val="21"/>
                <w:szCs w:val="21"/>
                <w:lang w:val="en-US" w:eastAsia="zh-CN" w:bidi="ar"/>
              </w:rPr>
              <w:t>厚黏土层（渗透系数不大于</w:t>
            </w:r>
            <w:r>
              <w:rPr>
                <w:rFonts w:hint="default" w:ascii="Times New Roman" w:hAnsi="Times New Roman" w:eastAsia="宋体" w:cs="Times New Roman"/>
                <w:color w:val="000000"/>
                <w:kern w:val="0"/>
                <w:sz w:val="21"/>
                <w:szCs w:val="21"/>
                <w:lang w:val="en-US" w:eastAsia="zh-CN" w:bidi="ar"/>
              </w:rPr>
              <w:t>10</w:t>
            </w:r>
            <w:r>
              <w:rPr>
                <w:rFonts w:hint="default" w:ascii="Times New Roman" w:hAnsi="Times New Roman" w:eastAsia="宋体" w:cs="Times New Roman"/>
                <w:color w:val="000000"/>
                <w:kern w:val="0"/>
                <w:sz w:val="21"/>
                <w:szCs w:val="21"/>
                <w:vertAlign w:val="superscript"/>
                <w:lang w:val="en-US" w:eastAsia="zh-CN" w:bidi="ar"/>
              </w:rPr>
              <w:t>-7</w:t>
            </w:r>
            <w:r>
              <w:rPr>
                <w:rFonts w:hint="default" w:ascii="Times New Roman" w:hAnsi="Times New Roman" w:eastAsia="宋体" w:cs="Times New Roman"/>
                <w:color w:val="000000"/>
                <w:kern w:val="0"/>
                <w:sz w:val="21"/>
                <w:szCs w:val="21"/>
                <w:lang w:val="en-US" w:eastAsia="zh-CN" w:bidi="ar"/>
              </w:rPr>
              <w:t>cm/s</w:t>
            </w:r>
            <w:r>
              <w:rPr>
                <w:rFonts w:hint="eastAsia" w:ascii="宋体" w:hAnsi="宋体" w:eastAsia="宋体" w:cs="宋体"/>
                <w:color w:val="000000"/>
                <w:kern w:val="0"/>
                <w:sz w:val="21"/>
                <w:szCs w:val="21"/>
                <w:lang w:val="en-US" w:eastAsia="zh-CN" w:bidi="ar"/>
              </w:rPr>
              <w:t>），或至少</w:t>
            </w:r>
            <w:r>
              <w:rPr>
                <w:rFonts w:hint="default" w:ascii="Times New Roman" w:hAnsi="Times New Roman" w:eastAsia="宋体" w:cs="Times New Roman"/>
                <w:color w:val="000000"/>
                <w:kern w:val="0"/>
                <w:sz w:val="21"/>
                <w:szCs w:val="21"/>
                <w:lang w:val="en-US" w:eastAsia="zh-CN" w:bidi="ar"/>
              </w:rPr>
              <w:t xml:space="preserve">2mm </w:t>
            </w:r>
            <w:r>
              <w:rPr>
                <w:rFonts w:hint="eastAsia" w:ascii="宋体" w:hAnsi="宋体" w:eastAsia="宋体" w:cs="宋体"/>
                <w:color w:val="000000"/>
                <w:kern w:val="0"/>
                <w:sz w:val="21"/>
                <w:szCs w:val="21"/>
                <w:lang w:val="en-US" w:eastAsia="zh-CN" w:bidi="ar"/>
              </w:rPr>
              <w:t>厚高密度聚乙烯膜等人工防渗材料（渗透系数不大于</w:t>
            </w:r>
            <w:r>
              <w:rPr>
                <w:rFonts w:hint="default" w:ascii="Times New Roman" w:hAnsi="Times New Roman" w:eastAsia="宋体" w:cs="Times New Roman"/>
                <w:color w:val="000000"/>
                <w:kern w:val="0"/>
                <w:sz w:val="21"/>
                <w:szCs w:val="21"/>
                <w:lang w:val="en-US" w:eastAsia="zh-CN" w:bidi="ar"/>
              </w:rPr>
              <w:t>10</w:t>
            </w:r>
            <w:r>
              <w:rPr>
                <w:rFonts w:hint="default" w:ascii="Times New Roman" w:hAnsi="Times New Roman" w:eastAsia="宋体" w:cs="Times New Roman"/>
                <w:color w:val="000000"/>
                <w:kern w:val="0"/>
                <w:sz w:val="21"/>
                <w:szCs w:val="21"/>
                <w:vertAlign w:val="superscript"/>
                <w:lang w:val="en-US" w:eastAsia="zh-CN" w:bidi="ar"/>
              </w:rPr>
              <w:t>-10</w:t>
            </w:r>
            <w:r>
              <w:rPr>
                <w:rFonts w:hint="default" w:ascii="Times New Roman" w:hAnsi="Times New Roman" w:eastAsia="宋体" w:cs="Times New Roman"/>
                <w:color w:val="000000"/>
                <w:kern w:val="0"/>
                <w:sz w:val="21"/>
                <w:szCs w:val="21"/>
                <w:lang w:val="en-US" w:eastAsia="zh-CN" w:bidi="ar"/>
              </w:rPr>
              <w:t>cm/s</w:t>
            </w:r>
            <w:r>
              <w:rPr>
                <w:rFonts w:hint="eastAsia" w:ascii="宋体" w:hAnsi="宋体" w:eastAsia="宋体" w:cs="宋体"/>
                <w:color w:val="000000"/>
                <w:kern w:val="0"/>
                <w:sz w:val="21"/>
                <w:szCs w:val="21"/>
                <w:lang w:val="en-US" w:eastAsia="zh-CN" w:bidi="ar"/>
              </w:rPr>
              <w:t>），或其他防渗性能等效的材料</w:t>
            </w:r>
            <w:r>
              <w:rPr>
                <w:sz w:val="21"/>
                <w:szCs w:val="21"/>
              </w:rPr>
              <w:t>；</w:t>
            </w:r>
          </w:p>
          <w:p w14:paraId="11125E96">
            <w:pPr>
              <w:keepNext w:val="0"/>
              <w:keepLines w:val="0"/>
              <w:widowControl/>
              <w:suppressLineNumbers w:val="0"/>
              <w:spacing w:line="360" w:lineRule="auto"/>
              <w:ind w:firstLine="420" w:firstLineChars="200"/>
              <w:jc w:val="both"/>
              <w:rPr>
                <w:sz w:val="21"/>
                <w:szCs w:val="21"/>
              </w:rPr>
            </w:pPr>
            <w:r>
              <w:rPr>
                <w:sz w:val="21"/>
                <w:szCs w:val="21"/>
              </w:rPr>
              <w:t>⑤</w:t>
            </w:r>
            <w:r>
              <w:rPr>
                <w:rFonts w:hint="eastAsia" w:ascii="宋体" w:hAnsi="宋体" w:eastAsia="宋体" w:cs="宋体"/>
                <w:color w:val="000000"/>
                <w:kern w:val="0"/>
                <w:sz w:val="21"/>
                <w:szCs w:val="21"/>
                <w:lang w:val="en-US" w:eastAsia="zh-CN" w:bidi="ar"/>
              </w:rPr>
              <w:t>同一贮存设施宜采用相同的防渗、防腐工艺（包括防渗、防腐结构或材料），防渗、防腐材料应覆盖所有可能与废物及其渗滤液、渗漏液等接触的构筑物表面；采用不同防渗、防腐工艺应分别建设贮存分区</w:t>
            </w:r>
            <w:r>
              <w:rPr>
                <w:sz w:val="21"/>
                <w:szCs w:val="21"/>
              </w:rPr>
              <w:t>；</w:t>
            </w:r>
          </w:p>
          <w:p w14:paraId="0610F3BE">
            <w:pPr>
              <w:keepNext w:val="0"/>
              <w:keepLines w:val="0"/>
              <w:widowControl/>
              <w:suppressLineNumbers w:val="0"/>
              <w:spacing w:line="360" w:lineRule="auto"/>
              <w:ind w:firstLine="420" w:firstLineChars="200"/>
              <w:jc w:val="left"/>
              <w:rPr>
                <w:sz w:val="21"/>
                <w:szCs w:val="21"/>
              </w:rPr>
            </w:pPr>
            <w:r>
              <w:rPr>
                <w:sz w:val="21"/>
                <w:szCs w:val="21"/>
              </w:rPr>
              <w:t>⑥</w:t>
            </w:r>
            <w:r>
              <w:rPr>
                <w:rFonts w:hint="eastAsia" w:ascii="宋体" w:hAnsi="宋体" w:eastAsia="宋体" w:cs="宋体"/>
                <w:color w:val="000000"/>
                <w:kern w:val="0"/>
                <w:sz w:val="21"/>
                <w:szCs w:val="21"/>
                <w:lang w:val="en-US" w:eastAsia="zh-CN" w:bidi="ar"/>
              </w:rPr>
              <w:t>贮存设施应采取技术和管理措施防止无关人员进入</w:t>
            </w:r>
            <w:r>
              <w:rPr>
                <w:sz w:val="21"/>
                <w:szCs w:val="21"/>
              </w:rPr>
              <w:t>；</w:t>
            </w:r>
          </w:p>
          <w:p w14:paraId="2794A02F">
            <w:pPr>
              <w:adjustRightInd w:val="0"/>
              <w:snapToGrid w:val="0"/>
              <w:spacing w:line="360" w:lineRule="auto"/>
              <w:ind w:firstLine="420" w:firstLineChars="200"/>
            </w:pPr>
            <w:r>
              <w:t>危废存储转运作好危险废物情况的记录，记录上注明危险废物的名称、来源、数量、特性和包装容器的类别、入库日期、存放库位、废物出库日期及接收单位名称；危险废物的记录和货单在危险废物</w:t>
            </w:r>
            <w:r>
              <w:rPr>
                <w:rFonts w:hint="eastAsia"/>
                <w:lang w:eastAsia="zh-CN"/>
              </w:rPr>
              <w:t>处置</w:t>
            </w:r>
            <w:r>
              <w:t>后应继续保留</w:t>
            </w:r>
            <w:r>
              <w:rPr>
                <w:rFonts w:hint="eastAsia"/>
                <w:lang w:eastAsia="zh-CN"/>
              </w:rPr>
              <w:t>五</w:t>
            </w:r>
            <w:r>
              <w:t>年。</w:t>
            </w:r>
          </w:p>
          <w:p w14:paraId="2D9BA110">
            <w:pPr>
              <w:adjustRightInd w:val="0"/>
              <w:snapToGrid w:val="0"/>
              <w:spacing w:line="360" w:lineRule="auto"/>
              <w:ind w:firstLine="422" w:firstLineChars="200"/>
              <w:rPr>
                <w:b/>
              </w:rPr>
            </w:pPr>
            <w:r>
              <w:rPr>
                <w:b/>
              </w:rPr>
              <w:t>五、地下水</w:t>
            </w:r>
          </w:p>
          <w:p w14:paraId="5F75866F">
            <w:pPr>
              <w:adjustRightInd w:val="0"/>
              <w:snapToGrid w:val="0"/>
              <w:spacing w:line="360" w:lineRule="auto"/>
              <w:ind w:firstLine="420" w:firstLineChars="200"/>
              <w:rPr>
                <w:bCs/>
              </w:rPr>
            </w:pPr>
            <w:r>
              <w:rPr>
                <w:bCs/>
              </w:rPr>
              <w:t>1、污染途径、类型</w:t>
            </w:r>
          </w:p>
          <w:p w14:paraId="369AD3B7">
            <w:pPr>
              <w:adjustRightInd w:val="0"/>
              <w:snapToGrid w:val="0"/>
              <w:spacing w:line="360" w:lineRule="auto"/>
              <w:ind w:firstLine="420" w:firstLineChars="200"/>
            </w:pPr>
            <w:r>
              <w:t>本项目污染源主要为化粪池</w:t>
            </w:r>
            <w:r>
              <w:rPr>
                <w:rFonts w:hint="eastAsia"/>
                <w:lang w:eastAsia="zh-CN"/>
              </w:rPr>
              <w:t>、危废间</w:t>
            </w:r>
            <w:r>
              <w:t>。主要污染因子为</w:t>
            </w:r>
            <w:r>
              <w:rPr>
                <w:rFonts w:hint="eastAsia"/>
                <w:lang w:eastAsia="zh-CN"/>
              </w:rPr>
              <w:t>悬浮物、</w:t>
            </w:r>
            <w:r>
              <w:t>COD、氨氮</w:t>
            </w:r>
            <w:r>
              <w:rPr>
                <w:rFonts w:hint="eastAsia"/>
                <w:lang w:eastAsia="zh-CN"/>
              </w:rPr>
              <w:t>、石油烃</w:t>
            </w:r>
            <w:r>
              <w:t>等。化粪池</w:t>
            </w:r>
            <w:r>
              <w:rPr>
                <w:rFonts w:hint="eastAsia"/>
                <w:lang w:eastAsia="zh-CN"/>
              </w:rPr>
              <w:t>、危废间均</w:t>
            </w:r>
            <w:r>
              <w:t>进行相应的防渗和硬化处理，即使上述污染源发生泄漏在防渗层完好的情况下也不会发生垂直入渗现象。故而本项目对地下水几乎无影响途径。</w:t>
            </w:r>
          </w:p>
          <w:p w14:paraId="125FEB05">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2、采取保护措施及影响分析</w:t>
            </w:r>
          </w:p>
          <w:p w14:paraId="1DFC68D5">
            <w:pPr>
              <w:adjustRightInd w:val="0"/>
              <w:snapToGrid w:val="0"/>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本项目化粪池</w:t>
            </w:r>
            <w:r>
              <w:rPr>
                <w:rFonts w:hint="default" w:ascii="Times New Roman" w:hAnsi="Times New Roman" w:cs="Times New Roman"/>
                <w:bCs/>
                <w:szCs w:val="21"/>
                <w:lang w:eastAsia="zh-CN"/>
              </w:rPr>
              <w:t>、</w:t>
            </w:r>
            <w:r>
              <w:rPr>
                <w:rFonts w:hint="default" w:ascii="Times New Roman" w:hAnsi="Times New Roman" w:cs="Times New Roman"/>
                <w:bCs/>
                <w:szCs w:val="21"/>
              </w:rPr>
              <w:t>危废间需严格进行防渗硬化，进行重点防渗处理，车间进行一般防渗。分区防渗措施见表4-</w:t>
            </w:r>
            <w:r>
              <w:rPr>
                <w:rFonts w:hint="eastAsia" w:cs="Times New Roman"/>
                <w:bCs/>
                <w:szCs w:val="21"/>
                <w:lang w:val="en-US" w:eastAsia="zh-CN"/>
              </w:rPr>
              <w:t>28</w:t>
            </w:r>
            <w:r>
              <w:rPr>
                <w:rFonts w:hint="default" w:ascii="Times New Roman" w:hAnsi="Times New Roman" w:cs="Times New Roman"/>
                <w:bCs/>
                <w:szCs w:val="21"/>
              </w:rPr>
              <w:t>。企业定期对地面进行检查维护，防止防渗层的破坏，在采取相应的措施后，即使发生泄漏由于进行防渗处理，废液也无法进行下渗，本项目的运营几乎没有影响途径，对地下水影响较小。</w:t>
            </w:r>
          </w:p>
          <w:p w14:paraId="1EA6A312">
            <w:pPr>
              <w:autoSpaceDE w:val="0"/>
              <w:autoSpaceDN w:val="0"/>
              <w:adjustRightInd w:val="0"/>
              <w:spacing w:line="420" w:lineRule="exact"/>
              <w:ind w:firstLine="25" w:firstLineChars="12"/>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表4-</w:t>
            </w:r>
            <w:r>
              <w:rPr>
                <w:rFonts w:hint="default" w:ascii="Times New Roman" w:hAnsi="Times New Roman" w:eastAsia="宋体" w:cs="Times New Roman"/>
                <w:b/>
                <w:bCs/>
                <w:szCs w:val="21"/>
                <w:lang w:val="en-US" w:eastAsia="zh-CN"/>
              </w:rPr>
              <w:t>2</w:t>
            </w:r>
            <w:r>
              <w:rPr>
                <w:rFonts w:hint="eastAsia" w:ascii="Times New Roman" w:hAnsi="Times New Roman" w:eastAsia="宋体" w:cs="Times New Roman"/>
                <w:b/>
                <w:bCs/>
                <w:szCs w:val="21"/>
                <w:lang w:val="en-US" w:eastAsia="zh-CN"/>
              </w:rPr>
              <w:t>8</w:t>
            </w:r>
            <w:r>
              <w:rPr>
                <w:rFonts w:hint="default" w:ascii="Times New Roman" w:hAnsi="Times New Roman" w:eastAsia="宋体" w:cs="Times New Roman"/>
                <w:b/>
                <w:bCs/>
                <w:szCs w:val="21"/>
              </w:rPr>
              <w:t xml:space="preserve">  拟建项目拟采取的防腐、防渗措施</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0"/>
              <w:gridCol w:w="1275"/>
              <w:gridCol w:w="2127"/>
              <w:gridCol w:w="3862"/>
            </w:tblGrid>
            <w:tr w14:paraId="49539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vAlign w:val="center"/>
                </w:tcPr>
                <w:p w14:paraId="6D837A35">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序号</w:t>
                  </w:r>
                </w:p>
              </w:tc>
              <w:tc>
                <w:tcPr>
                  <w:tcW w:w="1275" w:type="dxa"/>
                  <w:tcBorders>
                    <w:top w:val="single" w:color="auto" w:sz="4" w:space="0"/>
                    <w:left w:val="single" w:color="auto" w:sz="4" w:space="0"/>
                    <w:bottom w:val="single" w:color="auto" w:sz="4" w:space="0"/>
                    <w:right w:val="single" w:color="auto" w:sz="4" w:space="0"/>
                  </w:tcBorders>
                  <w:vAlign w:val="center"/>
                </w:tcPr>
                <w:p w14:paraId="2E466770">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分区</w:t>
                  </w:r>
                </w:p>
              </w:tc>
              <w:tc>
                <w:tcPr>
                  <w:tcW w:w="2127" w:type="dxa"/>
                  <w:tcBorders>
                    <w:top w:val="single" w:color="auto" w:sz="4" w:space="0"/>
                    <w:left w:val="single" w:color="auto" w:sz="4" w:space="0"/>
                    <w:bottom w:val="single" w:color="auto" w:sz="4" w:space="0"/>
                    <w:right w:val="single" w:color="auto" w:sz="4" w:space="0"/>
                  </w:tcBorders>
                  <w:vAlign w:val="center"/>
                </w:tcPr>
                <w:p w14:paraId="775BFD71">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名称</w:t>
                  </w:r>
                </w:p>
              </w:tc>
              <w:tc>
                <w:tcPr>
                  <w:tcW w:w="3862" w:type="dxa"/>
                  <w:tcBorders>
                    <w:top w:val="single" w:color="auto" w:sz="4" w:space="0"/>
                    <w:left w:val="single" w:color="auto" w:sz="4" w:space="0"/>
                    <w:bottom w:val="single" w:color="auto" w:sz="4" w:space="0"/>
                    <w:right w:val="single" w:color="auto" w:sz="4" w:space="0"/>
                  </w:tcBorders>
                  <w:vAlign w:val="center"/>
                </w:tcPr>
                <w:p w14:paraId="5A081862">
                  <w:pPr>
                    <w:adjustRightInd w:val="0"/>
                    <w:snapToGri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防渗要求</w:t>
                  </w:r>
                </w:p>
              </w:tc>
            </w:tr>
            <w:tr w14:paraId="05305F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Merge w:val="restart"/>
                  <w:tcBorders>
                    <w:top w:val="single" w:color="auto" w:sz="4" w:space="0"/>
                    <w:left w:val="single" w:color="auto" w:sz="4" w:space="0"/>
                    <w:bottom w:val="single" w:color="auto" w:sz="4" w:space="0"/>
                    <w:right w:val="single" w:color="auto" w:sz="4" w:space="0"/>
                  </w:tcBorders>
                  <w:vAlign w:val="center"/>
                </w:tcPr>
                <w:p w14:paraId="722E9DAB">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1</w:t>
                  </w:r>
                </w:p>
              </w:tc>
              <w:tc>
                <w:tcPr>
                  <w:tcW w:w="1275" w:type="dxa"/>
                  <w:vMerge w:val="restart"/>
                  <w:tcBorders>
                    <w:top w:val="single" w:color="auto" w:sz="4" w:space="0"/>
                    <w:left w:val="single" w:color="auto" w:sz="4" w:space="0"/>
                    <w:bottom w:val="single" w:color="auto" w:sz="4" w:space="0"/>
                    <w:right w:val="single" w:color="auto" w:sz="4" w:space="0"/>
                  </w:tcBorders>
                  <w:vAlign w:val="center"/>
                </w:tcPr>
                <w:p w14:paraId="3A74C35E">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重点防渗区</w:t>
                  </w:r>
                </w:p>
              </w:tc>
              <w:tc>
                <w:tcPr>
                  <w:tcW w:w="2127" w:type="dxa"/>
                  <w:tcBorders>
                    <w:top w:val="single" w:color="auto" w:sz="4" w:space="0"/>
                    <w:left w:val="single" w:color="auto" w:sz="4" w:space="0"/>
                    <w:bottom w:val="single" w:color="auto" w:sz="4" w:space="0"/>
                    <w:right w:val="single" w:color="auto" w:sz="4" w:space="0"/>
                  </w:tcBorders>
                  <w:vAlign w:val="center"/>
                </w:tcPr>
                <w:p w14:paraId="745054B2">
                  <w:pPr>
                    <w:adjustRightInd w:val="0"/>
                    <w:snapToGrid w:val="0"/>
                    <w:spacing w:line="300" w:lineRule="exact"/>
                    <w:jc w:val="center"/>
                    <w:rPr>
                      <w:rFonts w:hint="default" w:ascii="Times New Roman" w:hAnsi="Times New Roman" w:eastAsia="宋体" w:cs="Times New Roman"/>
                      <w:sz w:val="18"/>
                      <w:szCs w:val="18"/>
                      <w:lang w:eastAsia="zh-CN"/>
                    </w:rPr>
                  </w:pPr>
                  <w:r>
                    <w:rPr>
                      <w:rFonts w:hint="default" w:ascii="Times New Roman" w:hAnsi="Times New Roman" w:cs="Times New Roman"/>
                      <w:sz w:val="18"/>
                      <w:szCs w:val="18"/>
                    </w:rPr>
                    <w:t>化粪池</w:t>
                  </w:r>
                </w:p>
              </w:tc>
              <w:tc>
                <w:tcPr>
                  <w:tcW w:w="3862" w:type="dxa"/>
                  <w:tcBorders>
                    <w:top w:val="single" w:color="auto" w:sz="4" w:space="0"/>
                    <w:left w:val="single" w:color="auto" w:sz="4" w:space="0"/>
                    <w:bottom w:val="single" w:color="auto" w:sz="4" w:space="0"/>
                    <w:right w:val="single" w:color="auto" w:sz="4" w:space="0"/>
                  </w:tcBorders>
                  <w:vAlign w:val="center"/>
                </w:tcPr>
                <w:p w14:paraId="2298DA56">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等效黏土防渗层Mb≥6.0m，K≤1×10</w:t>
                  </w:r>
                  <w:r>
                    <w:rPr>
                      <w:rFonts w:hint="default" w:ascii="Times New Roman" w:hAnsi="Times New Roman" w:cs="Times New Roman"/>
                      <w:sz w:val="18"/>
                      <w:szCs w:val="18"/>
                      <w:vertAlign w:val="superscript"/>
                    </w:rPr>
                    <w:t>-7</w:t>
                  </w:r>
                  <w:r>
                    <w:rPr>
                      <w:rFonts w:hint="default" w:ascii="Times New Roman" w:hAnsi="Times New Roman" w:cs="Times New Roman"/>
                      <w:sz w:val="18"/>
                      <w:szCs w:val="18"/>
                    </w:rPr>
                    <w:t>cm/s</w:t>
                  </w:r>
                </w:p>
              </w:tc>
            </w:tr>
            <w:tr w14:paraId="64512C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Merge w:val="continue"/>
                  <w:tcBorders>
                    <w:top w:val="single" w:color="auto" w:sz="4" w:space="0"/>
                    <w:left w:val="single" w:color="auto" w:sz="4" w:space="0"/>
                    <w:bottom w:val="single" w:color="auto" w:sz="4" w:space="0"/>
                    <w:right w:val="single" w:color="auto" w:sz="4" w:space="0"/>
                  </w:tcBorders>
                  <w:vAlign w:val="center"/>
                </w:tcPr>
                <w:p w14:paraId="41D88726">
                  <w:pPr>
                    <w:adjustRightInd w:val="0"/>
                    <w:snapToGrid w:val="0"/>
                    <w:spacing w:line="300" w:lineRule="exact"/>
                    <w:jc w:val="center"/>
                    <w:rPr>
                      <w:rFonts w:hint="default" w:ascii="Times New Roman" w:hAnsi="Times New Roman" w:cs="Times New Roman"/>
                      <w:sz w:val="18"/>
                      <w:szCs w:val="18"/>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178ABDCE">
                  <w:pPr>
                    <w:adjustRightInd w:val="0"/>
                    <w:snapToGrid w:val="0"/>
                    <w:spacing w:line="300" w:lineRule="exact"/>
                    <w:jc w:val="center"/>
                    <w:rPr>
                      <w:rFonts w:hint="default" w:ascii="Times New Roman" w:hAnsi="Times New Roman" w:cs="Times New Roman"/>
                      <w:sz w:val="18"/>
                      <w:szCs w:val="18"/>
                    </w:rPr>
                  </w:pPr>
                </w:p>
              </w:tc>
              <w:tc>
                <w:tcPr>
                  <w:tcW w:w="2127" w:type="dxa"/>
                  <w:tcBorders>
                    <w:top w:val="single" w:color="auto" w:sz="4" w:space="0"/>
                    <w:left w:val="single" w:color="auto" w:sz="4" w:space="0"/>
                    <w:bottom w:val="single" w:color="auto" w:sz="4" w:space="0"/>
                    <w:right w:val="single" w:color="auto" w:sz="4" w:space="0"/>
                  </w:tcBorders>
                  <w:vAlign w:val="center"/>
                </w:tcPr>
                <w:p w14:paraId="4287DDD8">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危废间</w:t>
                  </w:r>
                </w:p>
              </w:tc>
              <w:tc>
                <w:tcPr>
                  <w:tcW w:w="3862" w:type="dxa"/>
                  <w:tcBorders>
                    <w:top w:val="single" w:color="auto" w:sz="4" w:space="0"/>
                    <w:left w:val="single" w:color="auto" w:sz="4" w:space="0"/>
                    <w:bottom w:val="single" w:color="auto" w:sz="4" w:space="0"/>
                    <w:right w:val="single" w:color="auto" w:sz="4" w:space="0"/>
                  </w:tcBorders>
                  <w:vAlign w:val="center"/>
                </w:tcPr>
                <w:p w14:paraId="579E8AF7">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至少1m厚黏土层（渗透系数K≤1×10</w:t>
                  </w:r>
                  <w:r>
                    <w:rPr>
                      <w:rFonts w:hint="default" w:ascii="Times New Roman" w:hAnsi="Times New Roman" w:cs="Times New Roman"/>
                      <w:sz w:val="18"/>
                      <w:szCs w:val="18"/>
                      <w:vertAlign w:val="superscript"/>
                    </w:rPr>
                    <w:t>-7</w:t>
                  </w:r>
                  <w:r>
                    <w:rPr>
                      <w:rFonts w:hint="default" w:ascii="Times New Roman" w:hAnsi="Times New Roman" w:cs="Times New Roman"/>
                      <w:sz w:val="18"/>
                      <w:szCs w:val="18"/>
                    </w:rPr>
                    <w:t>cm/s），或2mm厚高密度聚乙烯膜，或至少2mm厚的其他人工材料，渗透系数≤10</w:t>
                  </w:r>
                  <w:r>
                    <w:rPr>
                      <w:rFonts w:hint="default" w:ascii="Times New Roman" w:hAnsi="Times New Roman" w:cs="Times New Roman"/>
                      <w:sz w:val="18"/>
                      <w:szCs w:val="18"/>
                      <w:vertAlign w:val="superscript"/>
                    </w:rPr>
                    <w:t>-10</w:t>
                  </w:r>
                  <w:r>
                    <w:rPr>
                      <w:rFonts w:hint="default" w:ascii="Times New Roman" w:hAnsi="Times New Roman" w:cs="Times New Roman"/>
                      <w:sz w:val="18"/>
                      <w:szCs w:val="18"/>
                    </w:rPr>
                    <w:t>cm/s</w:t>
                  </w:r>
                </w:p>
              </w:tc>
            </w:tr>
            <w:tr w14:paraId="2DBEF8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Merge w:val="restart"/>
                  <w:tcBorders>
                    <w:top w:val="single" w:color="auto" w:sz="4" w:space="0"/>
                    <w:left w:val="single" w:color="auto" w:sz="4" w:space="0"/>
                    <w:bottom w:val="single" w:color="auto" w:sz="4" w:space="0"/>
                    <w:right w:val="single" w:color="auto" w:sz="4" w:space="0"/>
                  </w:tcBorders>
                  <w:vAlign w:val="center"/>
                </w:tcPr>
                <w:p w14:paraId="365AF7A2">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2</w:t>
                  </w:r>
                </w:p>
              </w:tc>
              <w:tc>
                <w:tcPr>
                  <w:tcW w:w="1275" w:type="dxa"/>
                  <w:vMerge w:val="restart"/>
                  <w:tcBorders>
                    <w:top w:val="single" w:color="auto" w:sz="4" w:space="0"/>
                    <w:left w:val="single" w:color="auto" w:sz="4" w:space="0"/>
                    <w:bottom w:val="single" w:color="auto" w:sz="4" w:space="0"/>
                    <w:right w:val="single" w:color="auto" w:sz="4" w:space="0"/>
                  </w:tcBorders>
                  <w:vAlign w:val="center"/>
                </w:tcPr>
                <w:p w14:paraId="20DB331C">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一般防渗区</w:t>
                  </w:r>
                </w:p>
              </w:tc>
              <w:tc>
                <w:tcPr>
                  <w:tcW w:w="2127" w:type="dxa"/>
                  <w:tcBorders>
                    <w:top w:val="single" w:color="auto" w:sz="4" w:space="0"/>
                    <w:left w:val="single" w:color="auto" w:sz="4" w:space="0"/>
                    <w:bottom w:val="single" w:color="auto" w:sz="4" w:space="0"/>
                    <w:right w:val="single" w:color="auto" w:sz="4" w:space="0"/>
                  </w:tcBorders>
                  <w:vAlign w:val="center"/>
                </w:tcPr>
                <w:p w14:paraId="127F9D93">
                  <w:pPr>
                    <w:adjustRightInd w:val="0"/>
                    <w:snapToGrid w:val="0"/>
                    <w:spacing w:line="300" w:lineRule="exact"/>
                    <w:jc w:val="center"/>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生产区</w:t>
                  </w:r>
                  <w:r>
                    <w:rPr>
                      <w:rFonts w:hint="eastAsia" w:cs="Times New Roman"/>
                      <w:sz w:val="18"/>
                      <w:szCs w:val="18"/>
                      <w:lang w:eastAsia="zh-CN"/>
                    </w:rPr>
                    <w:t>（含储存区）</w:t>
                  </w:r>
                </w:p>
              </w:tc>
              <w:tc>
                <w:tcPr>
                  <w:tcW w:w="3862" w:type="dxa"/>
                  <w:vMerge w:val="restart"/>
                  <w:tcBorders>
                    <w:top w:val="single" w:color="auto" w:sz="4" w:space="0"/>
                    <w:left w:val="single" w:color="auto" w:sz="4" w:space="0"/>
                    <w:bottom w:val="single" w:color="auto" w:sz="4" w:space="0"/>
                    <w:right w:val="single" w:color="auto" w:sz="4" w:space="0"/>
                  </w:tcBorders>
                  <w:vAlign w:val="center"/>
                </w:tcPr>
                <w:p w14:paraId="72309D19">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等效黏土防渗层Mb≥1.5m，K≤1×10</w:t>
                  </w:r>
                  <w:r>
                    <w:rPr>
                      <w:rFonts w:hint="default" w:ascii="Times New Roman" w:hAnsi="Times New Roman" w:cs="Times New Roman"/>
                      <w:sz w:val="18"/>
                      <w:szCs w:val="18"/>
                      <w:vertAlign w:val="superscript"/>
                    </w:rPr>
                    <w:t>-7</w:t>
                  </w:r>
                  <w:r>
                    <w:rPr>
                      <w:rFonts w:hint="default" w:ascii="Times New Roman" w:hAnsi="Times New Roman" w:cs="Times New Roman"/>
                      <w:sz w:val="18"/>
                      <w:szCs w:val="18"/>
                    </w:rPr>
                    <w:t>cm/s</w:t>
                  </w:r>
                </w:p>
              </w:tc>
            </w:tr>
            <w:tr w14:paraId="7365DE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Merge w:val="continue"/>
                  <w:tcBorders>
                    <w:top w:val="single" w:color="auto" w:sz="4" w:space="0"/>
                    <w:left w:val="single" w:color="auto" w:sz="4" w:space="0"/>
                    <w:bottom w:val="single" w:color="auto" w:sz="4" w:space="0"/>
                    <w:right w:val="single" w:color="auto" w:sz="4" w:space="0"/>
                  </w:tcBorders>
                  <w:vAlign w:val="center"/>
                </w:tcPr>
                <w:p w14:paraId="47A3A8CA">
                  <w:pPr>
                    <w:adjustRightInd w:val="0"/>
                    <w:snapToGrid w:val="0"/>
                    <w:spacing w:line="300" w:lineRule="exact"/>
                    <w:jc w:val="center"/>
                    <w:rPr>
                      <w:rFonts w:hint="default" w:ascii="Times New Roman" w:hAnsi="Times New Roman" w:cs="Times New Roman"/>
                      <w:sz w:val="18"/>
                      <w:szCs w:val="18"/>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619EC985">
                  <w:pPr>
                    <w:adjustRightInd w:val="0"/>
                    <w:snapToGrid w:val="0"/>
                    <w:spacing w:line="300" w:lineRule="exact"/>
                    <w:jc w:val="center"/>
                    <w:rPr>
                      <w:rFonts w:hint="default" w:ascii="Times New Roman" w:hAnsi="Times New Roman" w:cs="Times New Roman"/>
                      <w:sz w:val="18"/>
                      <w:szCs w:val="18"/>
                    </w:rPr>
                  </w:pPr>
                </w:p>
              </w:tc>
              <w:tc>
                <w:tcPr>
                  <w:tcW w:w="2127" w:type="dxa"/>
                  <w:tcBorders>
                    <w:top w:val="single" w:color="auto" w:sz="4" w:space="0"/>
                    <w:left w:val="single" w:color="auto" w:sz="4" w:space="0"/>
                    <w:bottom w:val="single" w:color="auto" w:sz="4" w:space="0"/>
                    <w:right w:val="single" w:color="auto" w:sz="4" w:space="0"/>
                  </w:tcBorders>
                  <w:vAlign w:val="center"/>
                </w:tcPr>
                <w:p w14:paraId="3A8D4BDD">
                  <w:pPr>
                    <w:adjustRightInd w:val="0"/>
                    <w:snapToGrid w:val="0"/>
                    <w:spacing w:line="300" w:lineRule="exact"/>
                    <w:jc w:val="center"/>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循环水</w:t>
                  </w:r>
                  <w:r>
                    <w:rPr>
                      <w:rFonts w:hint="eastAsia" w:cs="Times New Roman"/>
                      <w:sz w:val="18"/>
                      <w:szCs w:val="18"/>
                      <w:lang w:eastAsia="zh-CN"/>
                    </w:rPr>
                    <w:t>箱</w:t>
                  </w:r>
                </w:p>
              </w:tc>
              <w:tc>
                <w:tcPr>
                  <w:tcW w:w="3862" w:type="dxa"/>
                  <w:vMerge w:val="continue"/>
                  <w:tcBorders>
                    <w:top w:val="single" w:color="auto" w:sz="4" w:space="0"/>
                    <w:left w:val="single" w:color="auto" w:sz="4" w:space="0"/>
                    <w:bottom w:val="single" w:color="auto" w:sz="4" w:space="0"/>
                    <w:right w:val="single" w:color="auto" w:sz="4" w:space="0"/>
                  </w:tcBorders>
                  <w:vAlign w:val="center"/>
                </w:tcPr>
                <w:p w14:paraId="45D0F22C">
                  <w:pPr>
                    <w:adjustRightInd w:val="0"/>
                    <w:snapToGrid w:val="0"/>
                    <w:spacing w:line="300" w:lineRule="exact"/>
                    <w:jc w:val="center"/>
                    <w:rPr>
                      <w:rFonts w:hint="default" w:ascii="Times New Roman" w:hAnsi="Times New Roman" w:cs="Times New Roman"/>
                      <w:sz w:val="18"/>
                      <w:szCs w:val="18"/>
                    </w:rPr>
                  </w:pPr>
                </w:p>
              </w:tc>
            </w:tr>
            <w:tr w14:paraId="5450A3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vMerge w:val="continue"/>
                  <w:tcBorders>
                    <w:top w:val="single" w:color="auto" w:sz="4" w:space="0"/>
                    <w:left w:val="single" w:color="auto" w:sz="4" w:space="0"/>
                    <w:bottom w:val="single" w:color="auto" w:sz="4" w:space="0"/>
                    <w:right w:val="single" w:color="auto" w:sz="4" w:space="0"/>
                  </w:tcBorders>
                  <w:vAlign w:val="center"/>
                </w:tcPr>
                <w:p w14:paraId="28442D91">
                  <w:pPr>
                    <w:adjustRightInd w:val="0"/>
                    <w:snapToGrid w:val="0"/>
                    <w:spacing w:line="300" w:lineRule="exact"/>
                    <w:jc w:val="center"/>
                    <w:rPr>
                      <w:rFonts w:hint="default" w:ascii="Times New Roman" w:hAnsi="Times New Roman" w:cs="Times New Roman"/>
                      <w:sz w:val="18"/>
                      <w:szCs w:val="18"/>
                    </w:rPr>
                  </w:pPr>
                </w:p>
              </w:tc>
              <w:tc>
                <w:tcPr>
                  <w:tcW w:w="1275" w:type="dxa"/>
                  <w:vMerge w:val="continue"/>
                  <w:tcBorders>
                    <w:top w:val="single" w:color="auto" w:sz="4" w:space="0"/>
                    <w:left w:val="single" w:color="auto" w:sz="4" w:space="0"/>
                    <w:bottom w:val="single" w:color="auto" w:sz="4" w:space="0"/>
                    <w:right w:val="single" w:color="auto" w:sz="4" w:space="0"/>
                  </w:tcBorders>
                  <w:vAlign w:val="center"/>
                </w:tcPr>
                <w:p w14:paraId="23BC0411">
                  <w:pPr>
                    <w:adjustRightInd w:val="0"/>
                    <w:snapToGrid w:val="0"/>
                    <w:spacing w:line="300" w:lineRule="exact"/>
                    <w:jc w:val="center"/>
                    <w:rPr>
                      <w:rFonts w:hint="default" w:ascii="Times New Roman" w:hAnsi="Times New Roman" w:cs="Times New Roman"/>
                      <w:sz w:val="18"/>
                      <w:szCs w:val="18"/>
                    </w:rPr>
                  </w:pPr>
                </w:p>
              </w:tc>
              <w:tc>
                <w:tcPr>
                  <w:tcW w:w="2127" w:type="dxa"/>
                  <w:tcBorders>
                    <w:top w:val="single" w:color="auto" w:sz="4" w:space="0"/>
                    <w:left w:val="single" w:color="auto" w:sz="4" w:space="0"/>
                    <w:bottom w:val="single" w:color="auto" w:sz="4" w:space="0"/>
                    <w:right w:val="single" w:color="auto" w:sz="4" w:space="0"/>
                  </w:tcBorders>
                  <w:vAlign w:val="center"/>
                </w:tcPr>
                <w:p w14:paraId="3CD632D7">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一般工业固体废物仓库</w:t>
                  </w:r>
                </w:p>
              </w:tc>
              <w:tc>
                <w:tcPr>
                  <w:tcW w:w="3862" w:type="dxa"/>
                  <w:vMerge w:val="continue"/>
                  <w:tcBorders>
                    <w:top w:val="single" w:color="auto" w:sz="4" w:space="0"/>
                    <w:left w:val="single" w:color="auto" w:sz="4" w:space="0"/>
                    <w:bottom w:val="single" w:color="auto" w:sz="4" w:space="0"/>
                    <w:right w:val="single" w:color="auto" w:sz="4" w:space="0"/>
                  </w:tcBorders>
                  <w:vAlign w:val="center"/>
                </w:tcPr>
                <w:p w14:paraId="11FD3688">
                  <w:pPr>
                    <w:adjustRightInd w:val="0"/>
                    <w:snapToGrid w:val="0"/>
                    <w:spacing w:line="300" w:lineRule="exact"/>
                    <w:jc w:val="center"/>
                    <w:rPr>
                      <w:rFonts w:hint="default" w:ascii="Times New Roman" w:hAnsi="Times New Roman" w:cs="Times New Roman"/>
                      <w:sz w:val="18"/>
                      <w:szCs w:val="18"/>
                    </w:rPr>
                  </w:pPr>
                </w:p>
              </w:tc>
            </w:tr>
            <w:tr w14:paraId="688B22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0" w:type="dxa"/>
                  <w:tcBorders>
                    <w:top w:val="single" w:color="auto" w:sz="4" w:space="0"/>
                    <w:left w:val="single" w:color="auto" w:sz="4" w:space="0"/>
                    <w:bottom w:val="single" w:color="auto" w:sz="4" w:space="0"/>
                    <w:right w:val="single" w:color="auto" w:sz="4" w:space="0"/>
                  </w:tcBorders>
                  <w:vAlign w:val="center"/>
                </w:tcPr>
                <w:p w14:paraId="0510B789">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3</w:t>
                  </w:r>
                </w:p>
              </w:tc>
              <w:tc>
                <w:tcPr>
                  <w:tcW w:w="1275" w:type="dxa"/>
                  <w:tcBorders>
                    <w:top w:val="single" w:color="auto" w:sz="4" w:space="0"/>
                    <w:left w:val="single" w:color="auto" w:sz="4" w:space="0"/>
                    <w:bottom w:val="single" w:color="auto" w:sz="4" w:space="0"/>
                    <w:right w:val="single" w:color="auto" w:sz="4" w:space="0"/>
                  </w:tcBorders>
                  <w:vAlign w:val="center"/>
                </w:tcPr>
                <w:p w14:paraId="3AE021C2">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简单防渗区</w:t>
                  </w:r>
                </w:p>
              </w:tc>
              <w:tc>
                <w:tcPr>
                  <w:tcW w:w="2127" w:type="dxa"/>
                  <w:tcBorders>
                    <w:top w:val="single" w:color="auto" w:sz="4" w:space="0"/>
                    <w:left w:val="single" w:color="auto" w:sz="4" w:space="0"/>
                    <w:bottom w:val="single" w:color="auto" w:sz="4" w:space="0"/>
                    <w:right w:val="single" w:color="auto" w:sz="4" w:space="0"/>
                  </w:tcBorders>
                  <w:vAlign w:val="center"/>
                </w:tcPr>
                <w:p w14:paraId="35176AF8">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其他区域</w:t>
                  </w:r>
                </w:p>
              </w:tc>
              <w:tc>
                <w:tcPr>
                  <w:tcW w:w="3862" w:type="dxa"/>
                  <w:tcBorders>
                    <w:top w:val="single" w:color="auto" w:sz="4" w:space="0"/>
                    <w:left w:val="single" w:color="auto" w:sz="4" w:space="0"/>
                    <w:bottom w:val="single" w:color="auto" w:sz="4" w:space="0"/>
                    <w:right w:val="single" w:color="auto" w:sz="4" w:space="0"/>
                  </w:tcBorders>
                  <w:vAlign w:val="center"/>
                </w:tcPr>
                <w:p w14:paraId="48726BE8">
                  <w:pPr>
                    <w:adjustRightInd w:val="0"/>
                    <w:snapToGri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一般地面硬化措施</w:t>
                  </w:r>
                </w:p>
              </w:tc>
            </w:tr>
          </w:tbl>
          <w:p w14:paraId="7BBEAD81">
            <w:pPr>
              <w:adjustRightInd w:val="0"/>
              <w:snapToGrid w:val="0"/>
              <w:spacing w:line="360" w:lineRule="auto"/>
              <w:ind w:firstLine="420" w:firstLineChars="200"/>
              <w:rPr>
                <w:bCs/>
              </w:rPr>
            </w:pPr>
            <w:r>
              <w:rPr>
                <w:rFonts w:hint="default" w:ascii="Times New Roman" w:hAnsi="Times New Roman" w:cs="Times New Roman"/>
                <w:bCs/>
                <w:szCs w:val="21"/>
              </w:rPr>
              <w:t>在日常运行时应当加强车间、仓库的防渗的巡检和维护工作，确保防渗层不破损。在污染防治措施到位，严格管理的前提下，本项目对土壤和地下水影响极小。</w:t>
            </w:r>
          </w:p>
          <w:p w14:paraId="01D621EC">
            <w:pPr>
              <w:adjustRightInd w:val="0"/>
              <w:snapToGrid w:val="0"/>
              <w:spacing w:line="360" w:lineRule="auto"/>
              <w:ind w:left="420"/>
              <w:rPr>
                <w:bCs/>
              </w:rPr>
            </w:pPr>
            <w:r>
              <w:rPr>
                <w:bCs/>
              </w:rPr>
              <w:t>3、跟踪监测要求</w:t>
            </w:r>
          </w:p>
          <w:p w14:paraId="555D0E75">
            <w:pPr>
              <w:adjustRightInd w:val="0"/>
              <w:snapToGrid w:val="0"/>
              <w:spacing w:line="360" w:lineRule="auto"/>
              <w:ind w:firstLine="420" w:firstLineChars="200"/>
              <w:rPr>
                <w:bCs/>
              </w:rPr>
            </w:pPr>
            <w:r>
              <w:rPr>
                <w:bCs/>
                <w:lang w:val="zh-CN"/>
              </w:rPr>
              <w:t>根据以上分析，本项目正常工况下无污染地下水、土壤环境等重大污染源，且项目500米范围内无地下水集中式饮用水水源和热水、矿泉水、温泉等特殊地下水资源，运营期正常工况下不需要针对地下水环境污染进行跟踪监测</w:t>
            </w:r>
            <w:r>
              <w:rPr>
                <w:bCs/>
              </w:rPr>
              <w:t>。</w:t>
            </w:r>
          </w:p>
          <w:p w14:paraId="6A84834F">
            <w:pPr>
              <w:adjustRightInd w:val="0"/>
              <w:snapToGrid w:val="0"/>
              <w:spacing w:line="360" w:lineRule="auto"/>
              <w:ind w:firstLine="422" w:firstLineChars="200"/>
              <w:rPr>
                <w:b/>
              </w:rPr>
            </w:pPr>
            <w:r>
              <w:rPr>
                <w:b/>
              </w:rPr>
              <w:t>六、土壤</w:t>
            </w:r>
          </w:p>
          <w:p w14:paraId="5F76D718">
            <w:pPr>
              <w:adjustRightInd w:val="0"/>
              <w:snapToGrid w:val="0"/>
              <w:spacing w:line="360" w:lineRule="auto"/>
              <w:ind w:firstLine="420" w:firstLineChars="200"/>
              <w:rPr>
                <w:bCs/>
              </w:rPr>
            </w:pPr>
            <w:r>
              <w:rPr>
                <w:bCs/>
              </w:rPr>
              <w:t>1、污染途径、类型</w:t>
            </w:r>
          </w:p>
          <w:p w14:paraId="62A2594F">
            <w:pPr>
              <w:adjustRightInd w:val="0"/>
              <w:snapToGrid w:val="0"/>
              <w:spacing w:line="360" w:lineRule="auto"/>
              <w:ind w:firstLine="420" w:firstLineChars="200"/>
              <w:rPr>
                <w:bCs/>
                <w:color w:val="auto"/>
              </w:rPr>
            </w:pPr>
            <w:r>
              <w:rPr>
                <w:bCs/>
              </w:rPr>
              <w:t>本项目对土壤可能造成的污染途径主要是化粪池、</w:t>
            </w:r>
            <w:r>
              <w:rPr>
                <w:rFonts w:hint="eastAsia"/>
                <w:bCs/>
                <w:lang w:eastAsia="zh-CN"/>
              </w:rPr>
              <w:t>危废间、</w:t>
            </w:r>
            <w:r>
              <w:rPr>
                <w:bCs/>
              </w:rPr>
              <w:t>生产车间等区域的渗漏引起的土壤污染，以及废气有组织、无组织排放源排放的相关污染物的沉降，主要污染因子为</w:t>
            </w:r>
            <w:r>
              <w:rPr>
                <w:rFonts w:hint="eastAsia"/>
                <w:bCs/>
                <w:lang w:eastAsia="zh-CN"/>
              </w:rPr>
              <w:t>颗粒物、</w:t>
            </w:r>
            <w:r>
              <w:rPr>
                <w:rFonts w:hint="eastAsia"/>
                <w:bCs/>
                <w:lang w:val="en-US" w:eastAsia="zh-CN"/>
              </w:rPr>
              <w:t>VOCs</w:t>
            </w:r>
            <w:r>
              <w:rPr>
                <w:rFonts w:hint="eastAsia"/>
                <w:bCs/>
                <w:lang w:eastAsia="zh-CN"/>
              </w:rPr>
              <w:t>、悬浮物、</w:t>
            </w:r>
            <w:r>
              <w:rPr>
                <w:bCs/>
              </w:rPr>
              <w:t>COD、氨氮</w:t>
            </w:r>
            <w:r>
              <w:rPr>
                <w:rFonts w:hint="eastAsia"/>
                <w:bCs/>
                <w:lang w:eastAsia="zh-CN"/>
              </w:rPr>
              <w:t>、石油烃</w:t>
            </w:r>
            <w:r>
              <w:rPr>
                <w:bCs/>
                <w:color w:val="auto"/>
              </w:rPr>
              <w:t>等。化粪池</w:t>
            </w:r>
            <w:r>
              <w:rPr>
                <w:rFonts w:hint="eastAsia"/>
                <w:bCs/>
                <w:color w:val="auto"/>
                <w:lang w:eastAsia="zh-CN"/>
              </w:rPr>
              <w:t>、危废间</w:t>
            </w:r>
            <w:r>
              <w:rPr>
                <w:bCs/>
                <w:color w:val="auto"/>
              </w:rPr>
              <w:t>均进行相应的重点防渗和硬化处理，生产车间内均进行一般防渗处理。拟建项目对土壤环境影响不大。</w:t>
            </w:r>
          </w:p>
          <w:p w14:paraId="3E48F0C0">
            <w:pPr>
              <w:adjustRightInd w:val="0"/>
              <w:snapToGrid w:val="0"/>
              <w:spacing w:line="360" w:lineRule="auto"/>
              <w:ind w:firstLine="420" w:firstLineChars="200"/>
              <w:rPr>
                <w:bCs/>
                <w:color w:val="auto"/>
              </w:rPr>
            </w:pPr>
            <w:r>
              <w:rPr>
                <w:bCs/>
                <w:color w:val="auto"/>
              </w:rPr>
              <w:t>2、采取保护措施</w:t>
            </w:r>
          </w:p>
          <w:p w14:paraId="32767FB8">
            <w:pPr>
              <w:adjustRightInd w:val="0"/>
              <w:snapToGrid w:val="0"/>
              <w:spacing w:line="360" w:lineRule="auto"/>
              <w:ind w:firstLine="420" w:firstLineChars="200"/>
              <w:rPr>
                <w:bCs/>
                <w:color w:val="auto"/>
              </w:rPr>
            </w:pPr>
            <w:r>
              <w:rPr>
                <w:bCs/>
                <w:color w:val="auto"/>
              </w:rPr>
              <w:t>同地下水防护措施。</w:t>
            </w:r>
          </w:p>
          <w:p w14:paraId="704AA260">
            <w:pPr>
              <w:adjustRightInd w:val="0"/>
              <w:snapToGrid w:val="0"/>
              <w:spacing w:line="360" w:lineRule="auto"/>
              <w:ind w:firstLine="420" w:firstLineChars="200"/>
              <w:rPr>
                <w:bCs/>
              </w:rPr>
            </w:pPr>
            <w:r>
              <w:rPr>
                <w:bCs/>
              </w:rPr>
              <w:t>3、跟踪监测</w:t>
            </w:r>
          </w:p>
          <w:p w14:paraId="7FE19740">
            <w:pPr>
              <w:adjustRightInd w:val="0"/>
              <w:snapToGrid w:val="0"/>
              <w:spacing w:line="360" w:lineRule="auto"/>
              <w:ind w:firstLine="420" w:firstLineChars="200"/>
              <w:rPr>
                <w:bCs/>
                <w:color w:val="auto"/>
                <w:szCs w:val="21"/>
              </w:rPr>
            </w:pPr>
            <w:r>
              <w:rPr>
                <w:bCs/>
                <w:color w:val="auto"/>
                <w:lang w:val="zh-CN"/>
              </w:rPr>
              <w:t>根据以上分析，本项目正常工况下无污染土壤环境等重大</w:t>
            </w:r>
            <w:r>
              <w:rPr>
                <w:rFonts w:hint="eastAsia"/>
                <w:bCs/>
                <w:color w:val="auto"/>
                <w:lang w:val="zh-CN"/>
              </w:rPr>
              <w:t>污染源</w:t>
            </w:r>
            <w:r>
              <w:rPr>
                <w:bCs/>
                <w:color w:val="auto"/>
                <w:lang w:val="zh-CN"/>
              </w:rPr>
              <w:t>，运营期正常工况下不需要针对土壤环境污染进行跟踪监测</w:t>
            </w:r>
            <w:r>
              <w:rPr>
                <w:rFonts w:hint="eastAsia"/>
                <w:bCs/>
                <w:color w:val="auto"/>
                <w:lang w:val="zh-CN"/>
              </w:rPr>
              <w:t>。</w:t>
            </w:r>
          </w:p>
          <w:p w14:paraId="519E3771">
            <w:pPr>
              <w:adjustRightInd w:val="0"/>
              <w:snapToGrid w:val="0"/>
              <w:spacing w:line="360" w:lineRule="auto"/>
              <w:ind w:firstLine="422" w:firstLineChars="200"/>
              <w:rPr>
                <w:b/>
              </w:rPr>
            </w:pPr>
            <w:r>
              <w:rPr>
                <w:b/>
              </w:rPr>
              <w:t>七、生态</w:t>
            </w:r>
          </w:p>
          <w:p w14:paraId="7E5F50EB">
            <w:pPr>
              <w:adjustRightInd w:val="0"/>
              <w:snapToGrid w:val="0"/>
              <w:spacing w:line="360" w:lineRule="auto"/>
              <w:ind w:firstLine="420" w:firstLineChars="200"/>
              <w:rPr>
                <w:bCs/>
              </w:rPr>
            </w:pPr>
            <w:r>
              <w:rPr>
                <w:bCs/>
              </w:rPr>
              <w:t>项目在现有</w:t>
            </w:r>
            <w:r>
              <w:rPr>
                <w:rFonts w:hint="eastAsia"/>
                <w:bCs/>
                <w:lang w:eastAsia="zh-CN"/>
              </w:rPr>
              <w:t>已建成</w:t>
            </w:r>
            <w:r>
              <w:rPr>
                <w:bCs/>
              </w:rPr>
              <w:t>厂</w:t>
            </w:r>
            <w:r>
              <w:rPr>
                <w:rFonts w:hint="eastAsia"/>
                <w:bCs/>
                <w:lang w:eastAsia="zh-CN"/>
              </w:rPr>
              <w:t>区</w:t>
            </w:r>
            <w:r>
              <w:rPr>
                <w:bCs/>
              </w:rPr>
              <w:t>内开展</w:t>
            </w:r>
            <w:r>
              <w:rPr>
                <w:rFonts w:hint="eastAsia"/>
                <w:bCs/>
                <w:lang w:eastAsia="zh-CN"/>
              </w:rPr>
              <w:t>，不需新增占地</w:t>
            </w:r>
            <w:r>
              <w:rPr>
                <w:bCs/>
              </w:rPr>
              <w:t>。项目占地内没有珍稀动植物物种，生态环境质量一般。项目占地内原有生物物种在项目周围地域广泛存在，基本不影响评价区域的生物多样性，项目运营对周围生态环境基本上没有产生明显的影响。</w:t>
            </w:r>
          </w:p>
          <w:p w14:paraId="441BA18B">
            <w:pPr>
              <w:adjustRightInd w:val="0"/>
              <w:snapToGrid w:val="0"/>
              <w:spacing w:line="360" w:lineRule="auto"/>
              <w:ind w:firstLine="422" w:firstLineChars="200"/>
              <w:rPr>
                <w:b/>
              </w:rPr>
            </w:pPr>
            <w:r>
              <w:rPr>
                <w:b/>
              </w:rPr>
              <w:t>八、环境风险分析</w:t>
            </w:r>
          </w:p>
          <w:p w14:paraId="229D9BAF">
            <w:pPr>
              <w:spacing w:line="420" w:lineRule="exact"/>
              <w:ind w:firstLine="420" w:firstLineChars="200"/>
              <w:rPr>
                <w:rFonts w:hint="default" w:ascii="Times New Roman" w:hAnsi="Times New Roman" w:cs="Times New Roman"/>
                <w:szCs w:val="21"/>
              </w:rPr>
            </w:pPr>
            <w:r>
              <w:rPr>
                <w:rFonts w:hint="default" w:ascii="Times New Roman" w:hAnsi="Times New Roman" w:cs="Times New Roman"/>
                <w:szCs w:val="21"/>
              </w:rPr>
              <w:t>1、本项目危险物质和风险源分布及可能影响途径</w:t>
            </w:r>
          </w:p>
          <w:p w14:paraId="43DA31A0">
            <w:pPr>
              <w:spacing w:line="420" w:lineRule="exact"/>
              <w:ind w:firstLine="420" w:firstLineChars="200"/>
              <w:rPr>
                <w:rFonts w:hint="default" w:ascii="Times New Roman" w:hAnsi="Times New Roman" w:cs="Times New Roman"/>
                <w:szCs w:val="21"/>
              </w:rPr>
            </w:pPr>
            <w:r>
              <w:rPr>
                <w:rFonts w:hint="default" w:ascii="Times New Roman" w:hAnsi="Times New Roman" w:cs="Times New Roman"/>
                <w:szCs w:val="21"/>
              </w:rPr>
              <w:t>（1）危险物质和风险源分布</w:t>
            </w:r>
          </w:p>
          <w:p w14:paraId="776F41C6">
            <w:pPr>
              <w:spacing w:line="420" w:lineRule="exact"/>
              <w:ind w:firstLine="420" w:firstLineChars="200"/>
              <w:rPr>
                <w:rFonts w:hint="default" w:ascii="Times New Roman" w:hAnsi="Times New Roman" w:cs="Times New Roman"/>
                <w:szCs w:val="21"/>
              </w:rPr>
            </w:pPr>
            <w:r>
              <w:rPr>
                <w:rFonts w:hint="default" w:ascii="Times New Roman" w:hAnsi="Times New Roman" w:cs="Times New Roman"/>
                <w:szCs w:val="21"/>
              </w:rPr>
              <w:t>根据项目生产用原辅材料及生产工艺分析，本项目使用的原辅材料、产品、能耗及固体废物中涉及《建设项目环境风险评价技术导则》（HJ169-2018）附录B、《企业突发环境事件风险分级方法》中“附录A突发环境事件风险物质及临界量清单”和</w:t>
            </w:r>
            <w:r>
              <w:rPr>
                <w:rFonts w:hint="default" w:ascii="Times New Roman" w:hAnsi="Times New Roman" w:cs="Times New Roman"/>
              </w:rPr>
              <w:t>《危险化学品重大危险源辨识》（GB18218-2018）</w:t>
            </w:r>
            <w:r>
              <w:rPr>
                <w:rFonts w:hint="default" w:ascii="Times New Roman" w:hAnsi="Times New Roman" w:cs="Times New Roman"/>
                <w:szCs w:val="21"/>
              </w:rPr>
              <w:t>中的危险物质，主要为</w:t>
            </w:r>
            <w:r>
              <w:rPr>
                <w:rFonts w:hint="eastAsia" w:cs="Times New Roman"/>
                <w:szCs w:val="21"/>
                <w:lang w:eastAsia="zh-CN"/>
              </w:rPr>
              <w:t>废机</w:t>
            </w:r>
            <w:r>
              <w:rPr>
                <w:rFonts w:hint="default" w:ascii="Times New Roman" w:hAnsi="Times New Roman" w:cs="Times New Roman"/>
                <w:szCs w:val="21"/>
              </w:rPr>
              <w:t>油、</w:t>
            </w:r>
            <w:r>
              <w:rPr>
                <w:rFonts w:hint="eastAsia" w:cs="Times New Roman"/>
                <w:szCs w:val="21"/>
                <w:lang w:eastAsia="zh-CN"/>
              </w:rPr>
              <w:t>废</w:t>
            </w:r>
            <w:r>
              <w:rPr>
                <w:rFonts w:hint="default" w:ascii="Times New Roman" w:hAnsi="Times New Roman" w:cs="Times New Roman"/>
                <w:szCs w:val="21"/>
              </w:rPr>
              <w:t>液压油、</w:t>
            </w:r>
            <w:r>
              <w:rPr>
                <w:rFonts w:hint="default" w:ascii="Times New Roman" w:hAnsi="Times New Roman" w:cs="Times New Roman"/>
                <w:szCs w:val="21"/>
                <w:lang w:eastAsia="zh-CN"/>
              </w:rPr>
              <w:t>油性漆、稀释剂</w:t>
            </w:r>
            <w:r>
              <w:rPr>
                <w:rFonts w:hint="eastAsia" w:cs="Times New Roman"/>
                <w:szCs w:val="21"/>
                <w:lang w:eastAsia="zh-CN"/>
              </w:rPr>
              <w:t>、不饱和聚酯树脂及无溶剂浸渍树脂（含苯乙烯）</w:t>
            </w:r>
            <w:r>
              <w:rPr>
                <w:rFonts w:hint="default" w:ascii="Times New Roman" w:hAnsi="Times New Roman" w:cs="Times New Roman"/>
                <w:szCs w:val="21"/>
              </w:rPr>
              <w:t>等。主要分布于危险废物仓库中等。</w:t>
            </w:r>
          </w:p>
          <w:p w14:paraId="69554485">
            <w:pPr>
              <w:autoSpaceDE w:val="0"/>
              <w:autoSpaceDN w:val="0"/>
              <w:adjustRightInd w:val="0"/>
              <w:spacing w:line="420" w:lineRule="exact"/>
              <w:ind w:firstLine="25" w:firstLineChars="12"/>
              <w:jc w:val="center"/>
              <w:rPr>
                <w:rFonts w:hint="default" w:ascii="Times New Roman" w:hAnsi="Times New Roman" w:eastAsia="宋体" w:cs="Times New Roman"/>
                <w:b/>
                <w:bCs/>
                <w:szCs w:val="21"/>
              </w:rPr>
            </w:pPr>
            <w:r>
              <w:rPr>
                <w:rFonts w:hint="default" w:ascii="Times New Roman" w:hAnsi="Times New Roman" w:eastAsia="宋体" w:cs="Times New Roman"/>
                <w:b/>
                <w:bCs/>
                <w:szCs w:val="21"/>
              </w:rPr>
              <w:t>表4-</w:t>
            </w:r>
            <w:r>
              <w:rPr>
                <w:rFonts w:hint="default" w:ascii="Times New Roman" w:hAnsi="Times New Roman" w:eastAsia="宋体" w:cs="Times New Roman"/>
                <w:b/>
                <w:bCs/>
                <w:szCs w:val="21"/>
                <w:lang w:val="en-US" w:eastAsia="zh-CN"/>
              </w:rPr>
              <w:t>2</w:t>
            </w:r>
            <w:r>
              <w:rPr>
                <w:rFonts w:hint="eastAsia" w:ascii="Times New Roman" w:hAnsi="Times New Roman" w:eastAsia="宋体" w:cs="Times New Roman"/>
                <w:b/>
                <w:bCs/>
                <w:szCs w:val="21"/>
                <w:lang w:val="en-US" w:eastAsia="zh-CN"/>
              </w:rPr>
              <w:t>9</w:t>
            </w:r>
            <w:r>
              <w:rPr>
                <w:rFonts w:hint="default" w:ascii="Times New Roman" w:hAnsi="Times New Roman" w:eastAsia="宋体" w:cs="Times New Roman"/>
                <w:b/>
                <w:bCs/>
                <w:szCs w:val="21"/>
              </w:rPr>
              <w:t xml:space="preserve">  项目风险物质存放情况</w:t>
            </w:r>
          </w:p>
          <w:tbl>
            <w:tblPr>
              <w:tblStyle w:val="81"/>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59"/>
              <w:gridCol w:w="2396"/>
              <w:gridCol w:w="1547"/>
              <w:gridCol w:w="1258"/>
            </w:tblGrid>
            <w:tr w14:paraId="4B3166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9" w:type="dxa"/>
                  <w:tcBorders>
                    <w:top w:val="single" w:color="auto" w:sz="4" w:space="0"/>
                    <w:left w:val="single" w:color="auto" w:sz="4" w:space="0"/>
                    <w:bottom w:val="single" w:color="auto" w:sz="4" w:space="0"/>
                    <w:right w:val="single" w:color="auto" w:sz="4" w:space="0"/>
                  </w:tcBorders>
                  <w:vAlign w:val="center"/>
                </w:tcPr>
                <w:p w14:paraId="26AA991C">
                  <w:pPr>
                    <w:autoSpaceDE w:val="0"/>
                    <w:autoSpaceDN w:val="0"/>
                    <w:adjustRightIn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风险物质</w:t>
                  </w:r>
                </w:p>
              </w:tc>
              <w:tc>
                <w:tcPr>
                  <w:tcW w:w="2396" w:type="dxa"/>
                  <w:tcBorders>
                    <w:top w:val="single" w:color="auto" w:sz="4" w:space="0"/>
                    <w:left w:val="single" w:color="auto" w:sz="4" w:space="0"/>
                    <w:bottom w:val="single" w:color="auto" w:sz="4" w:space="0"/>
                    <w:right w:val="single" w:color="auto" w:sz="4" w:space="0"/>
                  </w:tcBorders>
                  <w:vAlign w:val="center"/>
                </w:tcPr>
                <w:p w14:paraId="2B4FDD83">
                  <w:pPr>
                    <w:autoSpaceDE w:val="0"/>
                    <w:autoSpaceDN w:val="0"/>
                    <w:adjustRightInd w:val="0"/>
                    <w:spacing w:line="300" w:lineRule="exact"/>
                    <w:jc w:val="center"/>
                    <w:rPr>
                      <w:rFonts w:hint="default" w:ascii="Times New Roman" w:hAnsi="Times New Roman" w:cs="Times New Roman"/>
                      <w:b/>
                      <w:bCs/>
                      <w:sz w:val="18"/>
                      <w:szCs w:val="18"/>
                    </w:rPr>
                  </w:pPr>
                  <w:r>
                    <w:rPr>
                      <w:rFonts w:hint="eastAsia" w:cs="Times New Roman"/>
                      <w:b/>
                      <w:bCs/>
                      <w:sz w:val="18"/>
                      <w:szCs w:val="18"/>
                      <w:lang w:eastAsia="zh-CN"/>
                    </w:rPr>
                    <w:t>最大</w:t>
                  </w:r>
                  <w:r>
                    <w:rPr>
                      <w:rFonts w:hint="default" w:ascii="Times New Roman" w:hAnsi="Times New Roman" w:cs="Times New Roman"/>
                      <w:b/>
                      <w:bCs/>
                      <w:sz w:val="18"/>
                      <w:szCs w:val="18"/>
                    </w:rPr>
                    <w:t>储存量t/a</w:t>
                  </w:r>
                </w:p>
              </w:tc>
              <w:tc>
                <w:tcPr>
                  <w:tcW w:w="1547" w:type="dxa"/>
                  <w:tcBorders>
                    <w:top w:val="single" w:color="auto" w:sz="4" w:space="0"/>
                    <w:left w:val="single" w:color="auto" w:sz="4" w:space="0"/>
                    <w:bottom w:val="single" w:color="auto" w:sz="4" w:space="0"/>
                    <w:right w:val="single" w:color="auto" w:sz="4" w:space="0"/>
                  </w:tcBorders>
                  <w:vAlign w:val="center"/>
                </w:tcPr>
                <w:p w14:paraId="6160AEC3">
                  <w:pPr>
                    <w:autoSpaceDE w:val="0"/>
                    <w:autoSpaceDN w:val="0"/>
                    <w:adjustRightIn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临界量t</w:t>
                  </w:r>
                </w:p>
              </w:tc>
              <w:tc>
                <w:tcPr>
                  <w:tcW w:w="1258" w:type="dxa"/>
                  <w:tcBorders>
                    <w:top w:val="single" w:color="auto" w:sz="4" w:space="0"/>
                    <w:left w:val="single" w:color="auto" w:sz="4" w:space="0"/>
                    <w:bottom w:val="single" w:color="auto" w:sz="4" w:space="0"/>
                    <w:right w:val="single" w:color="auto" w:sz="4" w:space="0"/>
                  </w:tcBorders>
                  <w:vAlign w:val="center"/>
                </w:tcPr>
                <w:p w14:paraId="7F295473">
                  <w:pPr>
                    <w:autoSpaceDE w:val="0"/>
                    <w:autoSpaceDN w:val="0"/>
                    <w:adjustRightInd w:val="0"/>
                    <w:spacing w:line="300" w:lineRule="exact"/>
                    <w:jc w:val="center"/>
                    <w:rPr>
                      <w:rFonts w:hint="default" w:ascii="Times New Roman" w:hAnsi="Times New Roman" w:cs="Times New Roman"/>
                      <w:b/>
                      <w:bCs/>
                      <w:sz w:val="18"/>
                      <w:szCs w:val="18"/>
                    </w:rPr>
                  </w:pPr>
                  <w:r>
                    <w:rPr>
                      <w:rFonts w:hint="default" w:ascii="Times New Roman" w:hAnsi="Times New Roman" w:cs="Times New Roman"/>
                      <w:b/>
                      <w:bCs/>
                      <w:sz w:val="18"/>
                      <w:szCs w:val="18"/>
                    </w:rPr>
                    <w:t>Q值</w:t>
                  </w:r>
                </w:p>
              </w:tc>
            </w:tr>
            <w:tr w14:paraId="4EB6C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9" w:type="dxa"/>
                  <w:tcBorders>
                    <w:top w:val="single" w:color="auto" w:sz="4" w:space="0"/>
                    <w:left w:val="single" w:color="auto" w:sz="4" w:space="0"/>
                    <w:bottom w:val="single" w:color="auto" w:sz="4" w:space="0"/>
                    <w:right w:val="single" w:color="auto" w:sz="4" w:space="0"/>
                  </w:tcBorders>
                  <w:vAlign w:val="center"/>
                </w:tcPr>
                <w:p w14:paraId="3E36A010">
                  <w:pPr>
                    <w:autoSpaceDE w:val="0"/>
                    <w:autoSpaceDN w:val="0"/>
                    <w:adjustRightInd w:val="0"/>
                    <w:spacing w:line="300" w:lineRule="exact"/>
                    <w:jc w:val="center"/>
                    <w:rPr>
                      <w:rFonts w:hint="eastAsia" w:ascii="Times New Roman" w:hAnsi="Times New Roman" w:eastAsia="宋体" w:cs="Times New Roman"/>
                      <w:sz w:val="18"/>
                      <w:szCs w:val="18"/>
                      <w:lang w:eastAsia="zh-CN"/>
                    </w:rPr>
                  </w:pPr>
                  <w:r>
                    <w:rPr>
                      <w:rFonts w:hint="default" w:ascii="Times New Roman" w:hAnsi="Times New Roman" w:cs="Times New Roman"/>
                      <w:sz w:val="18"/>
                      <w:szCs w:val="18"/>
                    </w:rPr>
                    <w:t>油类物质</w:t>
                  </w:r>
                  <w:r>
                    <w:rPr>
                      <w:rFonts w:hint="eastAsia" w:cs="Times New Roman"/>
                      <w:sz w:val="18"/>
                      <w:szCs w:val="18"/>
                      <w:lang w:eastAsia="zh-CN"/>
                    </w:rPr>
                    <w:t>（废机油、废液压油）</w:t>
                  </w:r>
                </w:p>
              </w:tc>
              <w:tc>
                <w:tcPr>
                  <w:tcW w:w="2396" w:type="dxa"/>
                  <w:tcBorders>
                    <w:top w:val="single" w:color="auto" w:sz="4" w:space="0"/>
                    <w:left w:val="single" w:color="auto" w:sz="4" w:space="0"/>
                    <w:bottom w:val="single" w:color="auto" w:sz="4" w:space="0"/>
                    <w:right w:val="single" w:color="auto" w:sz="4" w:space="0"/>
                  </w:tcBorders>
                  <w:vAlign w:val="center"/>
                </w:tcPr>
                <w:p w14:paraId="5C535E73">
                  <w:pPr>
                    <w:autoSpaceDE w:val="0"/>
                    <w:autoSpaceDN w:val="0"/>
                    <w:adjustRightInd w:val="0"/>
                    <w:spacing w:line="30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0.25</w:t>
                  </w:r>
                </w:p>
              </w:tc>
              <w:tc>
                <w:tcPr>
                  <w:tcW w:w="1547" w:type="dxa"/>
                  <w:tcBorders>
                    <w:top w:val="single" w:color="auto" w:sz="4" w:space="0"/>
                    <w:left w:val="single" w:color="auto" w:sz="4" w:space="0"/>
                    <w:bottom w:val="single" w:color="auto" w:sz="4" w:space="0"/>
                    <w:right w:val="single" w:color="auto" w:sz="4" w:space="0"/>
                  </w:tcBorders>
                  <w:vAlign w:val="center"/>
                </w:tcPr>
                <w:p w14:paraId="20975E47">
                  <w:pPr>
                    <w:autoSpaceDE w:val="0"/>
                    <w:autoSpaceDN w:val="0"/>
                    <w:adjustRightIn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2500</w:t>
                  </w:r>
                </w:p>
              </w:tc>
              <w:tc>
                <w:tcPr>
                  <w:tcW w:w="1258" w:type="dxa"/>
                  <w:tcBorders>
                    <w:top w:val="single" w:color="auto" w:sz="4" w:space="0"/>
                    <w:left w:val="single" w:color="auto" w:sz="4" w:space="0"/>
                    <w:bottom w:val="single" w:color="auto" w:sz="4" w:space="0"/>
                    <w:right w:val="single" w:color="auto" w:sz="4" w:space="0"/>
                  </w:tcBorders>
                  <w:vAlign w:val="center"/>
                </w:tcPr>
                <w:p w14:paraId="5F49912A">
                  <w:pPr>
                    <w:autoSpaceDE w:val="0"/>
                    <w:autoSpaceDN w:val="0"/>
                    <w:adjustRightInd w:val="0"/>
                    <w:spacing w:line="300" w:lineRule="exact"/>
                    <w:jc w:val="center"/>
                    <w:rPr>
                      <w:rFonts w:hint="eastAsia" w:ascii="Times New Roman" w:hAnsi="Times New Roman" w:eastAsia="宋体" w:cs="Times New Roman"/>
                      <w:sz w:val="18"/>
                      <w:szCs w:val="18"/>
                      <w:lang w:val="en-US" w:eastAsia="zh-CN"/>
                    </w:rPr>
                  </w:pPr>
                  <w:r>
                    <w:rPr>
                      <w:rFonts w:hint="default" w:ascii="Times New Roman" w:hAnsi="Times New Roman" w:cs="Times New Roman"/>
                      <w:sz w:val="18"/>
                      <w:szCs w:val="18"/>
                    </w:rPr>
                    <w:t>0.000</w:t>
                  </w:r>
                  <w:r>
                    <w:rPr>
                      <w:rFonts w:hint="eastAsia" w:cs="Times New Roman"/>
                      <w:sz w:val="18"/>
                      <w:szCs w:val="18"/>
                      <w:lang w:val="en-US" w:eastAsia="zh-CN"/>
                    </w:rPr>
                    <w:t>1</w:t>
                  </w:r>
                </w:p>
              </w:tc>
            </w:tr>
            <w:tr w14:paraId="5E745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9" w:type="dxa"/>
                  <w:tcBorders>
                    <w:top w:val="single" w:color="auto" w:sz="4" w:space="0"/>
                    <w:left w:val="single" w:color="auto" w:sz="4" w:space="0"/>
                    <w:bottom w:val="single" w:color="auto" w:sz="4" w:space="0"/>
                    <w:right w:val="single" w:color="auto" w:sz="4" w:space="0"/>
                  </w:tcBorders>
                  <w:vAlign w:val="center"/>
                </w:tcPr>
                <w:p w14:paraId="7A0A6324">
                  <w:pPr>
                    <w:autoSpaceDE w:val="0"/>
                    <w:autoSpaceDN w:val="0"/>
                    <w:adjustRightInd w:val="0"/>
                    <w:spacing w:line="300" w:lineRule="exact"/>
                    <w:jc w:val="center"/>
                    <w:rPr>
                      <w:rFonts w:hint="default" w:ascii="Times New Roman" w:hAnsi="Times New Roman" w:eastAsia="宋体" w:cs="Times New Roman"/>
                      <w:sz w:val="18"/>
                      <w:szCs w:val="18"/>
                      <w:lang w:eastAsia="zh-CN"/>
                    </w:rPr>
                  </w:pPr>
                  <w:r>
                    <w:rPr>
                      <w:rFonts w:hint="eastAsia" w:cs="Times New Roman"/>
                      <w:sz w:val="18"/>
                      <w:szCs w:val="21"/>
                      <w:lang w:eastAsia="zh-CN"/>
                    </w:rPr>
                    <w:t>油性漆</w:t>
                  </w:r>
                  <w:r>
                    <w:rPr>
                      <w:rFonts w:hint="default" w:ascii="Times New Roman" w:hAnsi="Times New Roman" w:cs="Times New Roman"/>
                      <w:sz w:val="18"/>
                      <w:szCs w:val="21"/>
                    </w:rPr>
                    <w:t>、</w:t>
                  </w:r>
                  <w:r>
                    <w:rPr>
                      <w:rFonts w:hint="default" w:ascii="Times New Roman" w:hAnsi="Times New Roman" w:cs="Times New Roman"/>
                      <w:sz w:val="18"/>
                      <w:szCs w:val="21"/>
                      <w:lang w:eastAsia="zh-CN"/>
                    </w:rPr>
                    <w:t>稀释剂</w:t>
                  </w:r>
                </w:p>
              </w:tc>
              <w:tc>
                <w:tcPr>
                  <w:tcW w:w="2396" w:type="dxa"/>
                  <w:tcBorders>
                    <w:top w:val="single" w:color="auto" w:sz="4" w:space="0"/>
                    <w:left w:val="single" w:color="auto" w:sz="4" w:space="0"/>
                    <w:bottom w:val="single" w:color="auto" w:sz="4" w:space="0"/>
                    <w:right w:val="single" w:color="auto" w:sz="4" w:space="0"/>
                  </w:tcBorders>
                  <w:vAlign w:val="center"/>
                </w:tcPr>
                <w:p w14:paraId="1C5C80FF">
                  <w:pPr>
                    <w:autoSpaceDE w:val="0"/>
                    <w:autoSpaceDN w:val="0"/>
                    <w:adjustRightInd w:val="0"/>
                    <w:spacing w:line="30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0.5</w:t>
                  </w:r>
                </w:p>
              </w:tc>
              <w:tc>
                <w:tcPr>
                  <w:tcW w:w="1547" w:type="dxa"/>
                  <w:tcBorders>
                    <w:top w:val="single" w:color="auto" w:sz="4" w:space="0"/>
                    <w:left w:val="single" w:color="auto" w:sz="4" w:space="0"/>
                    <w:bottom w:val="single" w:color="auto" w:sz="4" w:space="0"/>
                    <w:right w:val="single" w:color="auto" w:sz="4" w:space="0"/>
                  </w:tcBorders>
                  <w:vAlign w:val="center"/>
                </w:tcPr>
                <w:p w14:paraId="4914CB47">
                  <w:pPr>
                    <w:autoSpaceDE w:val="0"/>
                    <w:autoSpaceDN w:val="0"/>
                    <w:adjustRightIn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50</w:t>
                  </w:r>
                </w:p>
              </w:tc>
              <w:tc>
                <w:tcPr>
                  <w:tcW w:w="1258" w:type="dxa"/>
                  <w:tcBorders>
                    <w:top w:val="single" w:color="auto" w:sz="4" w:space="0"/>
                    <w:left w:val="single" w:color="auto" w:sz="4" w:space="0"/>
                    <w:bottom w:val="single" w:color="auto" w:sz="4" w:space="0"/>
                    <w:right w:val="single" w:color="auto" w:sz="4" w:space="0"/>
                  </w:tcBorders>
                  <w:vAlign w:val="center"/>
                </w:tcPr>
                <w:p w14:paraId="53EE639C">
                  <w:pPr>
                    <w:autoSpaceDE w:val="0"/>
                    <w:autoSpaceDN w:val="0"/>
                    <w:adjustRightInd w:val="0"/>
                    <w:spacing w:line="300" w:lineRule="exact"/>
                    <w:jc w:val="center"/>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rPr>
                    <w:t>0.</w:t>
                  </w:r>
                  <w:r>
                    <w:rPr>
                      <w:rFonts w:hint="default" w:ascii="Times New Roman" w:hAnsi="Times New Roman" w:cs="Times New Roman"/>
                      <w:sz w:val="18"/>
                      <w:szCs w:val="18"/>
                      <w:lang w:val="en-US" w:eastAsia="zh-CN"/>
                    </w:rPr>
                    <w:t>0</w:t>
                  </w:r>
                  <w:r>
                    <w:rPr>
                      <w:rFonts w:hint="eastAsia" w:cs="Times New Roman"/>
                      <w:sz w:val="18"/>
                      <w:szCs w:val="18"/>
                      <w:lang w:val="en-US" w:eastAsia="zh-CN"/>
                    </w:rPr>
                    <w:t>1</w:t>
                  </w:r>
                </w:p>
              </w:tc>
            </w:tr>
            <w:tr w14:paraId="5ED82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9" w:type="dxa"/>
                  <w:tcBorders>
                    <w:top w:val="single" w:color="auto" w:sz="4" w:space="0"/>
                    <w:left w:val="single" w:color="auto" w:sz="4" w:space="0"/>
                    <w:bottom w:val="single" w:color="auto" w:sz="4" w:space="0"/>
                    <w:right w:val="single" w:color="auto" w:sz="4" w:space="0"/>
                  </w:tcBorders>
                  <w:vAlign w:val="center"/>
                </w:tcPr>
                <w:p w14:paraId="336F6F33">
                  <w:pPr>
                    <w:autoSpaceDE w:val="0"/>
                    <w:autoSpaceDN w:val="0"/>
                    <w:adjustRightInd w:val="0"/>
                    <w:spacing w:line="300" w:lineRule="exact"/>
                    <w:jc w:val="center"/>
                    <w:rPr>
                      <w:rFonts w:hint="eastAsia" w:ascii="Times New Roman" w:hAnsi="Times New Roman" w:eastAsia="宋体" w:cs="Times New Roman"/>
                      <w:sz w:val="18"/>
                      <w:szCs w:val="21"/>
                      <w:lang w:eastAsia="zh-CN"/>
                    </w:rPr>
                  </w:pPr>
                  <w:r>
                    <w:rPr>
                      <w:rFonts w:hint="eastAsia" w:cs="Times New Roman"/>
                      <w:sz w:val="18"/>
                      <w:szCs w:val="21"/>
                      <w:lang w:eastAsia="zh-CN"/>
                    </w:rPr>
                    <w:t>不饱和</w:t>
                  </w:r>
                  <w:r>
                    <w:rPr>
                      <w:rFonts w:hint="eastAsia" w:cs="Times New Roman"/>
                      <w:sz w:val="18"/>
                      <w:szCs w:val="21"/>
                      <w:lang w:val="en-US" w:eastAsia="zh-CN"/>
                    </w:rPr>
                    <w:t>聚酯</w:t>
                  </w:r>
                  <w:r>
                    <w:rPr>
                      <w:rFonts w:hint="eastAsia" w:cs="Times New Roman"/>
                      <w:sz w:val="18"/>
                      <w:szCs w:val="21"/>
                      <w:lang w:eastAsia="zh-CN"/>
                    </w:rPr>
                    <w:t>树脂中苯乙烯</w:t>
                  </w:r>
                </w:p>
              </w:tc>
              <w:tc>
                <w:tcPr>
                  <w:tcW w:w="2396" w:type="dxa"/>
                  <w:tcBorders>
                    <w:top w:val="single" w:color="auto" w:sz="4" w:space="0"/>
                    <w:left w:val="single" w:color="auto" w:sz="4" w:space="0"/>
                    <w:bottom w:val="single" w:color="auto" w:sz="4" w:space="0"/>
                    <w:right w:val="single" w:color="auto" w:sz="4" w:space="0"/>
                  </w:tcBorders>
                  <w:vAlign w:val="center"/>
                </w:tcPr>
                <w:p w14:paraId="73F8613F">
                  <w:pPr>
                    <w:autoSpaceDE w:val="0"/>
                    <w:autoSpaceDN w:val="0"/>
                    <w:adjustRightInd w:val="0"/>
                    <w:spacing w:line="300" w:lineRule="exact"/>
                    <w:jc w:val="center"/>
                    <w:rPr>
                      <w:rFonts w:hint="default" w:ascii="Times New Roman" w:hAnsi="Times New Roman" w:cs="Times New Roman"/>
                      <w:sz w:val="18"/>
                      <w:szCs w:val="18"/>
                      <w:lang w:val="en-US" w:eastAsia="zh-CN"/>
                    </w:rPr>
                  </w:pPr>
                  <w:r>
                    <w:rPr>
                      <w:rFonts w:hint="eastAsia" w:cs="Times New Roman"/>
                      <w:sz w:val="18"/>
                      <w:szCs w:val="18"/>
                      <w:lang w:val="en-US" w:eastAsia="zh-CN"/>
                    </w:rPr>
                    <w:t>0.75</w:t>
                  </w:r>
                </w:p>
              </w:tc>
              <w:tc>
                <w:tcPr>
                  <w:tcW w:w="1547" w:type="dxa"/>
                  <w:tcBorders>
                    <w:top w:val="single" w:color="auto" w:sz="4" w:space="0"/>
                    <w:left w:val="single" w:color="auto" w:sz="4" w:space="0"/>
                    <w:bottom w:val="single" w:color="auto" w:sz="4" w:space="0"/>
                    <w:right w:val="single" w:color="auto" w:sz="4" w:space="0"/>
                  </w:tcBorders>
                  <w:vAlign w:val="center"/>
                </w:tcPr>
                <w:p w14:paraId="63AD3FB7">
                  <w:pPr>
                    <w:autoSpaceDE w:val="0"/>
                    <w:autoSpaceDN w:val="0"/>
                    <w:adjustRightInd w:val="0"/>
                    <w:spacing w:line="30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10</w:t>
                  </w:r>
                </w:p>
              </w:tc>
              <w:tc>
                <w:tcPr>
                  <w:tcW w:w="1258" w:type="dxa"/>
                  <w:tcBorders>
                    <w:top w:val="single" w:color="auto" w:sz="4" w:space="0"/>
                    <w:left w:val="single" w:color="auto" w:sz="4" w:space="0"/>
                    <w:bottom w:val="single" w:color="auto" w:sz="4" w:space="0"/>
                    <w:right w:val="single" w:color="auto" w:sz="4" w:space="0"/>
                  </w:tcBorders>
                  <w:vAlign w:val="center"/>
                </w:tcPr>
                <w:p w14:paraId="5FC09061">
                  <w:pPr>
                    <w:autoSpaceDE w:val="0"/>
                    <w:autoSpaceDN w:val="0"/>
                    <w:adjustRightInd w:val="0"/>
                    <w:spacing w:line="300" w:lineRule="exact"/>
                    <w:jc w:val="center"/>
                    <w:rPr>
                      <w:rFonts w:hint="default" w:ascii="Times New Roman" w:hAnsi="Times New Roman" w:eastAsia="宋体" w:cs="Times New Roman"/>
                      <w:sz w:val="18"/>
                      <w:szCs w:val="18"/>
                      <w:lang w:val="en-US" w:eastAsia="zh-CN"/>
                    </w:rPr>
                  </w:pPr>
                  <w:r>
                    <w:rPr>
                      <w:rFonts w:hint="eastAsia" w:cs="Times New Roman"/>
                      <w:sz w:val="18"/>
                      <w:szCs w:val="18"/>
                      <w:lang w:val="en-US" w:eastAsia="zh-CN"/>
                    </w:rPr>
                    <w:t>0.075</w:t>
                  </w:r>
                </w:p>
              </w:tc>
            </w:tr>
            <w:tr w14:paraId="0D977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9" w:type="dxa"/>
                  <w:tcBorders>
                    <w:top w:val="single" w:color="auto" w:sz="4" w:space="0"/>
                    <w:left w:val="single" w:color="auto" w:sz="4" w:space="0"/>
                    <w:bottom w:val="single" w:color="auto" w:sz="4" w:space="0"/>
                    <w:right w:val="single" w:color="auto" w:sz="4" w:space="0"/>
                  </w:tcBorders>
                  <w:vAlign w:val="center"/>
                </w:tcPr>
                <w:p w14:paraId="0107F2FD">
                  <w:pPr>
                    <w:autoSpaceDE w:val="0"/>
                    <w:autoSpaceDN w:val="0"/>
                    <w:adjustRightInd w:val="0"/>
                    <w:spacing w:line="300" w:lineRule="exact"/>
                    <w:jc w:val="center"/>
                    <w:rPr>
                      <w:rFonts w:hint="eastAsia" w:cs="Times New Roman"/>
                      <w:sz w:val="18"/>
                      <w:szCs w:val="21"/>
                      <w:lang w:eastAsia="zh-CN"/>
                    </w:rPr>
                  </w:pPr>
                  <w:r>
                    <w:rPr>
                      <w:rFonts w:hint="eastAsia" w:cs="Times New Roman"/>
                      <w:sz w:val="18"/>
                      <w:szCs w:val="21"/>
                      <w:lang w:eastAsia="zh-CN"/>
                    </w:rPr>
                    <w:t>无溶剂浸渍树脂中苯乙烯</w:t>
                  </w:r>
                </w:p>
              </w:tc>
              <w:tc>
                <w:tcPr>
                  <w:tcW w:w="2396" w:type="dxa"/>
                  <w:tcBorders>
                    <w:top w:val="single" w:color="auto" w:sz="4" w:space="0"/>
                    <w:left w:val="single" w:color="auto" w:sz="4" w:space="0"/>
                    <w:bottom w:val="single" w:color="auto" w:sz="4" w:space="0"/>
                    <w:right w:val="single" w:color="auto" w:sz="4" w:space="0"/>
                  </w:tcBorders>
                  <w:vAlign w:val="center"/>
                </w:tcPr>
                <w:p w14:paraId="70EEE728">
                  <w:pPr>
                    <w:autoSpaceDE w:val="0"/>
                    <w:autoSpaceDN w:val="0"/>
                    <w:adjustRightInd w:val="0"/>
                    <w:spacing w:line="300" w:lineRule="exact"/>
                    <w:jc w:val="center"/>
                    <w:rPr>
                      <w:rFonts w:hint="default" w:cs="Times New Roman"/>
                      <w:sz w:val="18"/>
                      <w:szCs w:val="18"/>
                      <w:lang w:val="en-US" w:eastAsia="zh-CN"/>
                    </w:rPr>
                  </w:pPr>
                  <w:r>
                    <w:rPr>
                      <w:rFonts w:hint="eastAsia" w:cs="Times New Roman"/>
                      <w:sz w:val="18"/>
                      <w:szCs w:val="18"/>
                      <w:lang w:val="en-US" w:eastAsia="zh-CN"/>
                    </w:rPr>
                    <w:t>0.04</w:t>
                  </w:r>
                </w:p>
              </w:tc>
              <w:tc>
                <w:tcPr>
                  <w:tcW w:w="1547" w:type="dxa"/>
                  <w:tcBorders>
                    <w:top w:val="single" w:color="auto" w:sz="4" w:space="0"/>
                    <w:left w:val="single" w:color="auto" w:sz="4" w:space="0"/>
                    <w:bottom w:val="single" w:color="auto" w:sz="4" w:space="0"/>
                    <w:right w:val="single" w:color="auto" w:sz="4" w:space="0"/>
                  </w:tcBorders>
                  <w:vAlign w:val="center"/>
                </w:tcPr>
                <w:p w14:paraId="324EFC29">
                  <w:pPr>
                    <w:autoSpaceDE w:val="0"/>
                    <w:autoSpaceDN w:val="0"/>
                    <w:adjustRightInd w:val="0"/>
                    <w:spacing w:line="300" w:lineRule="exact"/>
                    <w:jc w:val="center"/>
                    <w:rPr>
                      <w:rFonts w:hint="default" w:cs="Times New Roman"/>
                      <w:sz w:val="18"/>
                      <w:szCs w:val="18"/>
                      <w:lang w:val="en-US" w:eastAsia="zh-CN"/>
                    </w:rPr>
                  </w:pPr>
                  <w:r>
                    <w:rPr>
                      <w:rFonts w:hint="eastAsia" w:cs="Times New Roman"/>
                      <w:sz w:val="18"/>
                      <w:szCs w:val="18"/>
                      <w:lang w:val="en-US" w:eastAsia="zh-CN"/>
                    </w:rPr>
                    <w:t>10</w:t>
                  </w:r>
                </w:p>
              </w:tc>
              <w:tc>
                <w:tcPr>
                  <w:tcW w:w="1258" w:type="dxa"/>
                  <w:tcBorders>
                    <w:top w:val="single" w:color="auto" w:sz="4" w:space="0"/>
                    <w:left w:val="single" w:color="auto" w:sz="4" w:space="0"/>
                    <w:bottom w:val="single" w:color="auto" w:sz="4" w:space="0"/>
                    <w:right w:val="single" w:color="auto" w:sz="4" w:space="0"/>
                  </w:tcBorders>
                  <w:vAlign w:val="center"/>
                </w:tcPr>
                <w:p w14:paraId="027B0BF0">
                  <w:pPr>
                    <w:autoSpaceDE w:val="0"/>
                    <w:autoSpaceDN w:val="0"/>
                    <w:adjustRightInd w:val="0"/>
                    <w:spacing w:line="300" w:lineRule="exact"/>
                    <w:jc w:val="center"/>
                    <w:rPr>
                      <w:rFonts w:hint="default" w:cs="Times New Roman"/>
                      <w:sz w:val="18"/>
                      <w:szCs w:val="18"/>
                      <w:lang w:val="en-US" w:eastAsia="zh-CN"/>
                    </w:rPr>
                  </w:pPr>
                  <w:r>
                    <w:rPr>
                      <w:rFonts w:hint="eastAsia" w:cs="Times New Roman"/>
                      <w:sz w:val="18"/>
                      <w:szCs w:val="18"/>
                      <w:lang w:val="en-US" w:eastAsia="zh-CN"/>
                    </w:rPr>
                    <w:t>0.004</w:t>
                  </w:r>
                </w:p>
              </w:tc>
            </w:tr>
            <w:tr w14:paraId="2AA63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159" w:type="dxa"/>
                  <w:tcBorders>
                    <w:top w:val="single" w:color="auto" w:sz="4" w:space="0"/>
                    <w:left w:val="single" w:color="auto" w:sz="4" w:space="0"/>
                    <w:bottom w:val="single" w:color="auto" w:sz="4" w:space="0"/>
                    <w:right w:val="single" w:color="auto" w:sz="4" w:space="0"/>
                  </w:tcBorders>
                  <w:vAlign w:val="center"/>
                </w:tcPr>
                <w:p w14:paraId="70C98DE6">
                  <w:pPr>
                    <w:autoSpaceDE w:val="0"/>
                    <w:autoSpaceDN w:val="0"/>
                    <w:adjustRightIn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总计</w:t>
                  </w:r>
                </w:p>
              </w:tc>
              <w:tc>
                <w:tcPr>
                  <w:tcW w:w="2396" w:type="dxa"/>
                  <w:tcBorders>
                    <w:top w:val="single" w:color="auto" w:sz="4" w:space="0"/>
                    <w:left w:val="single" w:color="auto" w:sz="4" w:space="0"/>
                    <w:bottom w:val="single" w:color="auto" w:sz="4" w:space="0"/>
                    <w:right w:val="single" w:color="auto" w:sz="4" w:space="0"/>
                  </w:tcBorders>
                  <w:vAlign w:val="center"/>
                </w:tcPr>
                <w:p w14:paraId="400AE77E">
                  <w:pPr>
                    <w:autoSpaceDE w:val="0"/>
                    <w:autoSpaceDN w:val="0"/>
                    <w:adjustRightIn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w:t>
                  </w:r>
                </w:p>
              </w:tc>
              <w:tc>
                <w:tcPr>
                  <w:tcW w:w="1547" w:type="dxa"/>
                  <w:tcBorders>
                    <w:top w:val="single" w:color="auto" w:sz="4" w:space="0"/>
                    <w:left w:val="single" w:color="auto" w:sz="4" w:space="0"/>
                    <w:bottom w:val="single" w:color="auto" w:sz="4" w:space="0"/>
                    <w:right w:val="single" w:color="auto" w:sz="4" w:space="0"/>
                  </w:tcBorders>
                  <w:vAlign w:val="center"/>
                </w:tcPr>
                <w:p w14:paraId="3C6092B6">
                  <w:pPr>
                    <w:autoSpaceDE w:val="0"/>
                    <w:autoSpaceDN w:val="0"/>
                    <w:adjustRightInd w:val="0"/>
                    <w:spacing w:line="300" w:lineRule="exact"/>
                    <w:jc w:val="center"/>
                    <w:rPr>
                      <w:rFonts w:hint="default" w:ascii="Times New Roman" w:hAnsi="Times New Roman" w:cs="Times New Roman"/>
                      <w:sz w:val="18"/>
                      <w:szCs w:val="18"/>
                    </w:rPr>
                  </w:pPr>
                  <w:r>
                    <w:rPr>
                      <w:rFonts w:hint="default" w:ascii="Times New Roman" w:hAnsi="Times New Roman" w:cs="Times New Roman"/>
                      <w:sz w:val="18"/>
                      <w:szCs w:val="18"/>
                    </w:rPr>
                    <w:t>-</w:t>
                  </w:r>
                </w:p>
              </w:tc>
              <w:tc>
                <w:tcPr>
                  <w:tcW w:w="1258" w:type="dxa"/>
                  <w:tcBorders>
                    <w:top w:val="single" w:color="auto" w:sz="4" w:space="0"/>
                    <w:left w:val="single" w:color="auto" w:sz="4" w:space="0"/>
                    <w:bottom w:val="single" w:color="auto" w:sz="4" w:space="0"/>
                    <w:right w:val="single" w:color="auto" w:sz="4" w:space="0"/>
                  </w:tcBorders>
                  <w:vAlign w:val="center"/>
                </w:tcPr>
                <w:p w14:paraId="349A6A85">
                  <w:pPr>
                    <w:autoSpaceDE w:val="0"/>
                    <w:autoSpaceDN w:val="0"/>
                    <w:adjustRightInd w:val="0"/>
                    <w:spacing w:line="300" w:lineRule="exact"/>
                    <w:jc w:val="center"/>
                    <w:rPr>
                      <w:rFonts w:hint="default" w:ascii="Times New Roman" w:hAnsi="Times New Roman" w:eastAsia="宋体" w:cs="Times New Roman"/>
                      <w:color w:val="000000"/>
                      <w:kern w:val="0"/>
                      <w:sz w:val="18"/>
                      <w:szCs w:val="18"/>
                      <w:lang w:val="en-US" w:eastAsia="zh-CN"/>
                    </w:rPr>
                  </w:pPr>
                  <w:r>
                    <w:rPr>
                      <w:rFonts w:hint="default" w:ascii="Times New Roman" w:hAnsi="Times New Roman" w:cs="Times New Roman"/>
                      <w:sz w:val="18"/>
                      <w:szCs w:val="18"/>
                    </w:rPr>
                    <w:t>0.</w:t>
                  </w:r>
                  <w:r>
                    <w:rPr>
                      <w:rFonts w:hint="eastAsia" w:cs="Times New Roman"/>
                      <w:sz w:val="18"/>
                      <w:szCs w:val="18"/>
                      <w:lang w:val="en-US" w:eastAsia="zh-CN"/>
                    </w:rPr>
                    <w:t>0891</w:t>
                  </w:r>
                </w:p>
              </w:tc>
            </w:tr>
          </w:tbl>
          <w:p w14:paraId="6AE5FD75">
            <w:pPr>
              <w:spacing w:line="360" w:lineRule="auto"/>
              <w:ind w:firstLine="360" w:firstLineChars="200"/>
              <w:rPr>
                <w:rFonts w:hint="default" w:ascii="Times New Roman" w:hAnsi="Times New Roman" w:cs="Times New Roman"/>
                <w:sz w:val="18"/>
                <w:szCs w:val="18"/>
              </w:rPr>
            </w:pPr>
            <w:r>
              <w:rPr>
                <w:rFonts w:hint="default" w:ascii="Times New Roman" w:hAnsi="Times New Roman" w:cs="Times New Roman"/>
                <w:sz w:val="18"/>
                <w:szCs w:val="18"/>
              </w:rPr>
              <w:t>注：</w:t>
            </w:r>
            <w:r>
              <w:rPr>
                <w:rFonts w:hint="default" w:ascii="Times New Roman" w:hAnsi="Times New Roman" w:cs="Times New Roman"/>
                <w:sz w:val="18"/>
                <w:szCs w:val="18"/>
                <w:lang w:eastAsia="zh-CN"/>
              </w:rPr>
              <w:t>油性漆、稀释剂</w:t>
            </w:r>
            <w:r>
              <w:rPr>
                <w:rFonts w:hint="default" w:ascii="Times New Roman" w:hAnsi="Times New Roman" w:cs="Times New Roman"/>
                <w:sz w:val="18"/>
                <w:szCs w:val="18"/>
              </w:rPr>
              <w:t>对应的临界量为健康危险急性毒性物质（类别2，类别3）；</w:t>
            </w:r>
            <w:r>
              <w:rPr>
                <w:rFonts w:hint="eastAsia" w:cs="Times New Roman"/>
                <w:sz w:val="18"/>
                <w:szCs w:val="18"/>
                <w:lang w:eastAsia="zh-CN"/>
              </w:rPr>
              <w:t>不饱和</w:t>
            </w:r>
            <w:r>
              <w:rPr>
                <w:rFonts w:hint="eastAsia" w:cs="Times New Roman"/>
                <w:sz w:val="18"/>
                <w:szCs w:val="18"/>
                <w:lang w:val="en-US" w:eastAsia="zh-CN"/>
              </w:rPr>
              <w:t>聚酯</w:t>
            </w:r>
            <w:r>
              <w:rPr>
                <w:rFonts w:hint="eastAsia" w:cs="Times New Roman"/>
                <w:sz w:val="18"/>
                <w:szCs w:val="18"/>
                <w:lang w:eastAsia="zh-CN"/>
              </w:rPr>
              <w:t>树脂苯乙烯含量按</w:t>
            </w:r>
            <w:r>
              <w:rPr>
                <w:rFonts w:hint="eastAsia" w:cs="Times New Roman"/>
                <w:sz w:val="18"/>
                <w:szCs w:val="18"/>
                <w:lang w:val="en-US" w:eastAsia="zh-CN"/>
              </w:rPr>
              <w:t>25%计，树脂最大储存量3t；</w:t>
            </w:r>
            <w:r>
              <w:rPr>
                <w:rFonts w:hint="eastAsia" w:cs="Times New Roman"/>
                <w:sz w:val="18"/>
                <w:szCs w:val="21"/>
                <w:lang w:eastAsia="zh-CN"/>
              </w:rPr>
              <w:t>无溶剂浸渍树脂苯乙烯含量按</w:t>
            </w:r>
            <w:r>
              <w:rPr>
                <w:rFonts w:hint="eastAsia" w:cs="Times New Roman"/>
                <w:sz w:val="18"/>
                <w:szCs w:val="21"/>
                <w:lang w:val="en-US" w:eastAsia="zh-CN"/>
              </w:rPr>
              <w:t>40%计，</w:t>
            </w:r>
            <w:r>
              <w:rPr>
                <w:rFonts w:hint="eastAsia" w:cs="Times New Roman"/>
                <w:sz w:val="18"/>
                <w:szCs w:val="21"/>
                <w:lang w:eastAsia="zh-CN"/>
              </w:rPr>
              <w:t>无溶剂浸渍树脂最大储存量</w:t>
            </w:r>
            <w:r>
              <w:rPr>
                <w:rFonts w:hint="eastAsia" w:cs="Times New Roman"/>
                <w:sz w:val="18"/>
                <w:szCs w:val="21"/>
                <w:lang w:val="en-US" w:eastAsia="zh-CN"/>
              </w:rPr>
              <w:t>0.1t</w:t>
            </w:r>
            <w:r>
              <w:rPr>
                <w:rFonts w:hint="default" w:ascii="Times New Roman" w:hAnsi="Times New Roman" w:cs="Times New Roman"/>
                <w:sz w:val="18"/>
                <w:szCs w:val="18"/>
              </w:rPr>
              <w:t>。</w:t>
            </w:r>
          </w:p>
          <w:p w14:paraId="0D2A07A3">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由上表可知，本项目建成后其风险物质储存量均小于临界量，总Q值为0.</w:t>
            </w:r>
            <w:r>
              <w:rPr>
                <w:rFonts w:hint="eastAsia" w:cs="Times New Roman"/>
                <w:szCs w:val="21"/>
                <w:lang w:val="en-US" w:eastAsia="zh-CN"/>
              </w:rPr>
              <w:t>0891</w:t>
            </w:r>
            <w:r>
              <w:rPr>
                <w:rFonts w:hint="default" w:ascii="Times New Roman" w:hAnsi="Times New Roman" w:cs="Times New Roman"/>
                <w:szCs w:val="21"/>
              </w:rPr>
              <w:t>＜1，风险评价等级为简单分析。</w:t>
            </w:r>
          </w:p>
          <w:p w14:paraId="695A3ADB">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（2）风险分析及可能影响途径</w:t>
            </w:r>
          </w:p>
          <w:p w14:paraId="60C96454">
            <w:pPr>
              <w:spacing w:line="360" w:lineRule="auto"/>
              <w:ind w:firstLine="480"/>
              <w:rPr>
                <w:rFonts w:hint="default" w:ascii="Times New Roman" w:hAnsi="Times New Roman" w:cs="Times New Roman"/>
              </w:rPr>
            </w:pPr>
            <w:r>
              <w:rPr>
                <w:rFonts w:hint="default" w:ascii="Times New Roman" w:hAnsi="Times New Roman" w:cs="Times New Roman"/>
              </w:rPr>
              <w:t>根据同类型项目类比调查，结合拟建项目建成后存在的风险隐患进行源项分析，主要的风险存在于以下几个方面：</w:t>
            </w:r>
          </w:p>
          <w:p w14:paraId="35C3489D">
            <w:pPr>
              <w:spacing w:line="360" w:lineRule="auto"/>
              <w:ind w:firstLine="480"/>
              <w:rPr>
                <w:rFonts w:hint="default" w:ascii="Times New Roman" w:hAnsi="Times New Roman" w:cs="Times New Roman"/>
              </w:rPr>
            </w:pPr>
            <w:r>
              <w:rPr>
                <w:rFonts w:hint="default" w:ascii="Times New Roman" w:hAnsi="Times New Roman" w:cs="Times New Roman"/>
              </w:rPr>
              <w:t>1、火灾爆炸</w:t>
            </w:r>
          </w:p>
          <w:p w14:paraId="4242BDDB">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拟建项目使用的易燃物质有</w:t>
            </w:r>
            <w:r>
              <w:rPr>
                <w:rFonts w:hint="eastAsia" w:cs="Times New Roman"/>
                <w:szCs w:val="21"/>
                <w:lang w:eastAsia="zh-CN"/>
              </w:rPr>
              <w:t>油性漆、稀释剂，</w:t>
            </w:r>
            <w:r>
              <w:rPr>
                <w:rFonts w:hint="default" w:ascii="Times New Roman" w:hAnsi="Times New Roman" w:cs="Times New Roman"/>
                <w:szCs w:val="21"/>
              </w:rPr>
              <w:t>运输和贮存过程中如发生泄漏事故，浓度达到一定的限值或遇高温、明火等，有发生火灾或爆炸事故的风险，产生的CO、烟尘和携带少量未燃尽的物料，对环境空气造成一定的影响其产生的消防废水进入到外环境，会影响地表水和地下水环境；润滑油加注的过程中发生泄漏遇到明火、高温发生火灾或爆炸事故，对环境空气造成一定的影响，产生的消防废水进入到外环境，影响地表和地下水环境。</w:t>
            </w:r>
          </w:p>
          <w:p w14:paraId="0F53B24E">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2、泄漏</w:t>
            </w:r>
          </w:p>
          <w:p w14:paraId="36F311CC">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项目喷漆室中涂料等物质发生泄漏，若是未来得及收集，会对地下水和土壤造成污染，泄漏过程中物料中的溶剂会部分挥发产生挥发性气体，造成大气污染。其他车间辅材库中的油类物质发生泄漏，若未及时收集，会对地下水和土壤造成污染。</w:t>
            </w:r>
          </w:p>
          <w:p w14:paraId="0801C022">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泄漏事故发生在贮存区及生产区设备、管道等，主要造成厂区局部污染。一般来说液态污染物易于控制，可采取地面防渗处理及设置事故水导排系统，使泄漏物料经封闭的管道进入车间集液池，收集后桶装作为危废处置，可使污染事故得到控制。但一些易挥发的液态污染物等将迅速挥发进入大气环境中造成污染。气态污染物则不容易控制，一旦发生泄漏则迅速进入大气环境中造成污染、碰到火花，雷电等，甚至引发爆炸、火灾等。</w:t>
            </w:r>
          </w:p>
          <w:p w14:paraId="699B0E43">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2、风险防范措施</w:t>
            </w:r>
          </w:p>
          <w:p w14:paraId="63B1C3AB">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（1）大气环境风险防范措施</w:t>
            </w:r>
          </w:p>
          <w:p w14:paraId="7EFF6325">
            <w:pPr>
              <w:spacing w:line="360" w:lineRule="auto"/>
              <w:ind w:firstLine="480"/>
              <w:rPr>
                <w:rFonts w:hint="default" w:ascii="Times New Roman" w:hAnsi="Times New Roman" w:cs="Times New Roman"/>
              </w:rPr>
            </w:pPr>
            <w:r>
              <w:rPr>
                <w:rFonts w:hint="default" w:ascii="Times New Roman" w:hAnsi="Times New Roman" w:cs="Times New Roman"/>
              </w:rPr>
              <w:t>加强职工安全意识教育和岗位技术培训，制定严格的操作规程，制定安全巡视制度，定期对各类</w:t>
            </w:r>
            <w:r>
              <w:rPr>
                <w:rFonts w:hint="eastAsia" w:cs="Times New Roman"/>
                <w:lang w:eastAsia="zh-CN"/>
              </w:rPr>
              <w:t>设备设施</w:t>
            </w:r>
            <w:r>
              <w:rPr>
                <w:rFonts w:hint="default" w:ascii="Times New Roman" w:hAnsi="Times New Roman" w:cs="Times New Roman"/>
              </w:rPr>
              <w:t>进行检修，定期对储存、输送环节的管道进行检修、维护和保养，避免发生泄漏事故。设置可燃气体检测报警器。厂区内设置风向表示，在发生事故时按照风向指标反风向撤离疏散</w:t>
            </w:r>
          </w:p>
          <w:p w14:paraId="69DFA65D">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（2）地表水环境风险防范措施</w:t>
            </w:r>
          </w:p>
          <w:p w14:paraId="7D6EDAFA">
            <w:pPr>
              <w:spacing w:line="360" w:lineRule="auto"/>
              <w:ind w:firstLine="480"/>
              <w:rPr>
                <w:rFonts w:hint="default" w:ascii="Times New Roman" w:hAnsi="Times New Roman" w:cs="Times New Roman"/>
              </w:rPr>
            </w:pPr>
            <w:r>
              <w:rPr>
                <w:rFonts w:hint="default" w:ascii="Times New Roman" w:hAnsi="Times New Roman" w:cs="Times New Roman"/>
              </w:rPr>
              <w:t>根据《建设项目环境风险评价技术导则》（HJ169-2018）、《关于进一步加强环境影响评价管理防范环境风险的通知》(2012年7月3日，环发[2012]77号)和《关于切实加强风险防范严格环境影响评价管理的通知》（2012年8月7日，环发[2012]98号）的规定，对新、改、扩建设项目的环境风险源识别、环境风险预测、选址及敏感目标、防范措施等如实做出评价，提出科学可行的预警监测措施、应急处置措施和应急预案。</w:t>
            </w:r>
          </w:p>
          <w:p w14:paraId="303BA36C">
            <w:pPr>
              <w:spacing w:line="360" w:lineRule="auto"/>
              <w:ind w:firstLine="480"/>
              <w:rPr>
                <w:rFonts w:hint="default" w:ascii="Times New Roman" w:hAnsi="Times New Roman" w:cs="Times New Roman"/>
              </w:rPr>
            </w:pPr>
            <w:r>
              <w:rPr>
                <w:rFonts w:hint="default" w:ascii="Times New Roman" w:hAnsi="Times New Roman" w:cs="Times New Roman"/>
              </w:rPr>
              <w:t>为防止拟建项目在生产过程中发生风险事故时对周围环境产生影响，其环境风险应设立三级应急防控体系，并按照相关要求编制突发环境应急预案，并定期进行演练。</w:t>
            </w:r>
          </w:p>
          <w:p w14:paraId="4A75FC44">
            <w:pPr>
              <w:spacing w:line="360" w:lineRule="auto"/>
              <w:ind w:firstLine="480"/>
              <w:rPr>
                <w:rFonts w:hint="default" w:ascii="Times New Roman" w:hAnsi="Times New Roman" w:cs="Times New Roman"/>
              </w:rPr>
            </w:pPr>
            <w:r>
              <w:rPr>
                <w:rFonts w:hint="default" w:ascii="Times New Roman" w:hAnsi="Times New Roman" w:cs="Times New Roman"/>
              </w:rPr>
              <w:t>通过上述措施，可以保证在风险、事故状态下对周围的环境影响较小。</w:t>
            </w:r>
          </w:p>
          <w:p w14:paraId="3A28BDD4">
            <w:pPr>
              <w:spacing w:line="360" w:lineRule="auto"/>
              <w:ind w:firstLine="420" w:firstLineChars="200"/>
              <w:rPr>
                <w:rFonts w:hint="default" w:ascii="Times New Roman" w:hAnsi="Times New Roman" w:cs="Times New Roman"/>
                <w:szCs w:val="21"/>
              </w:rPr>
            </w:pPr>
            <w:r>
              <w:rPr>
                <w:rFonts w:hint="default" w:ascii="Times New Roman" w:hAnsi="Times New Roman" w:cs="Times New Roman"/>
                <w:szCs w:val="21"/>
              </w:rPr>
              <w:t>（3）地下水环境风险防范措施</w:t>
            </w:r>
          </w:p>
          <w:p w14:paraId="1F49C00C">
            <w:pPr>
              <w:spacing w:line="360" w:lineRule="auto"/>
              <w:ind w:firstLine="480"/>
              <w:rPr>
                <w:rFonts w:hint="default" w:ascii="Times New Roman" w:hAnsi="Times New Roman" w:cs="Times New Roman"/>
              </w:rPr>
            </w:pPr>
            <w:r>
              <w:rPr>
                <w:rFonts w:hint="default" w:ascii="Times New Roman" w:hAnsi="Times New Roman" w:cs="Times New Roman"/>
              </w:rPr>
              <w:t>针对项目可能发生的地下水环境风险事故，防范措施按照“源头控制、分区防治、风险监控、应急响应”相结合的原则，从风险事故污染物的产生、入渗、扩散、应急响应全阶段进行控制。</w:t>
            </w:r>
          </w:p>
          <w:p w14:paraId="537E80A3">
            <w:pPr>
              <w:spacing w:line="360" w:lineRule="auto"/>
              <w:ind w:firstLine="482"/>
              <w:rPr>
                <w:rFonts w:hint="default" w:ascii="Times New Roman" w:hAnsi="Times New Roman" w:cs="Times New Roman"/>
              </w:rPr>
            </w:pPr>
            <w:r>
              <w:rPr>
                <w:rFonts w:hint="default" w:ascii="Times New Roman" w:hAnsi="Times New Roman" w:cs="Times New Roman"/>
                <w:b/>
              </w:rPr>
              <w:t>源头控制：</w:t>
            </w:r>
            <w:r>
              <w:rPr>
                <w:rFonts w:hint="default" w:ascii="Times New Roman" w:hAnsi="Times New Roman" w:cs="Times New Roman"/>
              </w:rPr>
              <w:t>主要包括在工艺、管道、设备、污水产生及储存构筑物采取相应措施，防止和降低污染物跑、冒、滴、漏，将污染物泄漏的环境风险事故降到最低程度；</w:t>
            </w:r>
          </w:p>
          <w:p w14:paraId="16851E89">
            <w:pPr>
              <w:spacing w:line="360" w:lineRule="auto"/>
              <w:ind w:firstLine="482"/>
              <w:rPr>
                <w:rFonts w:hint="default" w:ascii="Times New Roman" w:hAnsi="Times New Roman" w:cs="Times New Roman"/>
              </w:rPr>
            </w:pPr>
            <w:r>
              <w:rPr>
                <w:rFonts w:hint="default" w:ascii="Times New Roman" w:hAnsi="Times New Roman" w:cs="Times New Roman"/>
                <w:b/>
              </w:rPr>
              <w:t>分区防治：</w:t>
            </w:r>
            <w:r>
              <w:rPr>
                <w:rFonts w:hint="default" w:ascii="Times New Roman" w:hAnsi="Times New Roman" w:cs="Times New Roman"/>
              </w:rPr>
              <w:t>结合建设场区生产设备、管道、污染物储存等布局，实行重点污染防治区、一般污染防治区和非污染区防渗措施有区别的防渗原则。主要包括生产区地面和设备的防渗措施和泄漏、渗漏污染物收集措施；</w:t>
            </w:r>
          </w:p>
          <w:p w14:paraId="6AD79E7B">
            <w:pPr>
              <w:spacing w:line="360" w:lineRule="auto"/>
              <w:ind w:firstLine="482"/>
              <w:rPr>
                <w:rFonts w:hint="default" w:ascii="Times New Roman" w:hAnsi="Times New Roman" w:cs="Times New Roman"/>
              </w:rPr>
            </w:pPr>
            <w:r>
              <w:rPr>
                <w:rFonts w:hint="default" w:ascii="Times New Roman" w:hAnsi="Times New Roman" w:cs="Times New Roman"/>
                <w:b/>
              </w:rPr>
              <w:t>风险监控体系：</w:t>
            </w:r>
            <w:r>
              <w:rPr>
                <w:rFonts w:hint="default" w:ascii="Times New Roman" w:hAnsi="Times New Roman" w:cs="Times New Roman"/>
              </w:rPr>
              <w:t>实施覆盖生产区的地下水污染监控系统，包括建立完善的监测制度、配备先进的检测仪器和设备、科学、合理设置地下水污染监控井，及时发现污染事故并及时控制；</w:t>
            </w:r>
          </w:p>
          <w:p w14:paraId="4FADCA07">
            <w:pPr>
              <w:spacing w:line="360" w:lineRule="auto"/>
              <w:ind w:firstLine="482"/>
              <w:rPr>
                <w:rFonts w:hint="default" w:ascii="Times New Roman" w:hAnsi="Times New Roman" w:cs="Times New Roman"/>
              </w:rPr>
            </w:pPr>
            <w:r>
              <w:rPr>
                <w:rFonts w:hint="default" w:ascii="Times New Roman" w:hAnsi="Times New Roman" w:cs="Times New Roman"/>
                <w:b/>
              </w:rPr>
              <w:t>应急响应及事故减缓措施：</w:t>
            </w:r>
            <w:r>
              <w:rPr>
                <w:rFonts w:hint="default" w:ascii="Times New Roman" w:hAnsi="Times New Roman" w:cs="Times New Roman"/>
              </w:rPr>
              <w:t>公司制定地下水监测管理措施，并制定地下水应急预案， 当发生地下水异常情况时，按照定制的地下水应急预案采取应急措施。组织专业队伍对事故现场进行调查、监测，查找环境事故发生地点、分析事故原因，尽量将紧急事件局部化， 如可能应予以消除，采取包括切断生产装置或设施等措施，防止事故的扩散、蔓延及连锁反应，尽量缩小地下水污染事故对人和财产的影响。项目区水力梯度平缓，当发生污染事故时，污染物的运移速度较慢，污染范围较小，因此建议采取如下污染治理措施：</w:t>
            </w:r>
          </w:p>
          <w:p w14:paraId="7B0DDF83">
            <w:pPr>
              <w:pStyle w:val="1041"/>
              <w:spacing w:line="360" w:lineRule="auto"/>
              <w:ind w:left="420" w:firstLine="0" w:firstLineChars="0"/>
              <w:rPr>
                <w:rFonts w:hint="default" w:ascii="Times New Roman" w:hAnsi="Times New Roman" w:cs="Times New Roman"/>
              </w:rPr>
            </w:pPr>
            <w:r>
              <w:rPr>
                <w:rFonts w:hint="default" w:ascii="Times New Roman" w:hAnsi="Times New Roman" w:cs="Times New Roman"/>
              </w:rPr>
              <w:t>1）探明地下水污染深度、范围和污染程度。</w:t>
            </w:r>
          </w:p>
          <w:p w14:paraId="21318EDD">
            <w:pPr>
              <w:pStyle w:val="1041"/>
              <w:spacing w:line="360" w:lineRule="auto"/>
              <w:ind w:left="420" w:firstLine="0" w:firstLineChars="0"/>
              <w:rPr>
                <w:rFonts w:hint="default" w:ascii="Times New Roman" w:hAnsi="Times New Roman" w:cs="Times New Roman"/>
              </w:rPr>
            </w:pPr>
            <w:r>
              <w:rPr>
                <w:rFonts w:hint="default" w:ascii="Times New Roman" w:hAnsi="Times New Roman" w:cs="Times New Roman"/>
              </w:rPr>
              <w:t>2）根据地下水污染程度，随时化验各井水质，根据水质情况实时调整。</w:t>
            </w:r>
          </w:p>
          <w:p w14:paraId="3999410A">
            <w:pPr>
              <w:pStyle w:val="1041"/>
              <w:spacing w:line="360" w:lineRule="auto"/>
              <w:ind w:left="420" w:firstLine="0" w:firstLineChars="0"/>
              <w:rPr>
                <w:rFonts w:hint="default" w:ascii="Times New Roman" w:hAnsi="Times New Roman" w:cs="Times New Roman"/>
              </w:rPr>
            </w:pPr>
            <w:r>
              <w:rPr>
                <w:rFonts w:hint="default" w:ascii="Times New Roman" w:hAnsi="Times New Roman" w:cs="Times New Roman"/>
              </w:rPr>
              <w:t>3）将抽取的地下水进行集中收集处理，做好污水接收工作。</w:t>
            </w:r>
          </w:p>
          <w:p w14:paraId="3BA1D8DB">
            <w:pPr>
              <w:pStyle w:val="1041"/>
              <w:spacing w:line="360" w:lineRule="auto"/>
              <w:ind w:left="420" w:firstLine="0" w:firstLineChars="0"/>
              <w:rPr>
                <w:rFonts w:hint="default" w:ascii="Times New Roman" w:hAnsi="Times New Roman" w:cs="Times New Roman"/>
              </w:rPr>
            </w:pPr>
            <w:r>
              <w:rPr>
                <w:rFonts w:hint="default" w:ascii="Times New Roman" w:hAnsi="Times New Roman" w:cs="Times New Roman"/>
              </w:rPr>
              <w:t>4）当地下水中的特征污染物浓度满足地下水功能区划标准后，逐步停止井点抽水，并进行善后工作。</w:t>
            </w:r>
          </w:p>
          <w:p w14:paraId="380F1002">
            <w:pPr>
              <w:spacing w:line="360" w:lineRule="auto"/>
              <w:ind w:firstLine="420" w:firstLineChars="200"/>
              <w:rPr>
                <w:rFonts w:hint="default" w:ascii="Times New Roman" w:hAnsi="Times New Roman" w:cs="Times New Roman"/>
              </w:rPr>
            </w:pPr>
            <w:r>
              <w:rPr>
                <w:rFonts w:hint="default" w:ascii="Times New Roman" w:hAnsi="Times New Roman" w:cs="Times New Roman"/>
              </w:rPr>
              <w:t>在采取严格地下水风险防范措施后，项目事故状态下污染物泄漏下渗对地下水环境影响不大。</w:t>
            </w:r>
          </w:p>
          <w:p w14:paraId="625A982F">
            <w:pPr>
              <w:spacing w:line="360" w:lineRule="auto"/>
              <w:ind w:firstLine="420" w:firstLineChars="200"/>
              <w:rPr>
                <w:rFonts w:hint="default" w:ascii="Times New Roman" w:hAnsi="Times New Roman" w:cs="Times New Roman"/>
              </w:rPr>
            </w:pPr>
            <w:r>
              <w:rPr>
                <w:rFonts w:hint="default" w:ascii="Times New Roman" w:hAnsi="Times New Roman" w:cs="Times New Roman"/>
              </w:rPr>
              <w:t>（4）总图布置及建筑风险防范措施</w:t>
            </w:r>
          </w:p>
          <w:p w14:paraId="4A63BAEA">
            <w:pPr>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1）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5762034C">
            <w:pPr>
              <w:tabs>
                <w:tab w:val="left" w:pos="1152"/>
                <w:tab w:val="left" w:pos="1680"/>
              </w:tabs>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2）配电室的结构、基础应根据水文地理状况进行建设，符合安全规定，预防遭大水淹没，引起电器短路事故。各车间、仓库设立消防水收集管道收集消防废水。</w:t>
            </w:r>
          </w:p>
          <w:p w14:paraId="25663BA9">
            <w:pPr>
              <w:tabs>
                <w:tab w:val="left" w:pos="1152"/>
                <w:tab w:val="left" w:pos="1680"/>
              </w:tabs>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3）生产装置的供电、供水等公用设施必须加强日常管理，确保满足正常生产和事故状态下的要求。</w:t>
            </w:r>
          </w:p>
          <w:p w14:paraId="42A3F24C">
            <w:pPr>
              <w:tabs>
                <w:tab w:val="left" w:pos="1152"/>
                <w:tab w:val="left" w:pos="1680"/>
              </w:tabs>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4）企业要加强消防安全管理，开展好消防安全检查和消防安全宣传教育，加强消防安全培训，建立健全各项消防安全制度，落实消防安全责任，提高职工的消防素质，按规范配置灭火器材和消防装备。</w:t>
            </w:r>
          </w:p>
          <w:p w14:paraId="3B37D44F">
            <w:pPr>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5）规范上述风险物质的使用及储存，严格按照安全规范要求组织生产，定期对储罐及相应的管道进行巡检，风险物质所在区域进行围堰的设置和重点防渗硬化。</w:t>
            </w:r>
          </w:p>
          <w:p w14:paraId="0EFC04D4">
            <w:pPr>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6）为预防事故的发生，应成立应急事故领导小组。</w:t>
            </w:r>
          </w:p>
          <w:p w14:paraId="4DFDD6B4">
            <w:pPr>
              <w:spacing w:line="360" w:lineRule="auto"/>
              <w:ind w:firstLine="420" w:firstLineChars="200"/>
              <w:rPr>
                <w:rFonts w:hint="default" w:ascii="Times New Roman" w:hAnsi="Times New Roman" w:cs="Times New Roman"/>
                <w:bCs/>
                <w:szCs w:val="21"/>
              </w:rPr>
            </w:pPr>
            <w:r>
              <w:rPr>
                <w:rFonts w:hint="default" w:ascii="Times New Roman" w:hAnsi="Times New Roman" w:cs="Times New Roman"/>
                <w:bCs/>
                <w:szCs w:val="21"/>
              </w:rPr>
              <w:t>7）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p>
          <w:p w14:paraId="6C848F1D">
            <w:pPr>
              <w:adjustRightInd w:val="0"/>
              <w:snapToGrid w:val="0"/>
              <w:spacing w:line="360" w:lineRule="auto"/>
              <w:ind w:firstLine="420" w:firstLineChars="200"/>
              <w:rPr>
                <w:bCs/>
              </w:rPr>
            </w:pPr>
            <w:r>
              <w:rPr>
                <w:rFonts w:hint="default" w:ascii="Times New Roman" w:hAnsi="Times New Roman" w:cs="Times New Roman"/>
                <w:bCs/>
                <w:szCs w:val="21"/>
              </w:rPr>
              <w:t>在采取以上分析防范措施后，本项目的风险可控。</w:t>
            </w:r>
          </w:p>
          <w:p w14:paraId="6A5B4DFC">
            <w:pPr>
              <w:adjustRightInd w:val="0"/>
              <w:snapToGrid w:val="0"/>
              <w:spacing w:line="360" w:lineRule="auto"/>
              <w:ind w:firstLine="422" w:firstLineChars="200"/>
              <w:rPr>
                <w:b/>
              </w:rPr>
            </w:pPr>
            <w:r>
              <w:rPr>
                <w:b/>
              </w:rPr>
              <w:t>九、环保投资及三同时分析</w:t>
            </w:r>
          </w:p>
          <w:p w14:paraId="17B4CEE9">
            <w:pPr>
              <w:adjustRightInd w:val="0"/>
              <w:snapToGrid w:val="0"/>
              <w:spacing w:line="360" w:lineRule="auto"/>
              <w:ind w:firstLine="420" w:firstLineChars="200"/>
              <w:rPr>
                <w:bCs/>
              </w:rPr>
            </w:pPr>
            <w:r>
              <w:t>工程总投资</w:t>
            </w:r>
            <w:r>
              <w:rPr>
                <w:rFonts w:hint="eastAsia"/>
                <w:lang w:val="en-US" w:eastAsia="zh-CN"/>
              </w:rPr>
              <w:t>60</w:t>
            </w:r>
            <w:r>
              <w:t>00万元，环保投资</w:t>
            </w:r>
            <w:r>
              <w:rPr>
                <w:rFonts w:hint="eastAsia"/>
                <w:lang w:val="en-US" w:eastAsia="zh-CN"/>
              </w:rPr>
              <w:t>6</w:t>
            </w:r>
            <w:r>
              <w:t>0万元，占投资的1%，</w:t>
            </w:r>
            <w:r>
              <w:rPr>
                <w:bCs/>
              </w:rPr>
              <w:t>根据项目的工程分析，污染因素分析及治理对策分析和调查，项目环保投资及三同时一览表如下：</w:t>
            </w:r>
          </w:p>
          <w:p w14:paraId="0AE373DB">
            <w:pPr>
              <w:adjustRightInd w:val="0"/>
              <w:snapToGrid w:val="0"/>
              <w:spacing w:line="360" w:lineRule="auto"/>
              <w:jc w:val="center"/>
              <w:rPr>
                <w:b/>
              </w:rPr>
            </w:pPr>
            <w:r>
              <w:rPr>
                <w:b/>
              </w:rPr>
              <w:t>表4-</w:t>
            </w:r>
            <w:r>
              <w:rPr>
                <w:rFonts w:hint="eastAsia"/>
                <w:b/>
                <w:lang w:val="en-US" w:eastAsia="zh-CN"/>
              </w:rPr>
              <w:t>30</w:t>
            </w:r>
            <w:r>
              <w:rPr>
                <w:b/>
              </w:rPr>
              <w:t>项目环保投资及“三同时”一览表     单位：万元</w:t>
            </w:r>
          </w:p>
          <w:tbl>
            <w:tblPr>
              <w:tblStyle w:val="8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3"/>
              <w:gridCol w:w="1296"/>
              <w:gridCol w:w="3579"/>
              <w:gridCol w:w="1254"/>
              <w:gridCol w:w="1195"/>
            </w:tblGrid>
            <w:tr w14:paraId="14585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8" w:hRule="atLeast"/>
                <w:jc w:val="center"/>
              </w:trPr>
              <w:tc>
                <w:tcPr>
                  <w:tcW w:w="753" w:type="dxa"/>
                  <w:vAlign w:val="center"/>
                </w:tcPr>
                <w:p w14:paraId="4AF6F120">
                  <w:pPr>
                    <w:spacing w:line="240" w:lineRule="atLeast"/>
                    <w:jc w:val="center"/>
                    <w:rPr>
                      <w:b/>
                      <w:bCs/>
                      <w:sz w:val="18"/>
                      <w:szCs w:val="18"/>
                    </w:rPr>
                  </w:pPr>
                  <w:r>
                    <w:rPr>
                      <w:b/>
                      <w:bCs/>
                      <w:sz w:val="18"/>
                      <w:szCs w:val="18"/>
                    </w:rPr>
                    <w:t>序号</w:t>
                  </w:r>
                </w:p>
              </w:tc>
              <w:tc>
                <w:tcPr>
                  <w:tcW w:w="1296" w:type="dxa"/>
                  <w:vAlign w:val="center"/>
                </w:tcPr>
                <w:p w14:paraId="2E4E52A7">
                  <w:pPr>
                    <w:spacing w:line="240" w:lineRule="atLeast"/>
                    <w:jc w:val="center"/>
                    <w:rPr>
                      <w:b/>
                      <w:bCs/>
                      <w:sz w:val="18"/>
                      <w:szCs w:val="18"/>
                    </w:rPr>
                  </w:pPr>
                  <w:r>
                    <w:rPr>
                      <w:b/>
                      <w:bCs/>
                      <w:sz w:val="18"/>
                      <w:szCs w:val="18"/>
                    </w:rPr>
                    <w:t>项目</w:t>
                  </w:r>
                </w:p>
              </w:tc>
              <w:tc>
                <w:tcPr>
                  <w:tcW w:w="3579" w:type="dxa"/>
                  <w:vAlign w:val="center"/>
                </w:tcPr>
                <w:p w14:paraId="465C6AC3">
                  <w:pPr>
                    <w:spacing w:line="240" w:lineRule="atLeast"/>
                    <w:jc w:val="center"/>
                    <w:rPr>
                      <w:b/>
                      <w:bCs/>
                      <w:sz w:val="18"/>
                      <w:szCs w:val="18"/>
                    </w:rPr>
                  </w:pPr>
                  <w:r>
                    <w:rPr>
                      <w:b/>
                      <w:bCs/>
                      <w:sz w:val="18"/>
                      <w:szCs w:val="18"/>
                    </w:rPr>
                    <w:t>环保措施及验收内容</w:t>
                  </w:r>
                </w:p>
              </w:tc>
              <w:tc>
                <w:tcPr>
                  <w:tcW w:w="1254" w:type="dxa"/>
                  <w:vAlign w:val="center"/>
                </w:tcPr>
                <w:p w14:paraId="7C897451">
                  <w:pPr>
                    <w:spacing w:line="240" w:lineRule="atLeast"/>
                    <w:jc w:val="center"/>
                    <w:rPr>
                      <w:b/>
                      <w:bCs/>
                      <w:sz w:val="18"/>
                      <w:szCs w:val="18"/>
                    </w:rPr>
                  </w:pPr>
                  <w:r>
                    <w:rPr>
                      <w:b/>
                      <w:bCs/>
                      <w:sz w:val="18"/>
                      <w:szCs w:val="18"/>
                    </w:rPr>
                    <w:t>投资估算</w:t>
                  </w:r>
                </w:p>
              </w:tc>
              <w:tc>
                <w:tcPr>
                  <w:tcW w:w="1195" w:type="dxa"/>
                  <w:vAlign w:val="center"/>
                </w:tcPr>
                <w:p w14:paraId="7112BA22">
                  <w:pPr>
                    <w:spacing w:line="240" w:lineRule="atLeast"/>
                    <w:jc w:val="center"/>
                    <w:rPr>
                      <w:b/>
                      <w:bCs/>
                      <w:sz w:val="18"/>
                      <w:szCs w:val="18"/>
                    </w:rPr>
                  </w:pPr>
                  <w:r>
                    <w:rPr>
                      <w:b/>
                      <w:bCs/>
                      <w:sz w:val="18"/>
                      <w:szCs w:val="18"/>
                    </w:rPr>
                    <w:t>备注</w:t>
                  </w:r>
                </w:p>
              </w:tc>
            </w:tr>
            <w:tr w14:paraId="4532C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 w:hRule="atLeast"/>
                <w:jc w:val="center"/>
              </w:trPr>
              <w:tc>
                <w:tcPr>
                  <w:tcW w:w="753" w:type="dxa"/>
                  <w:vAlign w:val="center"/>
                </w:tcPr>
                <w:p w14:paraId="0938BB02">
                  <w:pPr>
                    <w:spacing w:line="240" w:lineRule="atLeast"/>
                    <w:jc w:val="center"/>
                    <w:rPr>
                      <w:bCs/>
                      <w:sz w:val="18"/>
                      <w:szCs w:val="18"/>
                    </w:rPr>
                  </w:pPr>
                  <w:r>
                    <w:rPr>
                      <w:bCs/>
                      <w:sz w:val="18"/>
                      <w:szCs w:val="18"/>
                    </w:rPr>
                    <w:t>1</w:t>
                  </w:r>
                </w:p>
              </w:tc>
              <w:tc>
                <w:tcPr>
                  <w:tcW w:w="1296" w:type="dxa"/>
                  <w:vAlign w:val="center"/>
                </w:tcPr>
                <w:p w14:paraId="3EC4D585">
                  <w:pPr>
                    <w:widowControl/>
                    <w:spacing w:line="300" w:lineRule="exact"/>
                    <w:jc w:val="center"/>
                    <w:rPr>
                      <w:bCs/>
                      <w:color w:val="auto"/>
                      <w:sz w:val="18"/>
                      <w:szCs w:val="18"/>
                    </w:rPr>
                  </w:pPr>
                  <w:r>
                    <w:rPr>
                      <w:bCs/>
                      <w:color w:val="auto"/>
                      <w:sz w:val="18"/>
                      <w:szCs w:val="18"/>
                    </w:rPr>
                    <w:t>大气污染防治措施</w:t>
                  </w:r>
                </w:p>
              </w:tc>
              <w:tc>
                <w:tcPr>
                  <w:tcW w:w="3579" w:type="dxa"/>
                  <w:vAlign w:val="center"/>
                </w:tcPr>
                <w:p w14:paraId="1D65CCF9">
                  <w:pPr>
                    <w:pStyle w:val="2"/>
                    <w:widowControl/>
                    <w:spacing w:line="300" w:lineRule="exact"/>
                    <w:ind w:left="0" w:leftChars="0" w:firstLine="0" w:firstLineChars="0"/>
                    <w:jc w:val="both"/>
                    <w:rPr>
                      <w:rFonts w:hint="eastAsia" w:eastAsia="宋体"/>
                      <w:bCs/>
                      <w:color w:val="auto"/>
                      <w:sz w:val="18"/>
                      <w:szCs w:val="18"/>
                      <w:lang w:eastAsia="zh-CN"/>
                    </w:rPr>
                  </w:pPr>
                  <w:r>
                    <w:rPr>
                      <w:rFonts w:hint="eastAsia"/>
                      <w:bCs/>
                      <w:color w:val="auto"/>
                      <w:sz w:val="18"/>
                      <w:szCs w:val="18"/>
                      <w:lang w:eastAsia="zh-CN"/>
                    </w:rPr>
                    <w:t>迷宫式过滤箱</w:t>
                  </w:r>
                  <w:r>
                    <w:rPr>
                      <w:rFonts w:hint="eastAsia"/>
                      <w:bCs/>
                      <w:color w:val="auto"/>
                      <w:sz w:val="18"/>
                      <w:szCs w:val="18"/>
                      <w:lang w:val="en-US" w:eastAsia="zh-CN"/>
                    </w:rPr>
                    <w:t>+两级活性炭吸附装置+废气管道及DA001</w:t>
                  </w:r>
                  <w:r>
                    <w:rPr>
                      <w:bCs/>
                      <w:color w:val="auto"/>
                      <w:sz w:val="18"/>
                      <w:szCs w:val="18"/>
                    </w:rPr>
                    <w:t>排气筒</w:t>
                  </w:r>
                  <w:r>
                    <w:rPr>
                      <w:rFonts w:hint="eastAsia"/>
                      <w:bCs/>
                      <w:color w:val="auto"/>
                      <w:sz w:val="18"/>
                      <w:szCs w:val="18"/>
                      <w:lang w:eastAsia="zh-CN"/>
                    </w:rPr>
                    <w:t>，</w:t>
                  </w:r>
                  <w:r>
                    <w:rPr>
                      <w:rFonts w:hint="eastAsia"/>
                      <w:bCs/>
                      <w:color w:val="auto"/>
                      <w:sz w:val="18"/>
                      <w:szCs w:val="18"/>
                      <w:lang w:val="en-US" w:eastAsia="zh-CN"/>
                    </w:rPr>
                    <w:t>滤筒除尘器、废气管道机DA002排气筒，</w:t>
                  </w:r>
                  <w:r>
                    <w:rPr>
                      <w:rFonts w:hint="eastAsia"/>
                      <w:bCs/>
                      <w:color w:val="auto"/>
                      <w:sz w:val="18"/>
                      <w:szCs w:val="18"/>
                      <w:lang w:eastAsia="zh-CN"/>
                    </w:rPr>
                    <w:t>焊烟净化器</w:t>
                  </w:r>
                </w:p>
              </w:tc>
              <w:tc>
                <w:tcPr>
                  <w:tcW w:w="1254" w:type="dxa"/>
                  <w:vAlign w:val="center"/>
                </w:tcPr>
                <w:p w14:paraId="2BE5F54D">
                  <w:pPr>
                    <w:spacing w:line="240" w:lineRule="atLeast"/>
                    <w:jc w:val="center"/>
                    <w:rPr>
                      <w:rFonts w:hint="default" w:eastAsia="宋体"/>
                      <w:bCs/>
                      <w:sz w:val="18"/>
                      <w:szCs w:val="18"/>
                      <w:lang w:val="en-US" w:eastAsia="zh-CN"/>
                    </w:rPr>
                  </w:pPr>
                  <w:r>
                    <w:rPr>
                      <w:rFonts w:hint="eastAsia"/>
                      <w:bCs/>
                      <w:sz w:val="18"/>
                      <w:szCs w:val="18"/>
                      <w:lang w:val="en-US" w:eastAsia="zh-CN"/>
                    </w:rPr>
                    <w:t>40</w:t>
                  </w:r>
                </w:p>
              </w:tc>
              <w:tc>
                <w:tcPr>
                  <w:tcW w:w="1195" w:type="dxa"/>
                  <w:vMerge w:val="restart"/>
                  <w:vAlign w:val="center"/>
                </w:tcPr>
                <w:p w14:paraId="4F1E6D1D">
                  <w:pPr>
                    <w:widowControl/>
                    <w:spacing w:line="300" w:lineRule="exact"/>
                    <w:jc w:val="center"/>
                    <w:rPr>
                      <w:bCs/>
                      <w:color w:val="FF0000"/>
                      <w:sz w:val="18"/>
                      <w:szCs w:val="18"/>
                    </w:rPr>
                  </w:pPr>
                  <w:r>
                    <w:rPr>
                      <w:bCs/>
                      <w:sz w:val="18"/>
                      <w:szCs w:val="18"/>
                    </w:rPr>
                    <w:t>项目的污染治理设施与主体工程同时设计、同时施工、同时投入使用</w:t>
                  </w:r>
                </w:p>
              </w:tc>
            </w:tr>
            <w:tr w14:paraId="04AA9D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5" w:hRule="atLeast"/>
                <w:jc w:val="center"/>
              </w:trPr>
              <w:tc>
                <w:tcPr>
                  <w:tcW w:w="753" w:type="dxa"/>
                  <w:vAlign w:val="center"/>
                </w:tcPr>
                <w:p w14:paraId="26F30E0A">
                  <w:pPr>
                    <w:spacing w:line="240" w:lineRule="atLeast"/>
                    <w:jc w:val="center"/>
                    <w:rPr>
                      <w:bCs/>
                      <w:sz w:val="18"/>
                      <w:szCs w:val="18"/>
                    </w:rPr>
                  </w:pPr>
                  <w:r>
                    <w:rPr>
                      <w:bCs/>
                      <w:sz w:val="18"/>
                      <w:szCs w:val="18"/>
                    </w:rPr>
                    <w:t>2</w:t>
                  </w:r>
                </w:p>
              </w:tc>
              <w:tc>
                <w:tcPr>
                  <w:tcW w:w="1296" w:type="dxa"/>
                  <w:vAlign w:val="center"/>
                </w:tcPr>
                <w:p w14:paraId="3CEF4C83">
                  <w:pPr>
                    <w:widowControl/>
                    <w:spacing w:line="300" w:lineRule="exact"/>
                    <w:jc w:val="center"/>
                    <w:rPr>
                      <w:bCs/>
                      <w:sz w:val="18"/>
                      <w:szCs w:val="18"/>
                    </w:rPr>
                  </w:pPr>
                  <w:r>
                    <w:rPr>
                      <w:bCs/>
                      <w:sz w:val="18"/>
                      <w:szCs w:val="18"/>
                    </w:rPr>
                    <w:t>水污染物防治措施</w:t>
                  </w:r>
                </w:p>
              </w:tc>
              <w:tc>
                <w:tcPr>
                  <w:tcW w:w="3579" w:type="dxa"/>
                  <w:vAlign w:val="center"/>
                </w:tcPr>
                <w:p w14:paraId="3991BED0">
                  <w:pPr>
                    <w:adjustRightInd w:val="0"/>
                    <w:snapToGrid w:val="0"/>
                    <w:spacing w:line="240" w:lineRule="atLeast"/>
                    <w:jc w:val="center"/>
                    <w:rPr>
                      <w:rFonts w:hint="eastAsia" w:eastAsia="宋体"/>
                      <w:lang w:eastAsia="zh-CN"/>
                    </w:rPr>
                  </w:pPr>
                  <w:r>
                    <w:rPr>
                      <w:rFonts w:hint="eastAsia"/>
                      <w:sz w:val="18"/>
                      <w:szCs w:val="18"/>
                      <w:lang w:eastAsia="zh-CN"/>
                    </w:rPr>
                    <w:t>循环水箱，</w:t>
                  </w:r>
                  <w:r>
                    <w:rPr>
                      <w:sz w:val="18"/>
                      <w:szCs w:val="18"/>
                    </w:rPr>
                    <w:t>化粪池</w:t>
                  </w:r>
                </w:p>
              </w:tc>
              <w:tc>
                <w:tcPr>
                  <w:tcW w:w="1254" w:type="dxa"/>
                  <w:vAlign w:val="center"/>
                </w:tcPr>
                <w:p w14:paraId="5E1BBECA">
                  <w:pPr>
                    <w:spacing w:line="240" w:lineRule="atLeast"/>
                    <w:jc w:val="center"/>
                    <w:rPr>
                      <w:rFonts w:hint="eastAsia" w:eastAsia="宋体"/>
                      <w:bCs/>
                      <w:sz w:val="18"/>
                      <w:szCs w:val="18"/>
                      <w:lang w:eastAsia="zh-CN"/>
                    </w:rPr>
                  </w:pPr>
                  <w:r>
                    <w:rPr>
                      <w:rFonts w:hint="eastAsia"/>
                      <w:bCs/>
                      <w:sz w:val="18"/>
                      <w:szCs w:val="18"/>
                      <w:lang w:val="en-US" w:eastAsia="zh-CN"/>
                    </w:rPr>
                    <w:t>2</w:t>
                  </w:r>
                </w:p>
              </w:tc>
              <w:tc>
                <w:tcPr>
                  <w:tcW w:w="1195" w:type="dxa"/>
                  <w:vMerge w:val="continue"/>
                  <w:vAlign w:val="center"/>
                </w:tcPr>
                <w:p w14:paraId="3B48E507">
                  <w:pPr>
                    <w:widowControl/>
                    <w:spacing w:line="300" w:lineRule="exact"/>
                    <w:jc w:val="center"/>
                    <w:rPr>
                      <w:bCs/>
                      <w:color w:val="FF0000"/>
                      <w:sz w:val="18"/>
                      <w:szCs w:val="18"/>
                    </w:rPr>
                  </w:pPr>
                </w:p>
              </w:tc>
            </w:tr>
            <w:tr w14:paraId="1A370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2" w:hRule="atLeast"/>
                <w:jc w:val="center"/>
              </w:trPr>
              <w:tc>
                <w:tcPr>
                  <w:tcW w:w="753" w:type="dxa"/>
                  <w:vAlign w:val="center"/>
                </w:tcPr>
                <w:p w14:paraId="3EEFDDFF">
                  <w:pPr>
                    <w:spacing w:line="240" w:lineRule="atLeast"/>
                    <w:jc w:val="center"/>
                    <w:rPr>
                      <w:bCs/>
                      <w:sz w:val="18"/>
                      <w:szCs w:val="18"/>
                    </w:rPr>
                  </w:pPr>
                  <w:r>
                    <w:rPr>
                      <w:bCs/>
                      <w:sz w:val="18"/>
                      <w:szCs w:val="18"/>
                    </w:rPr>
                    <w:t>3</w:t>
                  </w:r>
                </w:p>
              </w:tc>
              <w:tc>
                <w:tcPr>
                  <w:tcW w:w="1296" w:type="dxa"/>
                  <w:vAlign w:val="center"/>
                </w:tcPr>
                <w:p w14:paraId="259EE62D">
                  <w:pPr>
                    <w:widowControl/>
                    <w:spacing w:line="300" w:lineRule="exact"/>
                    <w:jc w:val="center"/>
                    <w:rPr>
                      <w:bCs/>
                      <w:sz w:val="18"/>
                      <w:szCs w:val="18"/>
                    </w:rPr>
                  </w:pPr>
                  <w:r>
                    <w:rPr>
                      <w:bCs/>
                      <w:sz w:val="18"/>
                      <w:szCs w:val="18"/>
                    </w:rPr>
                    <w:t>噪声污染防治措施</w:t>
                  </w:r>
                </w:p>
              </w:tc>
              <w:tc>
                <w:tcPr>
                  <w:tcW w:w="3579" w:type="dxa"/>
                  <w:vAlign w:val="center"/>
                </w:tcPr>
                <w:p w14:paraId="24755429">
                  <w:pPr>
                    <w:widowControl/>
                    <w:spacing w:line="300" w:lineRule="exact"/>
                    <w:jc w:val="center"/>
                    <w:rPr>
                      <w:bCs/>
                      <w:sz w:val="18"/>
                      <w:szCs w:val="18"/>
                    </w:rPr>
                  </w:pPr>
                  <w:r>
                    <w:rPr>
                      <w:bCs/>
                      <w:sz w:val="18"/>
                      <w:szCs w:val="18"/>
                    </w:rPr>
                    <w:t>合理布置，高噪声设备采用减震、消声、隔声等降噪措施。</w:t>
                  </w:r>
                </w:p>
              </w:tc>
              <w:tc>
                <w:tcPr>
                  <w:tcW w:w="1254" w:type="dxa"/>
                  <w:vAlign w:val="center"/>
                </w:tcPr>
                <w:p w14:paraId="369D5ADA">
                  <w:pPr>
                    <w:spacing w:line="240" w:lineRule="atLeast"/>
                    <w:jc w:val="center"/>
                    <w:rPr>
                      <w:rFonts w:hint="default" w:eastAsia="宋体"/>
                      <w:bCs/>
                      <w:sz w:val="18"/>
                      <w:szCs w:val="18"/>
                      <w:lang w:val="en-US" w:eastAsia="zh-CN"/>
                    </w:rPr>
                  </w:pPr>
                  <w:r>
                    <w:rPr>
                      <w:rFonts w:hint="eastAsia"/>
                      <w:bCs/>
                      <w:sz w:val="18"/>
                      <w:szCs w:val="18"/>
                      <w:lang w:val="en-US" w:eastAsia="zh-CN"/>
                    </w:rPr>
                    <w:t>5</w:t>
                  </w:r>
                </w:p>
              </w:tc>
              <w:tc>
                <w:tcPr>
                  <w:tcW w:w="1195" w:type="dxa"/>
                  <w:vMerge w:val="continue"/>
                  <w:vAlign w:val="center"/>
                </w:tcPr>
                <w:p w14:paraId="6D8C2364">
                  <w:pPr>
                    <w:widowControl/>
                    <w:spacing w:line="300" w:lineRule="exact"/>
                    <w:jc w:val="center"/>
                    <w:rPr>
                      <w:bCs/>
                      <w:color w:val="FF0000"/>
                      <w:sz w:val="18"/>
                      <w:szCs w:val="18"/>
                    </w:rPr>
                  </w:pPr>
                </w:p>
              </w:tc>
            </w:tr>
            <w:tr w14:paraId="38489B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753" w:type="dxa"/>
                  <w:vAlign w:val="center"/>
                </w:tcPr>
                <w:p w14:paraId="00FA0E5A">
                  <w:pPr>
                    <w:spacing w:line="240" w:lineRule="atLeast"/>
                    <w:jc w:val="center"/>
                    <w:rPr>
                      <w:bCs/>
                      <w:sz w:val="18"/>
                      <w:szCs w:val="18"/>
                    </w:rPr>
                  </w:pPr>
                  <w:r>
                    <w:rPr>
                      <w:bCs/>
                      <w:sz w:val="18"/>
                      <w:szCs w:val="18"/>
                    </w:rPr>
                    <w:t>4</w:t>
                  </w:r>
                </w:p>
              </w:tc>
              <w:tc>
                <w:tcPr>
                  <w:tcW w:w="1296" w:type="dxa"/>
                  <w:vAlign w:val="center"/>
                </w:tcPr>
                <w:p w14:paraId="7EC2BDC8">
                  <w:pPr>
                    <w:widowControl/>
                    <w:spacing w:line="300" w:lineRule="exact"/>
                    <w:jc w:val="center"/>
                    <w:rPr>
                      <w:bCs/>
                      <w:sz w:val="18"/>
                      <w:szCs w:val="18"/>
                    </w:rPr>
                  </w:pPr>
                  <w:r>
                    <w:rPr>
                      <w:bCs/>
                      <w:sz w:val="18"/>
                      <w:szCs w:val="18"/>
                    </w:rPr>
                    <w:t>固体废物处理处置措施</w:t>
                  </w:r>
                </w:p>
              </w:tc>
              <w:tc>
                <w:tcPr>
                  <w:tcW w:w="3579" w:type="dxa"/>
                  <w:vAlign w:val="center"/>
                </w:tcPr>
                <w:p w14:paraId="7283DAF5">
                  <w:pPr>
                    <w:widowControl/>
                    <w:spacing w:line="300" w:lineRule="exact"/>
                    <w:jc w:val="center"/>
                    <w:rPr>
                      <w:bCs/>
                      <w:sz w:val="18"/>
                      <w:szCs w:val="18"/>
                    </w:rPr>
                  </w:pPr>
                  <w:r>
                    <w:rPr>
                      <w:rFonts w:hint="eastAsia"/>
                      <w:bCs/>
                      <w:sz w:val="18"/>
                      <w:szCs w:val="18"/>
                      <w:lang w:eastAsia="zh-CN"/>
                    </w:rPr>
                    <w:t>一般固废仓库、危废间</w:t>
                  </w:r>
                </w:p>
              </w:tc>
              <w:tc>
                <w:tcPr>
                  <w:tcW w:w="1254" w:type="dxa"/>
                  <w:vAlign w:val="center"/>
                </w:tcPr>
                <w:p w14:paraId="1366F63F">
                  <w:pPr>
                    <w:spacing w:line="240" w:lineRule="atLeast"/>
                    <w:jc w:val="center"/>
                    <w:rPr>
                      <w:rFonts w:hint="eastAsia" w:eastAsia="宋体"/>
                      <w:bCs/>
                      <w:sz w:val="18"/>
                      <w:szCs w:val="18"/>
                      <w:lang w:eastAsia="zh-CN"/>
                    </w:rPr>
                  </w:pPr>
                  <w:r>
                    <w:rPr>
                      <w:rFonts w:hint="eastAsia"/>
                      <w:bCs/>
                      <w:sz w:val="18"/>
                      <w:szCs w:val="18"/>
                      <w:lang w:val="en-US" w:eastAsia="zh-CN"/>
                    </w:rPr>
                    <w:t>3</w:t>
                  </w:r>
                </w:p>
              </w:tc>
              <w:tc>
                <w:tcPr>
                  <w:tcW w:w="1195" w:type="dxa"/>
                  <w:vMerge w:val="continue"/>
                  <w:vAlign w:val="center"/>
                </w:tcPr>
                <w:p w14:paraId="0E0C3EC0">
                  <w:pPr>
                    <w:widowControl/>
                    <w:spacing w:line="300" w:lineRule="exact"/>
                    <w:jc w:val="center"/>
                    <w:rPr>
                      <w:bCs/>
                      <w:color w:val="FF0000"/>
                      <w:sz w:val="18"/>
                      <w:szCs w:val="18"/>
                    </w:rPr>
                  </w:pPr>
                </w:p>
              </w:tc>
            </w:tr>
            <w:tr w14:paraId="3CCCB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753" w:type="dxa"/>
                  <w:vAlign w:val="center"/>
                </w:tcPr>
                <w:p w14:paraId="17B540CD">
                  <w:pPr>
                    <w:spacing w:line="240" w:lineRule="atLeast"/>
                    <w:jc w:val="center"/>
                    <w:rPr>
                      <w:bCs/>
                      <w:sz w:val="18"/>
                      <w:szCs w:val="18"/>
                    </w:rPr>
                  </w:pPr>
                  <w:r>
                    <w:rPr>
                      <w:bCs/>
                      <w:sz w:val="18"/>
                      <w:szCs w:val="18"/>
                    </w:rPr>
                    <w:t>5</w:t>
                  </w:r>
                </w:p>
              </w:tc>
              <w:tc>
                <w:tcPr>
                  <w:tcW w:w="1296" w:type="dxa"/>
                  <w:vAlign w:val="center"/>
                </w:tcPr>
                <w:p w14:paraId="4C3E6404">
                  <w:pPr>
                    <w:widowControl/>
                    <w:spacing w:line="300" w:lineRule="exact"/>
                    <w:jc w:val="center"/>
                    <w:rPr>
                      <w:bCs/>
                      <w:sz w:val="18"/>
                      <w:szCs w:val="18"/>
                    </w:rPr>
                  </w:pPr>
                  <w:r>
                    <w:rPr>
                      <w:bCs/>
                      <w:sz w:val="18"/>
                      <w:szCs w:val="18"/>
                    </w:rPr>
                    <w:t>地下水、土壤防治措施</w:t>
                  </w:r>
                </w:p>
              </w:tc>
              <w:tc>
                <w:tcPr>
                  <w:tcW w:w="3579" w:type="dxa"/>
                  <w:vAlign w:val="center"/>
                </w:tcPr>
                <w:p w14:paraId="341808EC">
                  <w:pPr>
                    <w:widowControl/>
                    <w:spacing w:line="300" w:lineRule="exact"/>
                    <w:jc w:val="center"/>
                    <w:rPr>
                      <w:rFonts w:hint="eastAsia"/>
                      <w:lang w:eastAsia="zh-CN"/>
                    </w:rPr>
                  </w:pPr>
                  <w:r>
                    <w:rPr>
                      <w:bCs/>
                      <w:sz w:val="18"/>
                      <w:szCs w:val="18"/>
                    </w:rPr>
                    <w:t>地面硬化+防渗处理</w:t>
                  </w:r>
                </w:p>
              </w:tc>
              <w:tc>
                <w:tcPr>
                  <w:tcW w:w="1254" w:type="dxa"/>
                  <w:vAlign w:val="center"/>
                </w:tcPr>
                <w:p w14:paraId="04AE4441">
                  <w:pPr>
                    <w:spacing w:line="240" w:lineRule="atLeast"/>
                    <w:jc w:val="center"/>
                    <w:rPr>
                      <w:rFonts w:hint="default" w:eastAsia="宋体"/>
                      <w:bCs/>
                      <w:sz w:val="18"/>
                      <w:szCs w:val="18"/>
                      <w:lang w:val="en-US" w:eastAsia="zh-CN"/>
                    </w:rPr>
                  </w:pPr>
                  <w:r>
                    <w:rPr>
                      <w:rFonts w:hint="eastAsia"/>
                      <w:bCs/>
                      <w:sz w:val="18"/>
                      <w:szCs w:val="18"/>
                      <w:lang w:val="en-US" w:eastAsia="zh-CN"/>
                    </w:rPr>
                    <w:t>10</w:t>
                  </w:r>
                </w:p>
              </w:tc>
              <w:tc>
                <w:tcPr>
                  <w:tcW w:w="1195" w:type="dxa"/>
                  <w:vMerge w:val="continue"/>
                  <w:vAlign w:val="center"/>
                </w:tcPr>
                <w:p w14:paraId="47DA17A8">
                  <w:pPr>
                    <w:widowControl/>
                    <w:spacing w:line="300" w:lineRule="exact"/>
                    <w:jc w:val="center"/>
                    <w:rPr>
                      <w:bCs/>
                      <w:color w:val="FF0000"/>
                      <w:sz w:val="18"/>
                      <w:szCs w:val="18"/>
                    </w:rPr>
                  </w:pPr>
                </w:p>
              </w:tc>
            </w:tr>
            <w:tr w14:paraId="472C8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5628" w:type="dxa"/>
                  <w:gridSpan w:val="3"/>
                  <w:vAlign w:val="center"/>
                </w:tcPr>
                <w:p w14:paraId="7A929F88">
                  <w:pPr>
                    <w:pStyle w:val="893"/>
                    <w:tabs>
                      <w:tab w:val="clear" w:pos="400"/>
                    </w:tabs>
                    <w:spacing w:line="300" w:lineRule="exact"/>
                    <w:ind w:firstLine="0"/>
                    <w:jc w:val="center"/>
                    <w:rPr>
                      <w:bCs/>
                      <w:sz w:val="18"/>
                      <w:szCs w:val="18"/>
                    </w:rPr>
                  </w:pPr>
                  <w:r>
                    <w:rPr>
                      <w:bCs/>
                      <w:sz w:val="18"/>
                      <w:szCs w:val="18"/>
                    </w:rPr>
                    <w:t>合计</w:t>
                  </w:r>
                </w:p>
              </w:tc>
              <w:tc>
                <w:tcPr>
                  <w:tcW w:w="1254" w:type="dxa"/>
                  <w:vAlign w:val="center"/>
                </w:tcPr>
                <w:p w14:paraId="08C7285A">
                  <w:pPr>
                    <w:pStyle w:val="893"/>
                    <w:tabs>
                      <w:tab w:val="clear" w:pos="400"/>
                    </w:tabs>
                    <w:spacing w:line="300" w:lineRule="exact"/>
                    <w:ind w:firstLine="0"/>
                    <w:jc w:val="center"/>
                    <w:rPr>
                      <w:bCs/>
                      <w:sz w:val="18"/>
                      <w:szCs w:val="18"/>
                    </w:rPr>
                  </w:pPr>
                  <w:r>
                    <w:rPr>
                      <w:rFonts w:hint="eastAsia"/>
                      <w:bCs/>
                      <w:sz w:val="18"/>
                      <w:szCs w:val="18"/>
                      <w:lang w:val="en-US" w:eastAsia="zh-CN"/>
                    </w:rPr>
                    <w:t>6</w:t>
                  </w:r>
                  <w:r>
                    <w:rPr>
                      <w:bCs/>
                      <w:sz w:val="18"/>
                      <w:szCs w:val="18"/>
                    </w:rPr>
                    <w:t>0</w:t>
                  </w:r>
                </w:p>
              </w:tc>
              <w:tc>
                <w:tcPr>
                  <w:tcW w:w="1195" w:type="dxa"/>
                  <w:vMerge w:val="continue"/>
                  <w:vAlign w:val="center"/>
                </w:tcPr>
                <w:p w14:paraId="41F673C6">
                  <w:pPr>
                    <w:spacing w:line="240" w:lineRule="atLeast"/>
                    <w:jc w:val="center"/>
                    <w:rPr>
                      <w:bCs/>
                      <w:color w:val="FF0000"/>
                      <w:sz w:val="18"/>
                      <w:szCs w:val="18"/>
                    </w:rPr>
                  </w:pPr>
                </w:p>
              </w:tc>
            </w:tr>
          </w:tbl>
          <w:p w14:paraId="2E39ABA6">
            <w:pPr>
              <w:keepNext w:val="0"/>
              <w:keepLines w:val="0"/>
              <w:pageBreakBefore w:val="0"/>
              <w:widowControl w:val="0"/>
              <w:kinsoku/>
              <w:wordWrap/>
              <w:overflowPunct/>
              <w:topLinePunct w:val="0"/>
              <w:autoSpaceDE/>
              <w:autoSpaceDN/>
              <w:bidi w:val="0"/>
              <w:spacing w:line="360" w:lineRule="auto"/>
              <w:ind w:left="0" w:leftChars="0" w:firstLine="422" w:firstLineChars="200"/>
              <w:textAlignment w:val="auto"/>
              <w:rPr>
                <w:b/>
                <w:bCs/>
                <w:color w:val="000000"/>
                <w:sz w:val="21"/>
                <w:szCs w:val="21"/>
                <w:highlight w:val="none"/>
              </w:rPr>
            </w:pPr>
            <w:r>
              <w:rPr>
                <w:rFonts w:hint="eastAsia"/>
                <w:b/>
                <w:bCs/>
                <w:color w:val="000000"/>
                <w:sz w:val="21"/>
                <w:szCs w:val="21"/>
                <w:highlight w:val="none"/>
                <w:lang w:val="en-US" w:eastAsia="zh-CN"/>
              </w:rPr>
              <w:t>十</w:t>
            </w:r>
            <w:r>
              <w:rPr>
                <w:b/>
                <w:bCs/>
                <w:color w:val="000000"/>
                <w:sz w:val="21"/>
                <w:szCs w:val="21"/>
                <w:highlight w:val="none"/>
              </w:rPr>
              <w:t>、排污口规范设置</w:t>
            </w:r>
          </w:p>
          <w:p w14:paraId="38A43325">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根据国家标准《环境保护图形标志—排放口（源）》、国家环境保护总局《排污口规范化整治要求》（试行）（国家环保局环监[1996]470号）、《山东省污水排放口环境信息公开技术规范》（DB37/T2463-2014）的技术要求，企业所有排放口（包括水、气、声、渣）必须按照“便于采样、便于计量检测、便于日常监督检查”的原则来规范化要求，设置与之相适应的环境保护图形标志牌和企业排污口分布图，对污染物治理设施安装运行监控装置、排污口规范化要符合当地环保部门的有关要求。</w:t>
            </w:r>
          </w:p>
          <w:p w14:paraId="22BBAC0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根据国家环境保护总局《关于开展排放口规范化整治工作的通知》环发[1999]24号和《排放口规范化整治技术》环发[1999]24号附件二等规定的要求，一切新建、改扩建、改建的排污单位以及限期治理的排污单位必须在建设污染治理设施的同时，建设规范化排放口。因此，建设项目产生的各类污染物排放口必须规范化，而且规范化工作的完成必须与污染治理设施同步，并列入污染物治理设施的验收内容。</w:t>
            </w:r>
          </w:p>
          <w:p w14:paraId="62853896">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①项目产生的一般固废企业收集后外售。存放场地需采取防扬散、防流失措施，并应在存放场地设置环保标志牌。</w:t>
            </w:r>
          </w:p>
          <w:p w14:paraId="5826D7FE">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②主要固定噪声源附近应设置环境保护图形标志牌。</w:t>
            </w:r>
          </w:p>
          <w:p w14:paraId="39802532">
            <w:pPr>
              <w:keepNext w:val="0"/>
              <w:keepLines w:val="0"/>
              <w:pageBreakBefore w:val="0"/>
              <w:widowControl w:val="0"/>
              <w:kinsoku/>
              <w:wordWrap/>
              <w:overflowPunct/>
              <w:topLinePunct w:val="0"/>
              <w:autoSpaceDE/>
              <w:autoSpaceDN/>
              <w:bidi w:val="0"/>
              <w:adjustRightInd w:val="0"/>
              <w:snapToGrid w:val="0"/>
              <w:spacing w:line="360" w:lineRule="auto"/>
              <w:ind w:left="0" w:leftChars="0" w:firstLine="420" w:firstLineChars="200"/>
              <w:textAlignment w:val="auto"/>
              <w:rPr>
                <w:color w:val="000000"/>
                <w:sz w:val="21"/>
                <w:szCs w:val="21"/>
                <w:highlight w:val="none"/>
              </w:rPr>
            </w:pPr>
            <w:r>
              <w:rPr>
                <w:color w:val="000000"/>
                <w:sz w:val="21"/>
                <w:szCs w:val="21"/>
                <w:highlight w:val="none"/>
              </w:rPr>
              <w:t>③项目废气污染源排气筒应按照“排污口”要求进行设置，并设置便于采样、监测的采样口或采样平台；在排气筒附近醒目处设置环保标志牌。</w:t>
            </w:r>
          </w:p>
          <w:p w14:paraId="6EF459CE">
            <w:pPr>
              <w:pStyle w:val="2"/>
              <w:keepNext w:val="0"/>
              <w:keepLines w:val="0"/>
              <w:pageBreakBefore w:val="0"/>
              <w:widowControl w:val="0"/>
              <w:kinsoku/>
              <w:wordWrap/>
              <w:overflowPunct/>
              <w:topLinePunct w:val="0"/>
              <w:autoSpaceDE/>
              <w:autoSpaceDN/>
              <w:bidi w:val="0"/>
              <w:spacing w:after="0" w:line="360" w:lineRule="auto"/>
              <w:ind w:left="0" w:leftChars="0"/>
              <w:textAlignment w:val="auto"/>
              <w:rPr>
                <w:color w:val="000000"/>
                <w:sz w:val="21"/>
                <w:szCs w:val="21"/>
                <w:highlight w:val="none"/>
              </w:rPr>
            </w:pPr>
            <w:r>
              <w:rPr>
                <w:rFonts w:hint="eastAsia"/>
                <w:color w:val="000000"/>
                <w:sz w:val="21"/>
                <w:szCs w:val="21"/>
                <w:highlight w:val="none"/>
                <w:lang w:eastAsia="zh-CN"/>
              </w:rPr>
              <w:t>本项目</w:t>
            </w:r>
            <w:r>
              <w:rPr>
                <w:color w:val="000000"/>
                <w:sz w:val="21"/>
                <w:szCs w:val="21"/>
                <w:highlight w:val="none"/>
              </w:rPr>
              <w:t>建成后，应按照《环境保护图形标志一排放口(源)》（GB15562.1-1995）、《环境保护图形标志-固体废物贮存（处置）场》(、GB15562.2-1995</w:t>
            </w:r>
            <w:r>
              <w:rPr>
                <w:rFonts w:hint="eastAsia"/>
                <w:color w:val="000000"/>
                <w:sz w:val="21"/>
                <w:szCs w:val="21"/>
                <w:highlight w:val="none"/>
              </w:rPr>
              <w:t>修改单</w:t>
            </w:r>
            <w:r>
              <w:rPr>
                <w:color w:val="000000"/>
                <w:sz w:val="21"/>
                <w:szCs w:val="21"/>
                <w:highlight w:val="none"/>
              </w:rPr>
              <w:t>)中有关规定执行。</w:t>
            </w:r>
            <w:r>
              <w:rPr>
                <w:rFonts w:hint="eastAsia"/>
                <w:color w:val="000000"/>
                <w:sz w:val="21"/>
                <w:szCs w:val="21"/>
                <w:highlight w:val="none"/>
              </w:rPr>
              <w:t>并</w:t>
            </w:r>
            <w:r>
              <w:rPr>
                <w:color w:val="000000"/>
                <w:sz w:val="21"/>
                <w:szCs w:val="21"/>
                <w:highlight w:val="none"/>
              </w:rPr>
              <w:t>将上述所有污染排放口名称、位置、数量，以及排放污染物名称、数量等内容进行统计，并登记上报当地环保部门，以便进行验收和排放口的规范化管理。</w:t>
            </w:r>
          </w:p>
          <w:p w14:paraId="4DD09B96">
            <w:pPr>
              <w:adjustRightInd w:val="0"/>
              <w:snapToGrid w:val="0"/>
              <w:spacing w:line="360" w:lineRule="auto"/>
              <w:ind w:firstLine="422" w:firstLineChars="200"/>
              <w:rPr>
                <w:b/>
                <w:bCs/>
                <w:sz w:val="21"/>
                <w:szCs w:val="21"/>
                <w:highlight w:val="none"/>
              </w:rPr>
            </w:pPr>
            <w:r>
              <w:rPr>
                <w:rFonts w:hint="eastAsia"/>
                <w:b/>
                <w:bCs/>
                <w:sz w:val="21"/>
                <w:szCs w:val="21"/>
                <w:highlight w:val="none"/>
                <w:lang w:eastAsia="zh-CN"/>
              </w:rPr>
              <w:t>十</w:t>
            </w:r>
            <w:r>
              <w:rPr>
                <w:rFonts w:hint="eastAsia"/>
                <w:b/>
                <w:bCs/>
                <w:sz w:val="21"/>
                <w:szCs w:val="21"/>
                <w:highlight w:val="none"/>
                <w:lang w:val="en-US" w:eastAsia="zh-CN"/>
              </w:rPr>
              <w:t>一</w:t>
            </w:r>
            <w:r>
              <w:rPr>
                <w:b/>
                <w:bCs/>
                <w:sz w:val="21"/>
                <w:szCs w:val="21"/>
                <w:highlight w:val="none"/>
              </w:rPr>
              <w:t>、环境管理</w:t>
            </w:r>
          </w:p>
          <w:p w14:paraId="2E255645">
            <w:pPr>
              <w:pStyle w:val="34"/>
              <w:adjustRightInd w:val="0"/>
              <w:spacing w:before="0" w:after="0" w:line="360" w:lineRule="auto"/>
              <w:ind w:right="0" w:firstLine="422" w:firstLineChars="200"/>
              <w:rPr>
                <w:b/>
                <w:bCs/>
                <w:sz w:val="21"/>
                <w:szCs w:val="21"/>
                <w:highlight w:val="none"/>
              </w:rPr>
            </w:pPr>
            <w:r>
              <w:rPr>
                <w:rFonts w:hint="eastAsia"/>
                <w:b/>
                <w:bCs/>
                <w:sz w:val="21"/>
                <w:szCs w:val="21"/>
                <w:highlight w:val="none"/>
              </w:rPr>
              <w:t>（1）</w:t>
            </w:r>
            <w:r>
              <w:rPr>
                <w:b/>
                <w:bCs/>
                <w:sz w:val="21"/>
                <w:szCs w:val="21"/>
                <w:highlight w:val="none"/>
              </w:rPr>
              <w:t>环境信息公开</w:t>
            </w:r>
          </w:p>
          <w:p w14:paraId="1C3C8C49">
            <w:pPr>
              <w:pStyle w:val="34"/>
              <w:adjustRightInd w:val="0"/>
              <w:spacing w:before="0" w:after="0" w:line="360" w:lineRule="auto"/>
              <w:ind w:right="0" w:firstLine="480"/>
              <w:rPr>
                <w:sz w:val="21"/>
                <w:szCs w:val="21"/>
                <w:highlight w:val="none"/>
              </w:rPr>
            </w:pPr>
            <w:r>
              <w:rPr>
                <w:sz w:val="21"/>
                <w:szCs w:val="21"/>
                <w:highlight w:val="none"/>
              </w:rPr>
              <w:t>环保机构合理设置对于有效地管理较为重要，一般分为环境管理机构和监测机构两部分。本项目建成后，建设单位应设立专门的环境管理机构，配备专职（可兼职）环保人员，负责该公司日常环保监督管理工作。保证工作质量，且专职环保人员需经过专职的培训，并定期参加国家或地方环保部门的考核。</w:t>
            </w:r>
          </w:p>
          <w:p w14:paraId="5640A6B4">
            <w:pPr>
              <w:pStyle w:val="34"/>
              <w:adjustRightInd w:val="0"/>
              <w:spacing w:before="0" w:after="0" w:line="360" w:lineRule="auto"/>
              <w:ind w:right="0" w:firstLine="422" w:firstLineChars="200"/>
              <w:rPr>
                <w:b/>
                <w:bCs/>
                <w:sz w:val="21"/>
                <w:szCs w:val="21"/>
                <w:highlight w:val="none"/>
              </w:rPr>
            </w:pPr>
            <w:r>
              <w:rPr>
                <w:rFonts w:hint="eastAsia"/>
                <w:b/>
                <w:bCs/>
                <w:sz w:val="21"/>
                <w:szCs w:val="21"/>
                <w:highlight w:val="none"/>
              </w:rPr>
              <w:t>（2）</w:t>
            </w:r>
            <w:r>
              <w:rPr>
                <w:b/>
                <w:bCs/>
                <w:sz w:val="21"/>
                <w:szCs w:val="21"/>
                <w:highlight w:val="none"/>
              </w:rPr>
              <w:t>环保机构职责</w:t>
            </w:r>
          </w:p>
          <w:p w14:paraId="3D2F9BFE">
            <w:pPr>
              <w:pStyle w:val="34"/>
              <w:adjustRightInd w:val="0"/>
              <w:spacing w:before="0" w:after="0" w:line="360" w:lineRule="auto"/>
              <w:ind w:right="0" w:firstLine="420" w:firstLineChars="200"/>
              <w:rPr>
                <w:sz w:val="21"/>
                <w:szCs w:val="21"/>
                <w:highlight w:val="none"/>
              </w:rPr>
            </w:pPr>
            <w:r>
              <w:rPr>
                <w:sz w:val="21"/>
                <w:szCs w:val="21"/>
                <w:highlight w:val="none"/>
              </w:rPr>
              <w:t>本项目环境管理机构应履行以下主要职责：</w:t>
            </w:r>
          </w:p>
          <w:p w14:paraId="58D98387">
            <w:pPr>
              <w:pStyle w:val="34"/>
              <w:adjustRightInd w:val="0"/>
              <w:spacing w:before="0" w:after="0" w:line="360" w:lineRule="auto"/>
              <w:ind w:right="0" w:firstLine="480"/>
              <w:rPr>
                <w:sz w:val="21"/>
                <w:szCs w:val="21"/>
                <w:highlight w:val="none"/>
              </w:rPr>
            </w:pPr>
            <w:r>
              <w:rPr>
                <w:sz w:val="21"/>
                <w:szCs w:val="21"/>
                <w:highlight w:val="none"/>
              </w:rPr>
              <w:t>①组织宣传贯彻国家和地方的环境保护方针、政策、标准，对企业员工进行环保知识教育；</w:t>
            </w:r>
          </w:p>
          <w:p w14:paraId="7D1A4B03">
            <w:pPr>
              <w:pStyle w:val="34"/>
              <w:adjustRightInd w:val="0"/>
              <w:spacing w:before="0" w:after="0" w:line="360" w:lineRule="auto"/>
              <w:ind w:right="0" w:firstLine="420" w:firstLineChars="200"/>
              <w:rPr>
                <w:sz w:val="21"/>
                <w:szCs w:val="21"/>
                <w:highlight w:val="none"/>
              </w:rPr>
            </w:pPr>
            <w:r>
              <w:rPr>
                <w:sz w:val="21"/>
                <w:szCs w:val="21"/>
                <w:highlight w:val="none"/>
              </w:rPr>
              <w:t>②组织制定和修改项目的环境保护管理规章制度并监督执行；</w:t>
            </w:r>
          </w:p>
          <w:p w14:paraId="3649F21E">
            <w:pPr>
              <w:pStyle w:val="34"/>
              <w:adjustRightInd w:val="0"/>
              <w:spacing w:before="0" w:after="0" w:line="360" w:lineRule="auto"/>
              <w:ind w:right="0" w:firstLine="480"/>
              <w:rPr>
                <w:sz w:val="21"/>
                <w:szCs w:val="21"/>
                <w:highlight w:val="none"/>
              </w:rPr>
            </w:pPr>
            <w:r>
              <w:rPr>
                <w:sz w:val="21"/>
                <w:szCs w:val="21"/>
                <w:highlight w:val="none"/>
              </w:rPr>
              <w:t>③根据国家、地方政府等规定的环境质量要求，结合本项目实际情况制定并组织实施各项环境保护规则和计划，协调经济发展和环境保护之间的关系；</w:t>
            </w:r>
          </w:p>
          <w:p w14:paraId="528ACC2C">
            <w:pPr>
              <w:pStyle w:val="34"/>
              <w:adjustRightInd w:val="0"/>
              <w:spacing w:before="0" w:after="0" w:line="360" w:lineRule="auto"/>
              <w:ind w:right="0" w:firstLine="480"/>
              <w:rPr>
                <w:sz w:val="21"/>
                <w:szCs w:val="21"/>
                <w:highlight w:val="none"/>
              </w:rPr>
            </w:pPr>
            <w:r>
              <w:rPr>
                <w:sz w:val="21"/>
                <w:szCs w:val="21"/>
                <w:highlight w:val="none"/>
              </w:rPr>
              <w:t>④检查项目环境保护设施运行状况，配合厂内日常环境监测，确保各污染物控制措施可靠、有效；</w:t>
            </w:r>
          </w:p>
          <w:p w14:paraId="4C070E56">
            <w:pPr>
              <w:pStyle w:val="34"/>
              <w:adjustRightInd w:val="0"/>
              <w:spacing w:before="0" w:after="0" w:line="360" w:lineRule="auto"/>
              <w:ind w:right="0" w:firstLine="420" w:firstLineChars="200"/>
              <w:rPr>
                <w:sz w:val="21"/>
                <w:szCs w:val="21"/>
                <w:highlight w:val="none"/>
              </w:rPr>
            </w:pPr>
            <w:r>
              <w:rPr>
                <w:sz w:val="21"/>
                <w:szCs w:val="21"/>
                <w:highlight w:val="none"/>
              </w:rPr>
              <w:t>⑤对可能造成的环境污染及时向上级汇报，并提出防治、应急措施；</w:t>
            </w:r>
          </w:p>
          <w:p w14:paraId="43E9E268">
            <w:pPr>
              <w:pStyle w:val="34"/>
              <w:adjustRightInd w:val="0"/>
              <w:spacing w:before="0" w:after="0" w:line="360" w:lineRule="auto"/>
              <w:ind w:right="0" w:firstLine="420" w:firstLineChars="200"/>
              <w:rPr>
                <w:sz w:val="21"/>
                <w:szCs w:val="21"/>
                <w:highlight w:val="none"/>
              </w:rPr>
            </w:pPr>
            <w:r>
              <w:rPr>
                <w:sz w:val="21"/>
                <w:szCs w:val="21"/>
                <w:highlight w:val="none"/>
              </w:rPr>
              <w:t>⑥组织开展项目的环境保护专业技术培训，提高员工环保素质；</w:t>
            </w:r>
          </w:p>
          <w:p w14:paraId="68CD1C06">
            <w:pPr>
              <w:pStyle w:val="34"/>
              <w:adjustRightInd w:val="0"/>
              <w:spacing w:before="0" w:after="0" w:line="360" w:lineRule="auto"/>
              <w:ind w:right="0" w:firstLine="480"/>
              <w:rPr>
                <w:sz w:val="21"/>
                <w:szCs w:val="21"/>
                <w:highlight w:val="none"/>
              </w:rPr>
            </w:pPr>
            <w:r>
              <w:rPr>
                <w:sz w:val="21"/>
                <w:szCs w:val="21"/>
                <w:highlight w:val="none"/>
              </w:rPr>
              <w:t>⑦接受地方</w:t>
            </w:r>
            <w:r>
              <w:rPr>
                <w:rFonts w:hint="eastAsia"/>
                <w:sz w:val="21"/>
                <w:szCs w:val="21"/>
                <w:highlight w:val="none"/>
                <w:lang w:eastAsia="zh-CN"/>
              </w:rPr>
              <w:t>生态环境</w:t>
            </w:r>
            <w:r>
              <w:rPr>
                <w:sz w:val="21"/>
                <w:szCs w:val="21"/>
                <w:highlight w:val="none"/>
              </w:rPr>
              <w:t>局的业务指导和监督，按要求上报各项管理工作的执行情况及有关环境数据，为区域整体环境管理服务；</w:t>
            </w:r>
          </w:p>
          <w:p w14:paraId="771998E3">
            <w:pPr>
              <w:pStyle w:val="34"/>
              <w:adjustRightInd w:val="0"/>
              <w:spacing w:before="0" w:after="0" w:line="360" w:lineRule="auto"/>
              <w:ind w:right="0" w:firstLine="420" w:firstLineChars="200"/>
              <w:rPr>
                <w:sz w:val="21"/>
                <w:szCs w:val="21"/>
                <w:highlight w:val="none"/>
              </w:rPr>
            </w:pPr>
            <w:r>
              <w:rPr>
                <w:sz w:val="21"/>
                <w:szCs w:val="21"/>
                <w:highlight w:val="none"/>
              </w:rPr>
              <w:t>⑧推广应用环境保护先进技术和经验。</w:t>
            </w:r>
          </w:p>
          <w:p w14:paraId="78B374A1">
            <w:pPr>
              <w:pStyle w:val="34"/>
              <w:adjustRightInd w:val="0"/>
              <w:spacing w:before="0" w:after="0" w:line="360" w:lineRule="auto"/>
              <w:ind w:right="0" w:firstLine="422" w:firstLineChars="200"/>
              <w:rPr>
                <w:b/>
                <w:bCs/>
                <w:sz w:val="21"/>
                <w:szCs w:val="21"/>
                <w:highlight w:val="none"/>
              </w:rPr>
            </w:pPr>
            <w:r>
              <w:rPr>
                <w:rFonts w:hint="eastAsia"/>
                <w:b/>
                <w:bCs/>
                <w:sz w:val="21"/>
                <w:szCs w:val="21"/>
                <w:highlight w:val="none"/>
              </w:rPr>
              <w:t>（3）</w:t>
            </w:r>
            <w:r>
              <w:rPr>
                <w:b/>
                <w:bCs/>
                <w:sz w:val="21"/>
                <w:szCs w:val="21"/>
                <w:highlight w:val="none"/>
              </w:rPr>
              <w:t>环境保护管理制度</w:t>
            </w:r>
          </w:p>
          <w:p w14:paraId="610B09C9">
            <w:pPr>
              <w:pStyle w:val="34"/>
              <w:adjustRightInd w:val="0"/>
              <w:spacing w:before="0" w:after="0" w:line="360" w:lineRule="auto"/>
              <w:ind w:right="0" w:firstLine="480"/>
              <w:rPr>
                <w:sz w:val="21"/>
                <w:szCs w:val="21"/>
                <w:highlight w:val="none"/>
              </w:rPr>
            </w:pPr>
            <w:r>
              <w:rPr>
                <w:sz w:val="21"/>
                <w:szCs w:val="21"/>
                <w:highlight w:val="none"/>
              </w:rPr>
              <w:t>①对技术工人进行上岗前的环保知识法规教育及操作规范的培训，使各项环保设施的操作规范化，保证环保设施的正常运转；</w:t>
            </w:r>
          </w:p>
          <w:p w14:paraId="5930A305">
            <w:pPr>
              <w:pStyle w:val="34"/>
              <w:adjustRightInd w:val="0"/>
              <w:spacing w:before="0" w:after="0" w:line="360" w:lineRule="auto"/>
              <w:ind w:right="0" w:firstLine="480"/>
              <w:rPr>
                <w:sz w:val="21"/>
                <w:szCs w:val="21"/>
                <w:highlight w:val="none"/>
              </w:rPr>
            </w:pPr>
            <w:r>
              <w:rPr>
                <w:sz w:val="21"/>
                <w:szCs w:val="21"/>
                <w:highlight w:val="none"/>
              </w:rPr>
              <w:t>②定期向环保主管部门汇报环保工作情况，污染治理设施运行情况，监视性监测结果；</w:t>
            </w:r>
          </w:p>
          <w:p w14:paraId="6A680771">
            <w:pPr>
              <w:pStyle w:val="34"/>
              <w:adjustRightInd w:val="0"/>
              <w:spacing w:before="0" w:after="0" w:line="360" w:lineRule="auto"/>
              <w:ind w:right="0" w:firstLine="480"/>
              <w:rPr>
                <w:sz w:val="21"/>
                <w:szCs w:val="21"/>
                <w:highlight w:val="none"/>
              </w:rPr>
            </w:pPr>
            <w:r>
              <w:rPr>
                <w:sz w:val="21"/>
                <w:szCs w:val="21"/>
                <w:highlight w:val="none"/>
              </w:rPr>
              <w:t>③加强环境监测工作，重点是各污染源的监测，并注意做好记录，监测中如发现异常情况应及时向有关部门通报，及时采取应急措施，防止事故排放；</w:t>
            </w:r>
          </w:p>
          <w:p w14:paraId="36746056">
            <w:pPr>
              <w:pStyle w:val="34"/>
              <w:adjustRightInd w:val="0"/>
              <w:spacing w:before="0" w:after="0" w:line="360" w:lineRule="auto"/>
              <w:ind w:right="0" w:firstLine="480"/>
              <w:rPr>
                <w:sz w:val="21"/>
                <w:szCs w:val="21"/>
                <w:highlight w:val="none"/>
              </w:rPr>
            </w:pPr>
            <w:r>
              <w:rPr>
                <w:sz w:val="21"/>
                <w:szCs w:val="21"/>
                <w:highlight w:val="none"/>
              </w:rPr>
              <w:t>④建立本企业的环境保护工作档案，包括污染物排放情况；污染治理设施的运行、操作和管理情况；监测记录；污染事故情况及有关记录；其他与污染防治有关的情况和资料等。</w:t>
            </w:r>
          </w:p>
          <w:p w14:paraId="5B6880E5">
            <w:pPr>
              <w:pStyle w:val="34"/>
              <w:adjustRightInd w:val="0"/>
              <w:spacing w:before="0" w:after="0" w:line="360" w:lineRule="auto"/>
              <w:ind w:right="0" w:firstLine="420" w:firstLineChars="200"/>
              <w:rPr>
                <w:rFonts w:hint="eastAsia" w:eastAsia="宋体"/>
                <w:sz w:val="21"/>
                <w:szCs w:val="21"/>
                <w:highlight w:val="none"/>
                <w:lang w:eastAsia="zh-CN"/>
              </w:rPr>
            </w:pPr>
            <w:r>
              <w:rPr>
                <w:sz w:val="21"/>
                <w:szCs w:val="21"/>
                <w:highlight w:val="none"/>
              </w:rPr>
              <w:t>⑤贯彻落实建设项目环境影响评价和“三同时”制度</w:t>
            </w:r>
            <w:r>
              <w:rPr>
                <w:rFonts w:hint="eastAsia"/>
                <w:sz w:val="21"/>
                <w:szCs w:val="21"/>
                <w:highlight w:val="none"/>
                <w:lang w:eastAsia="zh-CN"/>
              </w:rPr>
              <w:t>。</w:t>
            </w:r>
          </w:p>
          <w:p w14:paraId="5E267EDB">
            <w:pPr>
              <w:pStyle w:val="34"/>
              <w:adjustRightInd w:val="0"/>
              <w:spacing w:before="0" w:after="0" w:line="360" w:lineRule="auto"/>
              <w:ind w:right="0" w:firstLine="422" w:firstLineChars="200"/>
              <w:rPr>
                <w:b/>
                <w:bCs/>
                <w:sz w:val="21"/>
                <w:szCs w:val="21"/>
                <w:highlight w:val="none"/>
              </w:rPr>
            </w:pPr>
            <w:r>
              <w:rPr>
                <w:rFonts w:hint="eastAsia"/>
                <w:b/>
                <w:bCs/>
                <w:sz w:val="21"/>
                <w:szCs w:val="21"/>
                <w:highlight w:val="none"/>
              </w:rPr>
              <w:t>（4）</w:t>
            </w:r>
            <w:r>
              <w:rPr>
                <w:b/>
                <w:bCs/>
                <w:sz w:val="21"/>
                <w:szCs w:val="21"/>
                <w:highlight w:val="none"/>
              </w:rPr>
              <w:t>环保设施运行维护制度</w:t>
            </w:r>
          </w:p>
          <w:p w14:paraId="4151C4A2">
            <w:pPr>
              <w:pStyle w:val="34"/>
              <w:adjustRightInd w:val="0"/>
              <w:spacing w:before="0" w:after="0" w:line="360" w:lineRule="auto"/>
              <w:ind w:right="0" w:firstLine="480"/>
              <w:rPr>
                <w:sz w:val="21"/>
                <w:szCs w:val="21"/>
                <w:highlight w:val="none"/>
              </w:rPr>
            </w:pPr>
            <w:r>
              <w:rPr>
                <w:sz w:val="21"/>
                <w:szCs w:val="21"/>
                <w:highlight w:val="none"/>
              </w:rPr>
              <w:t>①制定各环保设施操作规程，定期维修制度，使各项环保设施在生产过程中处于良好地运行状态；</w:t>
            </w:r>
          </w:p>
          <w:p w14:paraId="4C9A165E">
            <w:pPr>
              <w:pStyle w:val="34"/>
              <w:adjustRightInd w:val="0"/>
              <w:spacing w:before="0" w:after="0" w:line="360" w:lineRule="auto"/>
              <w:ind w:right="0" w:firstLine="480"/>
              <w:rPr>
                <w:sz w:val="21"/>
                <w:szCs w:val="21"/>
                <w:highlight w:val="none"/>
              </w:rPr>
            </w:pPr>
            <w:r>
              <w:rPr>
                <w:sz w:val="21"/>
                <w:szCs w:val="21"/>
                <w:highlight w:val="none"/>
              </w:rPr>
              <w:t>②加强对环保设施的运行管理，制定定期维修制度，如环保设施出现故障，应立即停产检修，严禁事故排放；</w:t>
            </w:r>
          </w:p>
          <w:p w14:paraId="1319F8D9">
            <w:pPr>
              <w:adjustRightInd w:val="0"/>
              <w:snapToGrid w:val="0"/>
              <w:spacing w:line="360" w:lineRule="auto"/>
              <w:ind w:firstLine="420" w:firstLineChars="200"/>
              <w:rPr>
                <w:sz w:val="21"/>
                <w:szCs w:val="21"/>
                <w:highlight w:val="none"/>
              </w:rPr>
            </w:pPr>
            <w:r>
              <w:rPr>
                <w:sz w:val="21"/>
                <w:szCs w:val="21"/>
                <w:highlight w:val="none"/>
              </w:rPr>
              <w:t>③保持环保设施与主体生产设备同步保养、同步检修、同步运行，有效发挥环保设施减排能力。对不能达到设计要求的环保设施，逐个排查，制订并落实整改方案，提升处理能力。产生水、气（汽）、声、渣等污染的项目，必须遵守国家和地方的污染物排放标准，并符合污染物排放总量控制的要求。</w:t>
            </w:r>
          </w:p>
          <w:p w14:paraId="2F64C466">
            <w:pPr>
              <w:adjustRightInd w:val="0"/>
              <w:snapToGrid w:val="0"/>
              <w:spacing w:line="360" w:lineRule="auto"/>
              <w:ind w:firstLine="422" w:firstLineChars="200"/>
              <w:rPr>
                <w:b/>
                <w:bCs/>
                <w:color w:val="auto"/>
                <w:sz w:val="21"/>
                <w:szCs w:val="21"/>
                <w:highlight w:val="none"/>
              </w:rPr>
            </w:pPr>
            <w:r>
              <w:rPr>
                <w:rFonts w:hint="eastAsia"/>
                <w:b/>
                <w:bCs/>
                <w:color w:val="auto"/>
                <w:sz w:val="21"/>
                <w:szCs w:val="21"/>
                <w:highlight w:val="none"/>
              </w:rPr>
              <w:t>十</w:t>
            </w:r>
            <w:r>
              <w:rPr>
                <w:rFonts w:hint="eastAsia"/>
                <w:b/>
                <w:bCs/>
                <w:color w:val="auto"/>
                <w:sz w:val="21"/>
                <w:szCs w:val="21"/>
                <w:highlight w:val="none"/>
                <w:lang w:val="en-US" w:eastAsia="zh-CN"/>
              </w:rPr>
              <w:t>二</w:t>
            </w:r>
            <w:r>
              <w:rPr>
                <w:b/>
                <w:bCs/>
                <w:color w:val="auto"/>
                <w:sz w:val="21"/>
                <w:szCs w:val="21"/>
                <w:highlight w:val="none"/>
              </w:rPr>
              <w:t>、排污许可分析</w:t>
            </w:r>
          </w:p>
          <w:p w14:paraId="6BA5B125">
            <w:pPr>
              <w:adjustRightInd w:val="0"/>
              <w:snapToGrid w:val="0"/>
              <w:spacing w:line="360" w:lineRule="auto"/>
              <w:ind w:firstLine="420" w:firstLineChars="200"/>
              <w:rPr>
                <w:color w:val="auto"/>
                <w:sz w:val="21"/>
                <w:szCs w:val="21"/>
                <w:highlight w:val="none"/>
              </w:rPr>
            </w:pPr>
            <w:r>
              <w:rPr>
                <w:color w:val="auto"/>
                <w:sz w:val="21"/>
                <w:szCs w:val="21"/>
                <w:highlight w:val="none"/>
              </w:rPr>
              <w:t>根据《控制污染物排放许可制实施方案》（国办发[2016]81号）、《排污许可证管理暂行规定》（环水体[2016]186号）、《排污许可管理条例（国务院令第736号）》等文件，“排污单位应当依法持有排污许可证，并按照排污许可证的规定排放污染物”。</w:t>
            </w:r>
          </w:p>
          <w:p w14:paraId="505E798E">
            <w:pPr>
              <w:adjustRightInd w:val="0"/>
              <w:snapToGrid w:val="0"/>
              <w:spacing w:line="360" w:lineRule="auto"/>
              <w:ind w:firstLine="420" w:firstLineChars="200"/>
              <w:rPr>
                <w:color w:val="auto"/>
                <w:sz w:val="21"/>
                <w:szCs w:val="21"/>
                <w:highlight w:val="none"/>
              </w:rPr>
            </w:pPr>
            <w:r>
              <w:rPr>
                <w:color w:val="auto"/>
                <w:sz w:val="21"/>
                <w:szCs w:val="21"/>
                <w:highlight w:val="none"/>
              </w:rPr>
              <w:t>根据《控制污染物排放许可制实施方案》（国办发[2016]81号，2016年11月11日）、《关于印发&lt;排污许可证管理暂行规定&gt;的通知》（环水体[2016]186号，2016年12月23日）、《排污许可管理条例（国务院令第736号）》等文件，环境影响评价制度是建设项目的环境准入门槛，排污许可制是企事业单位生产运营期排污的法律依据，必须做好充分衔接，实现从污染预防到污染治理和排放控制的全过程监管。</w:t>
            </w:r>
          </w:p>
          <w:p w14:paraId="7A80FACA">
            <w:pPr>
              <w:keepNext w:val="0"/>
              <w:keepLines w:val="0"/>
              <w:widowControl/>
              <w:suppressLineNumbers w:val="0"/>
              <w:spacing w:line="360" w:lineRule="auto"/>
              <w:ind w:firstLine="420" w:firstLineChars="200"/>
              <w:jc w:val="both"/>
              <w:rPr>
                <w:rFonts w:hint="default" w:ascii="Times New Roman" w:hAnsi="Times New Roman" w:eastAsia="宋体" w:cs="Times New Roman"/>
                <w:b w:val="0"/>
                <w:bCs w:val="0"/>
                <w:sz w:val="21"/>
                <w:szCs w:val="21"/>
                <w:highlight w:val="none"/>
                <w:lang w:val="en-US"/>
              </w:rPr>
            </w:pPr>
            <w:r>
              <w:rPr>
                <w:rFonts w:hint="default" w:ascii="Times New Roman" w:hAnsi="Times New Roman" w:cs="Times New Roman"/>
                <w:b w:val="0"/>
                <w:bCs w:val="0"/>
                <w:sz w:val="21"/>
                <w:szCs w:val="21"/>
                <w:highlight w:val="none"/>
              </w:rPr>
              <w:t>根据</w:t>
            </w:r>
            <w:r>
              <w:rPr>
                <w:rFonts w:hint="default" w:ascii="Times New Roman" w:hAnsi="Times New Roman" w:eastAsia="宋体" w:cs="Times New Roman"/>
                <w:b w:val="0"/>
                <w:bCs w:val="0"/>
                <w:sz w:val="21"/>
                <w:szCs w:val="21"/>
                <w:highlight w:val="none"/>
              </w:rPr>
              <w:t>《固定污染源排污许可分类管理名录（2019年版）》（环办环评函[2020]9号，2020年01月06日），本项目属于</w:t>
            </w:r>
            <w:r>
              <w:rPr>
                <w:rFonts w:hint="default" w:ascii="Times New Roman" w:hAnsi="Times New Roman" w:eastAsia="宋体" w:cs="Times New Roman"/>
                <w:b w:val="0"/>
                <w:bCs w:val="0"/>
                <w:sz w:val="21"/>
                <w:szCs w:val="21"/>
                <w:highlight w:val="none"/>
                <w:lang w:eastAsia="zh-CN"/>
              </w:rPr>
              <w:t>“</w:t>
            </w:r>
            <w:r>
              <w:rPr>
                <w:rFonts w:hint="eastAsia" w:ascii="宋体" w:hAnsi="宋体" w:eastAsia="宋体" w:cs="宋体"/>
                <w:b w:val="0"/>
                <w:bCs w:val="0"/>
                <w:color w:val="000000"/>
                <w:kern w:val="0"/>
                <w:sz w:val="21"/>
                <w:szCs w:val="21"/>
                <w:lang w:val="en-US" w:eastAsia="zh-CN" w:bidi="ar"/>
              </w:rPr>
              <w:t>二十四、橡胶和塑料制品业 29</w:t>
            </w:r>
            <w:r>
              <w:rPr>
                <w:rFonts w:hint="default" w:ascii="Times New Roman" w:hAnsi="Times New Roman" w:eastAsia="宋体" w:cs="Times New Roman"/>
                <w:b w:val="0"/>
                <w:bCs w:val="0"/>
                <w:sz w:val="21"/>
                <w:szCs w:val="21"/>
                <w:highlight w:val="none"/>
                <w:lang w:eastAsia="zh-CN"/>
              </w:rPr>
              <w:t>”中的“</w:t>
            </w:r>
            <w:r>
              <w:rPr>
                <w:rFonts w:hint="eastAsia" w:ascii="Times New Roman" w:hAnsi="Times New Roman" w:eastAsia="宋体" w:cs="Times New Roman"/>
                <w:b w:val="0"/>
                <w:bCs w:val="0"/>
                <w:sz w:val="21"/>
                <w:szCs w:val="21"/>
                <w:highlight w:val="none"/>
                <w:lang w:val="en-US" w:eastAsia="zh-CN"/>
              </w:rPr>
              <w:t>塑料制品业</w:t>
            </w:r>
            <w:r>
              <w:rPr>
                <w:rFonts w:hint="eastAsia" w:ascii="Times New Roman" w:hAnsi="Times New Roman" w:eastAsia="宋体" w:cs="Times New Roman"/>
                <w:b w:val="0"/>
                <w:bCs w:val="0"/>
                <w:color w:val="000000"/>
                <w:kern w:val="0"/>
                <w:sz w:val="21"/>
                <w:szCs w:val="21"/>
                <w:lang w:val="en-US" w:eastAsia="zh-CN" w:bidi="ar"/>
              </w:rPr>
              <w:t>292</w:t>
            </w:r>
            <w:r>
              <w:rPr>
                <w:rFonts w:hint="default" w:ascii="Times New Roman" w:hAnsi="Times New Roman" w:eastAsia="宋体" w:cs="Times New Roman"/>
                <w:b w:val="0"/>
                <w:bCs w:val="0"/>
                <w:sz w:val="21"/>
                <w:szCs w:val="21"/>
                <w:highlight w:val="none"/>
                <w:lang w:eastAsia="zh-CN"/>
              </w:rPr>
              <w:t>”</w:t>
            </w:r>
            <w:r>
              <w:rPr>
                <w:rFonts w:hint="default" w:ascii="Times New Roman" w:hAnsi="Times New Roman" w:eastAsia="宋体" w:cs="Times New Roman"/>
                <w:b w:val="0"/>
                <w:bCs w:val="0"/>
                <w:color w:val="000000"/>
                <w:kern w:val="0"/>
                <w:sz w:val="21"/>
                <w:szCs w:val="21"/>
                <w:lang w:val="en-US" w:eastAsia="zh-CN" w:bidi="ar"/>
              </w:rPr>
              <w:t>中的</w:t>
            </w:r>
            <w:r>
              <w:rPr>
                <w:rFonts w:hint="default" w:ascii="Times New Roman" w:hAnsi="Times New Roman" w:eastAsia="宋体" w:cs="Times New Roman"/>
                <w:b w:val="0"/>
                <w:bCs w:val="0"/>
                <w:sz w:val="21"/>
                <w:szCs w:val="21"/>
                <w:highlight w:val="none"/>
                <w:lang w:eastAsia="zh-CN"/>
              </w:rPr>
              <w:t>“</w:t>
            </w:r>
            <w:r>
              <w:rPr>
                <w:rFonts w:hint="eastAsia" w:ascii="宋体" w:hAnsi="宋体" w:eastAsia="宋体" w:cs="宋体"/>
                <w:b w:val="0"/>
                <w:bCs w:val="0"/>
                <w:color w:val="000000"/>
                <w:kern w:val="0"/>
                <w:sz w:val="21"/>
                <w:szCs w:val="21"/>
                <w:lang w:val="en-US" w:eastAsia="zh-CN" w:bidi="ar"/>
              </w:rPr>
              <w:t>其他</w:t>
            </w:r>
            <w:r>
              <w:rPr>
                <w:rFonts w:hint="default" w:ascii="Times New Roman" w:hAnsi="Times New Roman" w:eastAsia="宋体" w:cs="Times New Roman"/>
                <w:b w:val="0"/>
                <w:bCs w:val="0"/>
                <w:sz w:val="21"/>
                <w:szCs w:val="21"/>
                <w:highlight w:val="none"/>
                <w:lang w:eastAsia="zh-CN"/>
              </w:rPr>
              <w:t>”</w:t>
            </w:r>
            <w:r>
              <w:rPr>
                <w:rFonts w:hint="default" w:ascii="Times New Roman" w:hAnsi="Times New Roman" w:eastAsia="宋体" w:cs="Times New Roman"/>
                <w:b w:val="0"/>
                <w:bCs w:val="0"/>
                <w:color w:val="000000"/>
                <w:kern w:val="0"/>
                <w:sz w:val="21"/>
                <w:szCs w:val="21"/>
                <w:lang w:val="en-US" w:eastAsia="zh-CN" w:bidi="ar"/>
              </w:rPr>
              <w:t>，</w:t>
            </w:r>
            <w:r>
              <w:rPr>
                <w:rFonts w:hint="eastAsia" w:ascii="Times New Roman" w:hAnsi="Times New Roman" w:eastAsia="宋体" w:cs="Times New Roman"/>
                <w:b w:val="0"/>
                <w:bCs w:val="0"/>
                <w:color w:val="000000"/>
                <w:kern w:val="0"/>
                <w:sz w:val="21"/>
                <w:szCs w:val="21"/>
                <w:lang w:val="en-US" w:eastAsia="zh-CN" w:bidi="ar"/>
              </w:rPr>
              <w:t>也属于“</w:t>
            </w:r>
            <w:r>
              <w:rPr>
                <w:rFonts w:hint="eastAsia" w:ascii="宋体" w:hAnsi="宋体" w:eastAsia="宋体" w:cs="宋体"/>
                <w:b w:val="0"/>
                <w:bCs w:val="0"/>
                <w:color w:val="000000"/>
                <w:kern w:val="0"/>
                <w:sz w:val="21"/>
                <w:szCs w:val="21"/>
                <w:lang w:val="en-US" w:eastAsia="zh-CN" w:bidi="ar"/>
              </w:rPr>
              <w:t>二十五、非金属矿物制品业 30</w:t>
            </w:r>
            <w:r>
              <w:rPr>
                <w:rFonts w:hint="eastAsia" w:ascii="Times New Roman" w:hAnsi="Times New Roman" w:eastAsia="宋体" w:cs="Times New Roman"/>
                <w:b w:val="0"/>
                <w:bCs w:val="0"/>
                <w:color w:val="000000"/>
                <w:kern w:val="0"/>
                <w:sz w:val="21"/>
                <w:szCs w:val="21"/>
                <w:lang w:val="en-US" w:eastAsia="zh-CN" w:bidi="ar"/>
              </w:rPr>
              <w:t>”中的“</w:t>
            </w:r>
            <w:r>
              <w:rPr>
                <w:rFonts w:hint="eastAsia" w:ascii="宋体" w:hAnsi="宋体" w:eastAsia="宋体" w:cs="宋体"/>
                <w:b w:val="0"/>
                <w:bCs w:val="0"/>
                <w:color w:val="000000"/>
                <w:kern w:val="0"/>
                <w:sz w:val="21"/>
                <w:szCs w:val="21"/>
                <w:lang w:val="en-US" w:eastAsia="zh-CN" w:bidi="ar"/>
              </w:rPr>
              <w:t>玻璃纤维和玻璃纤维增强塑料制品制造 306</w:t>
            </w:r>
            <w:r>
              <w:rPr>
                <w:rFonts w:hint="eastAsia" w:ascii="Times New Roman" w:hAnsi="Times New Roman" w:eastAsia="宋体" w:cs="Times New Roman"/>
                <w:b w:val="0"/>
                <w:bCs w:val="0"/>
                <w:color w:val="000000"/>
                <w:kern w:val="0"/>
                <w:sz w:val="21"/>
                <w:szCs w:val="21"/>
                <w:lang w:val="en-US" w:eastAsia="zh-CN" w:bidi="ar"/>
              </w:rPr>
              <w:t>”中的“其他”，还属于“</w:t>
            </w:r>
            <w:r>
              <w:rPr>
                <w:rFonts w:hint="eastAsia" w:ascii="宋体" w:hAnsi="宋体" w:eastAsia="宋体" w:cs="宋体"/>
                <w:b w:val="0"/>
                <w:bCs w:val="0"/>
                <w:color w:val="000000"/>
                <w:kern w:val="0"/>
                <w:sz w:val="21"/>
                <w:szCs w:val="21"/>
                <w:lang w:val="en-US" w:eastAsia="zh-CN" w:bidi="ar"/>
              </w:rPr>
              <w:t>二十九、通用设备制造业 34</w:t>
            </w:r>
            <w:r>
              <w:rPr>
                <w:rFonts w:hint="eastAsia" w:ascii="Times New Roman" w:hAnsi="Times New Roman" w:eastAsia="宋体" w:cs="Times New Roman"/>
                <w:b w:val="0"/>
                <w:bCs w:val="0"/>
                <w:color w:val="000000"/>
                <w:kern w:val="0"/>
                <w:sz w:val="21"/>
                <w:szCs w:val="21"/>
                <w:lang w:val="en-US" w:eastAsia="zh-CN" w:bidi="ar"/>
              </w:rPr>
              <w:t>”中的“</w:t>
            </w:r>
            <w:r>
              <w:rPr>
                <w:rFonts w:hint="eastAsia" w:ascii="宋体" w:hAnsi="宋体" w:eastAsia="宋体" w:cs="宋体"/>
                <w:b w:val="0"/>
                <w:bCs w:val="0"/>
                <w:color w:val="000000"/>
                <w:kern w:val="0"/>
                <w:sz w:val="21"/>
                <w:szCs w:val="21"/>
                <w:lang w:val="en-US" w:eastAsia="zh-CN" w:bidi="ar"/>
              </w:rPr>
              <w:t>泵、阀门、压缩机及类似机械制造 344，其他通用设备制造业 349</w:t>
            </w:r>
            <w:r>
              <w:rPr>
                <w:rFonts w:hint="eastAsia" w:ascii="Times New Roman" w:hAnsi="Times New Roman" w:eastAsia="宋体" w:cs="Times New Roman"/>
                <w:b w:val="0"/>
                <w:bCs w:val="0"/>
                <w:color w:val="000000"/>
                <w:kern w:val="0"/>
                <w:sz w:val="21"/>
                <w:szCs w:val="21"/>
                <w:lang w:val="en-US" w:eastAsia="zh-CN" w:bidi="ar"/>
              </w:rPr>
              <w:t>”中的“其他”，</w:t>
            </w:r>
            <w:r>
              <w:rPr>
                <w:rFonts w:hint="default" w:ascii="Times New Roman" w:hAnsi="Times New Roman" w:eastAsia="宋体" w:cs="Times New Roman"/>
                <w:b w:val="0"/>
                <w:bCs w:val="0"/>
                <w:sz w:val="21"/>
                <w:szCs w:val="21"/>
                <w:highlight w:val="none"/>
              </w:rPr>
              <w:t>因此需</w:t>
            </w:r>
            <w:r>
              <w:rPr>
                <w:rFonts w:hint="eastAsia" w:ascii="Times New Roman" w:hAnsi="Times New Roman" w:eastAsia="宋体" w:cs="Times New Roman"/>
                <w:b w:val="0"/>
                <w:bCs w:val="0"/>
                <w:sz w:val="21"/>
                <w:szCs w:val="21"/>
                <w:highlight w:val="none"/>
                <w:lang w:val="en-US" w:eastAsia="zh-CN"/>
              </w:rPr>
              <w:t>进行排污许可登记管理。</w:t>
            </w:r>
          </w:p>
          <w:p w14:paraId="6F41A059">
            <w:pPr>
              <w:spacing w:line="360" w:lineRule="auto"/>
              <w:ind w:firstLine="413" w:firstLineChars="196"/>
              <w:jc w:val="left"/>
              <w:rPr>
                <w:b/>
                <w:bCs/>
                <w:color w:val="auto"/>
                <w:sz w:val="21"/>
                <w:szCs w:val="21"/>
                <w:highlight w:val="none"/>
              </w:rPr>
            </w:pPr>
            <w:r>
              <w:rPr>
                <w:rFonts w:hint="eastAsia"/>
                <w:b/>
                <w:bCs/>
                <w:color w:val="auto"/>
                <w:sz w:val="21"/>
                <w:szCs w:val="21"/>
                <w:highlight w:val="none"/>
              </w:rPr>
              <w:t>十</w:t>
            </w:r>
            <w:r>
              <w:rPr>
                <w:rFonts w:hint="eastAsia"/>
                <w:b/>
                <w:bCs/>
                <w:color w:val="auto"/>
                <w:sz w:val="21"/>
                <w:szCs w:val="21"/>
                <w:highlight w:val="none"/>
                <w:lang w:val="en-US" w:eastAsia="zh-CN"/>
              </w:rPr>
              <w:t>三</w:t>
            </w:r>
            <w:r>
              <w:rPr>
                <w:rFonts w:hint="eastAsia"/>
                <w:b/>
                <w:bCs/>
                <w:color w:val="auto"/>
                <w:sz w:val="21"/>
                <w:szCs w:val="21"/>
                <w:highlight w:val="none"/>
              </w:rPr>
              <w:t>、电磁辐射</w:t>
            </w:r>
          </w:p>
          <w:p w14:paraId="2BFA09DE">
            <w:pPr>
              <w:widowControl/>
              <w:adjustRightInd w:val="0"/>
              <w:snapToGrid w:val="0"/>
              <w:spacing w:line="360" w:lineRule="auto"/>
              <w:ind w:firstLine="420" w:firstLineChars="200"/>
              <w:rPr>
                <w:highlight w:val="none"/>
              </w:rPr>
            </w:pPr>
            <w:r>
              <w:rPr>
                <w:rFonts w:hint="eastAsia"/>
                <w:highlight w:val="none"/>
                <w:lang w:eastAsia="zh-CN"/>
              </w:rPr>
              <w:t>本</w:t>
            </w:r>
            <w:r>
              <w:rPr>
                <w:highlight w:val="none"/>
              </w:rPr>
              <w:t>项目</w:t>
            </w:r>
            <w:r>
              <w:rPr>
                <w:rFonts w:hint="eastAsia"/>
                <w:highlight w:val="none"/>
                <w:lang w:eastAsia="zh-CN"/>
              </w:rPr>
              <w:t>涉及</w:t>
            </w:r>
            <w:r>
              <w:rPr>
                <w:rFonts w:hint="eastAsia"/>
                <w:highlight w:val="none"/>
                <w:lang w:val="en-US" w:eastAsia="zh-CN"/>
              </w:rPr>
              <w:t>X射线探伤机，涉及电磁辐射</w:t>
            </w:r>
            <w:r>
              <w:rPr>
                <w:rFonts w:hint="eastAsia"/>
                <w:highlight w:val="none"/>
                <w:lang w:eastAsia="zh-CN"/>
              </w:rPr>
              <w:t>，需单独编制探伤室环境影响评价报告，本次环评中不再对电磁辐射进行分析</w:t>
            </w:r>
            <w:r>
              <w:rPr>
                <w:highlight w:val="none"/>
              </w:rPr>
              <w:t>，无需对电磁辐射现状开展监测与评价。</w:t>
            </w:r>
          </w:p>
          <w:p w14:paraId="7E40C34D">
            <w:pPr>
              <w:pStyle w:val="2"/>
              <w:ind w:firstLine="0" w:firstLineChars="0"/>
              <w:rPr>
                <w:color w:val="FF0000"/>
              </w:rPr>
            </w:pPr>
          </w:p>
        </w:tc>
      </w:tr>
    </w:tbl>
    <w:p w14:paraId="033456AD">
      <w:pPr>
        <w:pStyle w:val="76"/>
        <w:spacing w:line="420" w:lineRule="exact"/>
        <w:jc w:val="center"/>
        <w:outlineLvl w:val="0"/>
        <w:rPr>
          <w:rFonts w:ascii="Times New Roman" w:hAnsi="Times New Roman" w:eastAsia="黑体"/>
          <w:snapToGrid w:val="0"/>
          <w:sz w:val="30"/>
          <w:szCs w:val="30"/>
        </w:rPr>
      </w:pPr>
      <w:r>
        <w:rPr>
          <w:rFonts w:ascii="Times New Roman" w:hAnsi="Times New Roman" w:eastAsia="黑体"/>
          <w:snapToGrid w:val="0"/>
          <w:color w:val="FF0000"/>
          <w:sz w:val="30"/>
          <w:szCs w:val="30"/>
        </w:rPr>
        <w:br w:type="page"/>
      </w:r>
      <w:r>
        <w:rPr>
          <w:rFonts w:ascii="Times New Roman" w:hAnsi="Times New Roman" w:eastAsia="黑体"/>
          <w:snapToGrid w:val="0"/>
          <w:sz w:val="30"/>
          <w:szCs w:val="30"/>
        </w:rPr>
        <w:t>五、</w:t>
      </w:r>
      <w:bookmarkStart w:id="9" w:name="_Hlk54167917"/>
      <w:r>
        <w:rPr>
          <w:rFonts w:ascii="Times New Roman" w:hAnsi="Times New Roman" w:eastAsia="黑体"/>
          <w:snapToGrid w:val="0"/>
          <w:sz w:val="30"/>
          <w:szCs w:val="30"/>
        </w:rPr>
        <w:t>环境保护措施监督检查清单</w:t>
      </w:r>
      <w:bookmarkEnd w:id="9"/>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55"/>
        <w:gridCol w:w="1700"/>
        <w:gridCol w:w="1419"/>
        <w:gridCol w:w="1559"/>
        <w:gridCol w:w="2869"/>
      </w:tblGrid>
      <w:tr w14:paraId="077352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tcBorders>
              <w:tl2br w:val="single" w:color="auto" w:sz="4" w:space="0"/>
            </w:tcBorders>
          </w:tcPr>
          <w:p w14:paraId="0FCF21A2">
            <w:pPr>
              <w:adjustRightInd w:val="0"/>
              <w:snapToGrid w:val="0"/>
              <w:spacing w:line="300" w:lineRule="exact"/>
              <w:jc w:val="right"/>
              <w:rPr>
                <w:b/>
                <w:bCs/>
              </w:rPr>
            </w:pPr>
            <w:r>
              <w:rPr>
                <w:b/>
                <w:bCs/>
              </w:rPr>
              <w:t>内容</w:t>
            </w:r>
          </w:p>
          <w:p w14:paraId="02575C22">
            <w:pPr>
              <w:adjustRightInd w:val="0"/>
              <w:snapToGrid w:val="0"/>
              <w:spacing w:line="300" w:lineRule="exact"/>
              <w:rPr>
                <w:b/>
                <w:bCs/>
              </w:rPr>
            </w:pPr>
            <w:r>
              <w:rPr>
                <w:b/>
                <w:bCs/>
              </w:rPr>
              <w:t>要素</w:t>
            </w:r>
          </w:p>
        </w:tc>
        <w:tc>
          <w:tcPr>
            <w:tcW w:w="1700" w:type="dxa"/>
            <w:vAlign w:val="center"/>
          </w:tcPr>
          <w:p w14:paraId="54B39135">
            <w:pPr>
              <w:adjustRightInd w:val="0"/>
              <w:snapToGrid w:val="0"/>
              <w:spacing w:line="300" w:lineRule="exact"/>
              <w:jc w:val="center"/>
              <w:rPr>
                <w:b/>
                <w:bCs/>
              </w:rPr>
            </w:pPr>
            <w:r>
              <w:rPr>
                <w:b/>
                <w:bCs/>
              </w:rPr>
              <w:t>排放口（编号、</w:t>
            </w:r>
          </w:p>
          <w:p w14:paraId="4E754483">
            <w:pPr>
              <w:adjustRightInd w:val="0"/>
              <w:snapToGrid w:val="0"/>
              <w:spacing w:line="300" w:lineRule="exact"/>
              <w:jc w:val="center"/>
              <w:rPr>
                <w:b/>
                <w:bCs/>
              </w:rPr>
            </w:pPr>
            <w:r>
              <w:rPr>
                <w:b/>
                <w:bCs/>
              </w:rPr>
              <w:t>名称）/污染源</w:t>
            </w:r>
          </w:p>
        </w:tc>
        <w:tc>
          <w:tcPr>
            <w:tcW w:w="1419" w:type="dxa"/>
            <w:vAlign w:val="center"/>
          </w:tcPr>
          <w:p w14:paraId="1D33FE82">
            <w:pPr>
              <w:adjustRightInd w:val="0"/>
              <w:snapToGrid w:val="0"/>
              <w:spacing w:line="300" w:lineRule="exact"/>
              <w:jc w:val="center"/>
              <w:rPr>
                <w:b/>
                <w:bCs/>
              </w:rPr>
            </w:pPr>
            <w:r>
              <w:rPr>
                <w:b/>
                <w:bCs/>
              </w:rPr>
              <w:t>污染物项目</w:t>
            </w:r>
          </w:p>
        </w:tc>
        <w:tc>
          <w:tcPr>
            <w:tcW w:w="1559" w:type="dxa"/>
            <w:vAlign w:val="center"/>
          </w:tcPr>
          <w:p w14:paraId="1D28FDD3">
            <w:pPr>
              <w:adjustRightInd w:val="0"/>
              <w:snapToGrid w:val="0"/>
              <w:spacing w:line="300" w:lineRule="exact"/>
              <w:jc w:val="center"/>
              <w:rPr>
                <w:b/>
                <w:bCs/>
              </w:rPr>
            </w:pPr>
            <w:r>
              <w:rPr>
                <w:b/>
                <w:bCs/>
              </w:rPr>
              <w:t>环境保护措施</w:t>
            </w:r>
          </w:p>
        </w:tc>
        <w:tc>
          <w:tcPr>
            <w:tcW w:w="2869" w:type="dxa"/>
            <w:vAlign w:val="center"/>
          </w:tcPr>
          <w:p w14:paraId="53823F17">
            <w:pPr>
              <w:adjustRightInd w:val="0"/>
              <w:snapToGrid w:val="0"/>
              <w:spacing w:line="300" w:lineRule="exact"/>
              <w:jc w:val="center"/>
              <w:rPr>
                <w:b/>
                <w:bCs/>
              </w:rPr>
            </w:pPr>
            <w:r>
              <w:rPr>
                <w:b/>
                <w:bCs/>
              </w:rPr>
              <w:t>执行标准</w:t>
            </w:r>
          </w:p>
        </w:tc>
      </w:tr>
      <w:tr w14:paraId="229867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restart"/>
            <w:vAlign w:val="center"/>
          </w:tcPr>
          <w:p w14:paraId="4CF3670C">
            <w:pPr>
              <w:adjustRightInd w:val="0"/>
              <w:snapToGrid w:val="0"/>
              <w:spacing w:line="300" w:lineRule="exact"/>
              <w:jc w:val="center"/>
            </w:pPr>
            <w:r>
              <w:t>大气环境</w:t>
            </w:r>
          </w:p>
        </w:tc>
        <w:tc>
          <w:tcPr>
            <w:tcW w:w="1700" w:type="dxa"/>
            <w:vAlign w:val="center"/>
          </w:tcPr>
          <w:p w14:paraId="32531928">
            <w:pPr>
              <w:adjustRightInd w:val="0"/>
              <w:snapToGrid w:val="0"/>
              <w:spacing w:line="300" w:lineRule="exact"/>
              <w:jc w:val="center"/>
              <w:rPr>
                <w:rFonts w:hint="eastAsia" w:eastAsia="宋体"/>
                <w:lang w:eastAsia="zh-CN"/>
              </w:rPr>
            </w:pPr>
            <w:r>
              <w:rPr>
                <w:rFonts w:hint="eastAsia" w:cs="Times New Roman"/>
                <w:bCs/>
                <w:color w:val="000000"/>
                <w:sz w:val="21"/>
                <w:szCs w:val="21"/>
                <w:lang w:val="en-US" w:eastAsia="zh-CN"/>
              </w:rPr>
              <w:t>DA001</w:t>
            </w:r>
            <w:r>
              <w:rPr>
                <w:rFonts w:hint="eastAsia" w:ascii="Times New Roman" w:hAnsi="Times New Roman" w:cs="Times New Roman"/>
                <w:bCs/>
                <w:color w:val="000000"/>
                <w:sz w:val="21"/>
                <w:szCs w:val="21"/>
                <w:lang w:val="en-US" w:eastAsia="zh-CN"/>
              </w:rPr>
              <w:t>排气筒</w:t>
            </w:r>
          </w:p>
        </w:tc>
        <w:tc>
          <w:tcPr>
            <w:tcW w:w="1419" w:type="dxa"/>
            <w:vAlign w:val="center"/>
          </w:tcPr>
          <w:p w14:paraId="56C6C94E">
            <w:pPr>
              <w:adjustRightInd w:val="0"/>
              <w:snapToGrid w:val="0"/>
              <w:spacing w:line="300" w:lineRule="exact"/>
              <w:jc w:val="center"/>
              <w:rPr>
                <w:rFonts w:hint="default"/>
                <w:lang w:val="en-US"/>
              </w:rPr>
            </w:pPr>
            <w:r>
              <w:t>颗粒物</w:t>
            </w:r>
            <w:r>
              <w:rPr>
                <w:rFonts w:hint="eastAsia"/>
                <w:lang w:eastAsia="zh-CN"/>
              </w:rPr>
              <w:t>、</w:t>
            </w:r>
            <w:r>
              <w:rPr>
                <w:rFonts w:hint="eastAsia"/>
                <w:lang w:val="en-US" w:eastAsia="zh-CN"/>
              </w:rPr>
              <w:t>VOCs、苯乙烯、臭气浓度</w:t>
            </w:r>
          </w:p>
        </w:tc>
        <w:tc>
          <w:tcPr>
            <w:tcW w:w="1559" w:type="dxa"/>
            <w:vAlign w:val="center"/>
          </w:tcPr>
          <w:p w14:paraId="6B130ADE">
            <w:pPr>
              <w:adjustRightInd w:val="0"/>
              <w:snapToGrid w:val="0"/>
              <w:spacing w:line="300" w:lineRule="exact"/>
              <w:jc w:val="center"/>
              <w:rPr>
                <w:rFonts w:hint="default" w:eastAsia="宋体"/>
                <w:lang w:val="en-US" w:eastAsia="zh-CN"/>
              </w:rPr>
            </w:pPr>
            <w:r>
              <w:rPr>
                <w:rFonts w:hint="eastAsia"/>
                <w:lang w:val="en-US" w:eastAsia="zh-CN"/>
              </w:rPr>
              <w:t>迷宫式过滤箱+两级活性炭吸附</w:t>
            </w:r>
          </w:p>
        </w:tc>
        <w:tc>
          <w:tcPr>
            <w:tcW w:w="2869" w:type="dxa"/>
            <w:vAlign w:val="center"/>
          </w:tcPr>
          <w:p w14:paraId="0241D0CF">
            <w:pPr>
              <w:adjustRightInd w:val="0"/>
              <w:snapToGrid w:val="0"/>
              <w:spacing w:line="300" w:lineRule="exact"/>
              <w:jc w:val="center"/>
              <w:rPr>
                <w:rFonts w:hint="eastAsia" w:eastAsia="宋体"/>
                <w:highlight w:val="yellow"/>
                <w:lang w:eastAsia="zh-CN"/>
              </w:rPr>
            </w:pPr>
            <w:r>
              <w:rPr>
                <w:rFonts w:hint="default" w:ascii="Times New Roman" w:hAnsi="Times New Roman" w:cs="Times New Roman"/>
                <w:sz w:val="21"/>
                <w:szCs w:val="21"/>
              </w:rPr>
              <w:t>有组</w:t>
            </w:r>
            <w:r>
              <w:rPr>
                <w:rFonts w:hint="default" w:ascii="Times New Roman" w:hAnsi="Times New Roman" w:cs="Times New Roman"/>
                <w:sz w:val="21"/>
                <w:szCs w:val="21"/>
                <w:highlight w:val="none"/>
              </w:rPr>
              <w:t>织VOCs</w:t>
            </w:r>
            <w:r>
              <w:rPr>
                <w:rFonts w:hint="eastAsia" w:cs="Times New Roman"/>
                <w:sz w:val="21"/>
                <w:szCs w:val="21"/>
                <w:highlight w:val="none"/>
                <w:lang w:eastAsia="zh-CN"/>
              </w:rPr>
              <w:t>、苯乙烯</w:t>
            </w:r>
            <w:r>
              <w:rPr>
                <w:rFonts w:hint="eastAsia" w:ascii="Times New Roman" w:hAnsi="Times New Roman" w:cs="Times New Roman"/>
                <w:sz w:val="21"/>
                <w:szCs w:val="21"/>
                <w:highlight w:val="none"/>
                <w:lang w:eastAsia="zh-CN"/>
              </w:rPr>
              <w:t>排放</w:t>
            </w:r>
            <w:r>
              <w:rPr>
                <w:rFonts w:hint="default" w:ascii="Times New Roman" w:hAnsi="Times New Roman" w:cs="Times New Roman"/>
                <w:sz w:val="21"/>
                <w:szCs w:val="21"/>
                <w:highlight w:val="none"/>
              </w:rPr>
              <w:t>执行《挥发性有机物排放标准 第</w:t>
            </w:r>
            <w:r>
              <w:rPr>
                <w:rFonts w:hint="default"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部分：</w:t>
            </w:r>
            <w:r>
              <w:rPr>
                <w:rFonts w:hint="default" w:ascii="Times New Roman" w:hAnsi="Times New Roman" w:cs="Times New Roman"/>
                <w:sz w:val="21"/>
                <w:szCs w:val="21"/>
                <w:highlight w:val="none"/>
                <w:lang w:eastAsia="zh-CN"/>
              </w:rPr>
              <w:t>表面涂装</w:t>
            </w:r>
            <w:r>
              <w:rPr>
                <w:rFonts w:hint="default" w:ascii="Times New Roman" w:hAnsi="Times New Roman" w:cs="Times New Roman"/>
                <w:sz w:val="21"/>
                <w:szCs w:val="21"/>
                <w:highlight w:val="none"/>
              </w:rPr>
              <w:t>行业》（DB37/2801.</w:t>
            </w:r>
            <w:r>
              <w:rPr>
                <w:rFonts w:hint="default" w:ascii="Times New Roman" w:hAnsi="Times New Roman" w:cs="Times New Roman"/>
                <w:sz w:val="21"/>
                <w:szCs w:val="21"/>
                <w:highlight w:val="none"/>
                <w:lang w:val="en-US" w:eastAsia="zh-CN"/>
              </w:rPr>
              <w:t>5</w:t>
            </w:r>
            <w:r>
              <w:rPr>
                <w:rFonts w:hint="default" w:ascii="Times New Roman" w:hAnsi="Times New Roman" w:cs="Times New Roman"/>
                <w:sz w:val="21"/>
                <w:szCs w:val="21"/>
                <w:highlight w:val="none"/>
              </w:rPr>
              <w:t>-201</w:t>
            </w:r>
            <w:r>
              <w:rPr>
                <w:rFonts w:hint="default" w:ascii="Times New Roman" w:hAnsi="Times New Roman" w:cs="Times New Roman"/>
                <w:sz w:val="21"/>
                <w:szCs w:val="21"/>
                <w:highlight w:val="none"/>
                <w:lang w:val="en-US" w:eastAsia="zh-CN"/>
              </w:rPr>
              <w:t>8</w:t>
            </w:r>
            <w:r>
              <w:rPr>
                <w:rFonts w:hint="default" w:ascii="Times New Roman" w:hAnsi="Times New Roman" w:cs="Times New Roman"/>
                <w:sz w:val="21"/>
                <w:szCs w:val="21"/>
                <w:highlight w:val="none"/>
              </w:rPr>
              <w:t>）表</w:t>
            </w:r>
            <w:r>
              <w:rPr>
                <w:rFonts w:hint="default" w:ascii="Times New Roman" w:hAnsi="Times New Roman" w:cs="Times New Roman"/>
                <w:sz w:val="21"/>
                <w:szCs w:val="21"/>
                <w:highlight w:val="none"/>
                <w:lang w:val="en-US" w:eastAsia="zh-CN"/>
              </w:rPr>
              <w:t>2</w:t>
            </w:r>
            <w:r>
              <w:rPr>
                <w:rFonts w:hint="eastAsia" w:ascii="宋体" w:hAnsi="宋体" w:eastAsia="宋体" w:cs="宋体"/>
                <w:color w:val="000000"/>
                <w:kern w:val="0"/>
                <w:sz w:val="21"/>
                <w:szCs w:val="21"/>
                <w:highlight w:val="none"/>
                <w:lang w:val="en-US" w:eastAsia="zh-CN" w:bidi="ar"/>
              </w:rPr>
              <w:t>通用设备制造业</w:t>
            </w:r>
            <w:r>
              <w:rPr>
                <w:rFonts w:hint="eastAsia" w:ascii="Times New Roman" w:hAnsi="Times New Roman" w:cs="Times New Roman"/>
                <w:sz w:val="21"/>
                <w:szCs w:val="21"/>
                <w:highlight w:val="none"/>
                <w:lang w:val="en-US" w:eastAsia="zh-CN"/>
              </w:rPr>
              <w:t>（C34）</w:t>
            </w:r>
            <w:r>
              <w:rPr>
                <w:rFonts w:hint="default" w:ascii="Times New Roman" w:hAnsi="Times New Roman" w:cs="Times New Roman"/>
                <w:sz w:val="21"/>
                <w:szCs w:val="21"/>
                <w:highlight w:val="none"/>
              </w:rPr>
              <w:t>VOCs排放限值</w:t>
            </w:r>
            <w:r>
              <w:rPr>
                <w:rFonts w:hint="eastAsia" w:cs="Times New Roman"/>
                <w:sz w:val="21"/>
                <w:szCs w:val="21"/>
                <w:highlight w:val="none"/>
                <w:lang w:eastAsia="zh-CN"/>
              </w:rPr>
              <w:t>，也执行</w:t>
            </w:r>
            <w:r>
              <w:rPr>
                <w:rFonts w:hint="eastAsia" w:eastAsiaTheme="minorEastAsia"/>
                <w:sz w:val="21"/>
                <w:szCs w:val="21"/>
                <w:highlight w:val="none"/>
                <w:lang w:val="en-US" w:eastAsia="zh-CN"/>
              </w:rPr>
              <w:t>《</w:t>
            </w:r>
            <w:r>
              <w:rPr>
                <w:rFonts w:hint="eastAsia" w:ascii="Times New Roman" w:hAnsi="Times New Roman" w:cs="Times New Roman" w:eastAsiaTheme="minorEastAsia"/>
                <w:sz w:val="21"/>
                <w:szCs w:val="21"/>
                <w:highlight w:val="none"/>
                <w:lang w:val="en-US" w:eastAsia="zh-CN"/>
              </w:rPr>
              <w:t>挥发性有机物排放标准 第 6 部分：有机化工行业》（</w:t>
            </w:r>
            <w:r>
              <w:rPr>
                <w:rFonts w:hint="default" w:ascii="Times New Roman" w:hAnsi="Times New Roman" w:cs="Times New Roman" w:eastAsiaTheme="minorEastAsia"/>
                <w:sz w:val="21"/>
                <w:szCs w:val="21"/>
                <w:highlight w:val="none"/>
                <w:lang w:val="en-US" w:eastAsia="zh-CN"/>
              </w:rPr>
              <w:t>D</w:t>
            </w:r>
            <w:r>
              <w:rPr>
                <w:rFonts w:hint="default" w:ascii="Times New Roman" w:hAnsi="Times New Roman" w:cs="Times New Roman"/>
                <w:sz w:val="21"/>
                <w:szCs w:val="21"/>
                <w:highlight w:val="none"/>
              </w:rPr>
              <w:t>B37/2801.</w:t>
            </w:r>
            <w:r>
              <w:rPr>
                <w:rFonts w:hint="eastAsia" w:ascii="Times New Roman" w:hAnsi="Times New Roman" w:cs="Times New Roman"/>
                <w:sz w:val="21"/>
                <w:szCs w:val="21"/>
                <w:highlight w:val="none"/>
                <w:lang w:val="en-US" w:eastAsia="zh-CN"/>
              </w:rPr>
              <w:t>6</w:t>
            </w:r>
            <w:r>
              <w:rPr>
                <w:rFonts w:hint="default" w:ascii="Times New Roman" w:hAnsi="Times New Roman" w:cs="Times New Roman"/>
                <w:sz w:val="21"/>
                <w:szCs w:val="21"/>
                <w:highlight w:val="none"/>
              </w:rPr>
              <w:t>-201</w:t>
            </w:r>
            <w:r>
              <w:rPr>
                <w:rFonts w:hint="default" w:ascii="Times New Roman" w:hAnsi="Times New Roman" w:cs="Times New Roman"/>
                <w:sz w:val="21"/>
                <w:szCs w:val="21"/>
                <w:highlight w:val="none"/>
                <w:lang w:val="en-US" w:eastAsia="zh-CN"/>
              </w:rPr>
              <w:t>8</w:t>
            </w:r>
            <w:r>
              <w:rPr>
                <w:rFonts w:hint="eastAsia" w:eastAsiaTheme="minorEastAsia"/>
                <w:sz w:val="21"/>
                <w:szCs w:val="21"/>
                <w:highlight w:val="none"/>
                <w:lang w:val="en-US" w:eastAsia="zh-CN"/>
              </w:rPr>
              <w:t>）表1其他行业VOCs排放限值及表2中苯乙烯排放限值，</w:t>
            </w:r>
            <w:r>
              <w:rPr>
                <w:rFonts w:hint="eastAsia" w:eastAsiaTheme="minorEastAsia"/>
                <w:sz w:val="21"/>
                <w:szCs w:val="21"/>
                <w:lang w:val="en-US" w:eastAsia="zh-CN"/>
              </w:rPr>
              <w:t>颗粒物排放执行</w:t>
            </w:r>
            <w:r>
              <w:rPr>
                <w:rFonts w:hint="default" w:ascii="Times New Roman" w:hAnsi="Times New Roman" w:cs="Times New Roman"/>
                <w:sz w:val="21"/>
                <w:szCs w:val="21"/>
              </w:rPr>
              <w:t>《区域性大气污染物综合排放标准》（DB37/2376-2019）表1中“重点控制区”标准限值</w:t>
            </w:r>
            <w:r>
              <w:rPr>
                <w:rFonts w:hint="eastAsia" w:cs="Times New Roman"/>
                <w:sz w:val="21"/>
                <w:szCs w:val="21"/>
                <w:lang w:eastAsia="zh-CN"/>
              </w:rPr>
              <w:t>，</w:t>
            </w:r>
            <w:r>
              <w:rPr>
                <w:rFonts w:hint="eastAsia" w:eastAsiaTheme="minorEastAsia"/>
                <w:sz w:val="21"/>
                <w:szCs w:val="21"/>
                <w:lang w:val="en-US" w:eastAsia="zh-CN"/>
              </w:rPr>
              <w:t>臭气浓度排放执行《恶臭污染物排放标准》（GB14554-1993）中表1中“二级-新改扩建”排放限值要求</w:t>
            </w:r>
          </w:p>
        </w:tc>
      </w:tr>
      <w:tr w14:paraId="7FAA93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07352E73">
            <w:pPr>
              <w:adjustRightInd w:val="0"/>
              <w:snapToGrid w:val="0"/>
              <w:spacing w:line="300" w:lineRule="exact"/>
              <w:jc w:val="center"/>
            </w:pPr>
          </w:p>
        </w:tc>
        <w:tc>
          <w:tcPr>
            <w:tcW w:w="1700" w:type="dxa"/>
            <w:vAlign w:val="center"/>
          </w:tcPr>
          <w:p w14:paraId="016ACCE4">
            <w:pPr>
              <w:adjustRightInd w:val="0"/>
              <w:snapToGrid w:val="0"/>
              <w:spacing w:line="300" w:lineRule="exact"/>
              <w:jc w:val="center"/>
              <w:rPr>
                <w:rFonts w:hint="default" w:cs="Times New Roman"/>
                <w:bCs/>
                <w:color w:val="000000"/>
                <w:sz w:val="21"/>
                <w:szCs w:val="21"/>
                <w:lang w:val="en-US" w:eastAsia="zh-CN"/>
              </w:rPr>
            </w:pPr>
            <w:r>
              <w:rPr>
                <w:rFonts w:hint="eastAsia" w:cs="Times New Roman"/>
                <w:bCs/>
                <w:color w:val="000000"/>
                <w:sz w:val="21"/>
                <w:szCs w:val="21"/>
                <w:lang w:val="en-US" w:eastAsia="zh-CN"/>
              </w:rPr>
              <w:t>DA002排气筒</w:t>
            </w:r>
          </w:p>
        </w:tc>
        <w:tc>
          <w:tcPr>
            <w:tcW w:w="1419" w:type="dxa"/>
            <w:vAlign w:val="center"/>
          </w:tcPr>
          <w:p w14:paraId="150061BC">
            <w:pPr>
              <w:adjustRightInd w:val="0"/>
              <w:snapToGrid w:val="0"/>
              <w:spacing w:line="300" w:lineRule="exact"/>
              <w:jc w:val="center"/>
              <w:rPr>
                <w:rFonts w:hint="eastAsia" w:eastAsia="宋体"/>
                <w:lang w:val="en-US" w:eastAsia="zh-CN"/>
              </w:rPr>
            </w:pPr>
            <w:r>
              <w:rPr>
                <w:rFonts w:hint="eastAsia"/>
                <w:lang w:val="en-US" w:eastAsia="zh-CN"/>
              </w:rPr>
              <w:t>颗粒物</w:t>
            </w:r>
          </w:p>
        </w:tc>
        <w:tc>
          <w:tcPr>
            <w:tcW w:w="1559" w:type="dxa"/>
            <w:vAlign w:val="center"/>
          </w:tcPr>
          <w:p w14:paraId="5EFC5A1C">
            <w:pPr>
              <w:adjustRightInd w:val="0"/>
              <w:snapToGrid w:val="0"/>
              <w:spacing w:line="300" w:lineRule="exact"/>
              <w:jc w:val="center"/>
              <w:rPr>
                <w:rFonts w:hint="default"/>
                <w:lang w:val="en-US" w:eastAsia="zh-CN"/>
              </w:rPr>
            </w:pPr>
            <w:r>
              <w:rPr>
                <w:rFonts w:hint="eastAsia"/>
                <w:lang w:val="en-US" w:eastAsia="zh-CN"/>
              </w:rPr>
              <w:t>滤筒除尘器</w:t>
            </w:r>
          </w:p>
        </w:tc>
        <w:tc>
          <w:tcPr>
            <w:tcW w:w="2869" w:type="dxa"/>
            <w:vAlign w:val="center"/>
          </w:tcPr>
          <w:p w14:paraId="70DDD30E">
            <w:pPr>
              <w:adjustRightInd w:val="0"/>
              <w:snapToGrid w:val="0"/>
              <w:spacing w:line="300" w:lineRule="exact"/>
              <w:jc w:val="center"/>
              <w:rPr>
                <w:rFonts w:hint="default" w:ascii="Times New Roman" w:hAnsi="Times New Roman" w:cs="Times New Roman"/>
                <w:sz w:val="21"/>
                <w:szCs w:val="21"/>
              </w:rPr>
            </w:pPr>
            <w:r>
              <w:rPr>
                <w:rFonts w:hint="default" w:ascii="Times New Roman" w:hAnsi="Times New Roman" w:cs="Times New Roman"/>
                <w:sz w:val="21"/>
                <w:szCs w:val="21"/>
              </w:rPr>
              <w:t>《区域性大气污染物综合排放标准》（DB37/2376-2019）表1中“重点控制区”标准限值</w:t>
            </w:r>
          </w:p>
        </w:tc>
      </w:tr>
      <w:tr w14:paraId="1832F6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1E363BF2">
            <w:pPr>
              <w:adjustRightInd w:val="0"/>
              <w:snapToGrid w:val="0"/>
              <w:spacing w:line="300" w:lineRule="exact"/>
              <w:jc w:val="center"/>
            </w:pPr>
          </w:p>
        </w:tc>
        <w:tc>
          <w:tcPr>
            <w:tcW w:w="1700" w:type="dxa"/>
            <w:vAlign w:val="center"/>
          </w:tcPr>
          <w:p w14:paraId="5AAB6251">
            <w:pPr>
              <w:adjustRightInd w:val="0"/>
              <w:snapToGrid w:val="0"/>
              <w:spacing w:line="300" w:lineRule="exact"/>
              <w:jc w:val="center"/>
            </w:pPr>
            <w:r>
              <w:t>厂界无组织</w:t>
            </w:r>
          </w:p>
        </w:tc>
        <w:tc>
          <w:tcPr>
            <w:tcW w:w="1419" w:type="dxa"/>
            <w:vAlign w:val="center"/>
          </w:tcPr>
          <w:p w14:paraId="30842B5E">
            <w:pPr>
              <w:adjustRightInd w:val="0"/>
              <w:snapToGrid w:val="0"/>
              <w:spacing w:line="300" w:lineRule="exact"/>
              <w:jc w:val="center"/>
              <w:rPr>
                <w:rFonts w:hint="default" w:eastAsia="宋体"/>
                <w:lang w:val="en-US" w:eastAsia="zh-CN"/>
              </w:rPr>
            </w:pPr>
            <w:r>
              <w:t>颗粒物</w:t>
            </w:r>
            <w:r>
              <w:rPr>
                <w:rFonts w:hint="eastAsia"/>
                <w:lang w:eastAsia="zh-CN"/>
              </w:rPr>
              <w:t>、</w:t>
            </w:r>
            <w:r>
              <w:rPr>
                <w:rFonts w:hint="eastAsia"/>
                <w:lang w:val="en-US" w:eastAsia="zh-CN"/>
              </w:rPr>
              <w:t>VOCs、苯乙烯、臭气浓度</w:t>
            </w:r>
          </w:p>
        </w:tc>
        <w:tc>
          <w:tcPr>
            <w:tcW w:w="1559" w:type="dxa"/>
            <w:vMerge w:val="restart"/>
            <w:vAlign w:val="center"/>
          </w:tcPr>
          <w:p w14:paraId="49688893">
            <w:pPr>
              <w:adjustRightInd w:val="0"/>
              <w:snapToGrid w:val="0"/>
              <w:spacing w:line="300" w:lineRule="exact"/>
              <w:jc w:val="center"/>
            </w:pPr>
            <w:r>
              <w:t>加强管理</w:t>
            </w:r>
          </w:p>
        </w:tc>
        <w:tc>
          <w:tcPr>
            <w:tcW w:w="2869" w:type="dxa"/>
            <w:vAlign w:val="center"/>
          </w:tcPr>
          <w:p w14:paraId="18ECFABD">
            <w:pPr>
              <w:adjustRightInd w:val="0"/>
              <w:snapToGrid w:val="0"/>
              <w:spacing w:line="300" w:lineRule="exact"/>
              <w:jc w:val="center"/>
              <w:rPr>
                <w:rFonts w:hint="eastAsia" w:eastAsia="宋体"/>
                <w:highlight w:val="yellow"/>
                <w:lang w:eastAsia="zh-CN"/>
              </w:rPr>
            </w:pPr>
            <w:r>
              <w:rPr>
                <w:rFonts w:hint="eastAsia" w:eastAsiaTheme="minorEastAsia"/>
                <w:sz w:val="21"/>
                <w:szCs w:val="21"/>
                <w:lang w:val="en-US" w:eastAsia="zh-CN"/>
              </w:rPr>
              <w:t>无组织</w:t>
            </w:r>
            <w:r>
              <w:rPr>
                <w:rFonts w:eastAsiaTheme="minorEastAsia"/>
                <w:sz w:val="21"/>
                <w:szCs w:val="21"/>
              </w:rPr>
              <w:t>颗粒物排放执行</w:t>
            </w:r>
            <w:r>
              <w:rPr>
                <w:rFonts w:hint="eastAsia" w:cs="Times New Roman"/>
                <w:szCs w:val="21"/>
                <w:lang w:eastAsia="zh-CN"/>
              </w:rPr>
              <w:t>《大气污染物综合排放标准》（</w:t>
            </w:r>
            <w:r>
              <w:rPr>
                <w:rFonts w:hint="eastAsia" w:cs="Times New Roman"/>
                <w:szCs w:val="21"/>
                <w:lang w:val="en-US" w:eastAsia="zh-CN"/>
              </w:rPr>
              <w:t>GB16297-1996</w:t>
            </w:r>
            <w:r>
              <w:rPr>
                <w:rFonts w:hint="eastAsia" w:cs="Times New Roman"/>
                <w:szCs w:val="21"/>
                <w:lang w:eastAsia="zh-CN"/>
              </w:rPr>
              <w:t>）表</w:t>
            </w:r>
            <w:r>
              <w:rPr>
                <w:rFonts w:hint="eastAsia" w:cs="Times New Roman"/>
                <w:szCs w:val="21"/>
                <w:lang w:val="en-US" w:eastAsia="zh-CN"/>
              </w:rPr>
              <w:t>2厂界监控点浓度限值，无组织VOCs排放执行</w:t>
            </w:r>
            <w:r>
              <w:rPr>
                <w:rFonts w:hint="default" w:ascii="Times New Roman" w:hAnsi="Times New Roman" w:cs="Times New Roman"/>
                <w:sz w:val="21"/>
                <w:szCs w:val="21"/>
              </w:rPr>
              <w:t>《挥发性有机物排放标准 第</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部分：</w:t>
            </w:r>
            <w:r>
              <w:rPr>
                <w:rFonts w:hint="default" w:ascii="Times New Roman" w:hAnsi="Times New Roman" w:cs="Times New Roman"/>
                <w:sz w:val="21"/>
                <w:szCs w:val="21"/>
                <w:lang w:eastAsia="zh-CN"/>
              </w:rPr>
              <w:t>表面涂装</w:t>
            </w:r>
            <w:r>
              <w:rPr>
                <w:rFonts w:hint="default" w:ascii="Times New Roman" w:hAnsi="Times New Roman" w:cs="Times New Roman"/>
                <w:sz w:val="21"/>
                <w:szCs w:val="21"/>
              </w:rPr>
              <w:t>行业》（DB37/2801.</w:t>
            </w:r>
            <w:r>
              <w:rPr>
                <w:rFonts w:hint="default" w:ascii="Times New Roman" w:hAnsi="Times New Roman" w:cs="Times New Roman"/>
                <w:sz w:val="21"/>
                <w:szCs w:val="21"/>
                <w:lang w:val="en-US" w:eastAsia="zh-CN"/>
              </w:rPr>
              <w:t>5</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default" w:ascii="Times New Roman" w:hAnsi="Times New Roman" w:cs="Times New Roman"/>
                <w:sz w:val="21"/>
                <w:szCs w:val="21"/>
              </w:rPr>
              <w:t>）表</w:t>
            </w:r>
            <w:r>
              <w:rPr>
                <w:rFonts w:hint="eastAsia" w:ascii="Times New Roman" w:hAnsi="Times New Roman" w:cs="Times New Roman"/>
                <w:sz w:val="21"/>
                <w:szCs w:val="21"/>
                <w:lang w:val="en-US" w:eastAsia="zh-CN"/>
              </w:rPr>
              <w:t>3及</w:t>
            </w:r>
            <w:r>
              <w:rPr>
                <w:rFonts w:hint="eastAsia" w:eastAsiaTheme="minorEastAsia"/>
                <w:sz w:val="21"/>
                <w:szCs w:val="21"/>
                <w:lang w:val="en-US" w:eastAsia="zh-CN"/>
              </w:rPr>
              <w:t>《</w:t>
            </w:r>
            <w:r>
              <w:rPr>
                <w:rFonts w:hint="eastAsia" w:ascii="Times New Roman" w:hAnsi="Times New Roman" w:cs="Times New Roman" w:eastAsiaTheme="minorEastAsia"/>
                <w:sz w:val="21"/>
                <w:szCs w:val="21"/>
                <w:lang w:val="en-US" w:eastAsia="zh-CN"/>
              </w:rPr>
              <w:t>挥发性有机物排放标准 第 6 部分：有机化工行业》（</w:t>
            </w:r>
            <w:r>
              <w:rPr>
                <w:rFonts w:hint="default" w:ascii="Times New Roman" w:hAnsi="Times New Roman" w:cs="Times New Roman" w:eastAsiaTheme="minorEastAsia"/>
                <w:sz w:val="21"/>
                <w:szCs w:val="21"/>
                <w:lang w:val="en-US" w:eastAsia="zh-CN"/>
              </w:rPr>
              <w:t>D</w:t>
            </w:r>
            <w:r>
              <w:rPr>
                <w:rFonts w:hint="default" w:ascii="Times New Roman" w:hAnsi="Times New Roman" w:cs="Times New Roman"/>
                <w:sz w:val="21"/>
                <w:szCs w:val="21"/>
              </w:rPr>
              <w:t>B37/2801.</w:t>
            </w:r>
            <w:r>
              <w:rPr>
                <w:rFonts w:hint="eastAsia" w:ascii="Times New Roman" w:hAnsi="Times New Roman" w:cs="Times New Roman"/>
                <w:sz w:val="21"/>
                <w:szCs w:val="21"/>
                <w:lang w:val="en-US" w:eastAsia="zh-CN"/>
              </w:rPr>
              <w:t>6</w:t>
            </w:r>
            <w:r>
              <w:rPr>
                <w:rFonts w:hint="default" w:ascii="Times New Roman" w:hAnsi="Times New Roman" w:cs="Times New Roman"/>
                <w:sz w:val="21"/>
                <w:szCs w:val="21"/>
              </w:rPr>
              <w:t>-201</w:t>
            </w:r>
            <w:r>
              <w:rPr>
                <w:rFonts w:hint="default" w:ascii="Times New Roman" w:hAnsi="Times New Roman" w:cs="Times New Roman"/>
                <w:sz w:val="21"/>
                <w:szCs w:val="21"/>
                <w:lang w:val="en-US" w:eastAsia="zh-CN"/>
              </w:rPr>
              <w:t>8</w:t>
            </w:r>
            <w:r>
              <w:rPr>
                <w:rFonts w:hint="eastAsia" w:eastAsiaTheme="minorEastAsia"/>
                <w:sz w:val="21"/>
                <w:szCs w:val="21"/>
                <w:lang w:val="en-US" w:eastAsia="zh-CN"/>
              </w:rPr>
              <w:t>）表3中厂界VOCs排放浓度限值，无组织苯乙烯、臭气浓度排放执行《恶臭污染物排放标准》（GB14554-1993）中表1中“二级-新改扩建”排放限值要求，</w:t>
            </w:r>
          </w:p>
        </w:tc>
      </w:tr>
      <w:tr w14:paraId="3BA3A7F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53" w:hRule="atLeast"/>
          <w:jc w:val="center"/>
        </w:trPr>
        <w:tc>
          <w:tcPr>
            <w:tcW w:w="1255" w:type="dxa"/>
            <w:vMerge w:val="continue"/>
            <w:vAlign w:val="center"/>
          </w:tcPr>
          <w:p w14:paraId="418F02D2">
            <w:pPr>
              <w:adjustRightInd w:val="0"/>
              <w:snapToGrid w:val="0"/>
              <w:spacing w:line="300" w:lineRule="exact"/>
              <w:jc w:val="center"/>
            </w:pPr>
          </w:p>
        </w:tc>
        <w:tc>
          <w:tcPr>
            <w:tcW w:w="1700" w:type="dxa"/>
            <w:vAlign w:val="center"/>
          </w:tcPr>
          <w:p w14:paraId="08AB0667">
            <w:pPr>
              <w:adjustRightInd w:val="0"/>
              <w:snapToGrid w:val="0"/>
              <w:spacing w:line="300" w:lineRule="exact"/>
              <w:jc w:val="center"/>
              <w:rPr>
                <w:rFonts w:hint="eastAsia" w:eastAsia="宋体"/>
                <w:lang w:val="en-US" w:eastAsia="zh-CN"/>
              </w:rPr>
            </w:pPr>
            <w:r>
              <w:rPr>
                <w:rFonts w:hint="eastAsia"/>
                <w:lang w:val="en-US" w:eastAsia="zh-CN"/>
              </w:rPr>
              <w:t>厂区内</w:t>
            </w:r>
          </w:p>
        </w:tc>
        <w:tc>
          <w:tcPr>
            <w:tcW w:w="1419" w:type="dxa"/>
            <w:vAlign w:val="center"/>
          </w:tcPr>
          <w:p w14:paraId="16BBB9F3">
            <w:pPr>
              <w:adjustRightInd w:val="0"/>
              <w:snapToGrid w:val="0"/>
              <w:spacing w:line="240" w:lineRule="exact"/>
              <w:jc w:val="center"/>
            </w:pPr>
            <w:r>
              <w:rPr>
                <w:rFonts w:hint="default" w:ascii="Times New Roman" w:hAnsi="Times New Roman" w:cs="Times New Roman"/>
                <w:szCs w:val="21"/>
                <w:lang w:val="en-US" w:eastAsia="zh-CN"/>
              </w:rPr>
              <w:t>VOCs</w:t>
            </w:r>
          </w:p>
        </w:tc>
        <w:tc>
          <w:tcPr>
            <w:tcW w:w="1559" w:type="dxa"/>
            <w:vMerge w:val="continue"/>
            <w:vAlign w:val="center"/>
          </w:tcPr>
          <w:p w14:paraId="46609B1D">
            <w:pPr>
              <w:adjustRightInd w:val="0"/>
              <w:snapToGrid w:val="0"/>
              <w:spacing w:line="240" w:lineRule="exact"/>
              <w:jc w:val="center"/>
            </w:pPr>
          </w:p>
        </w:tc>
        <w:tc>
          <w:tcPr>
            <w:tcW w:w="2869" w:type="dxa"/>
            <w:vAlign w:val="center"/>
          </w:tcPr>
          <w:p w14:paraId="48249DAC">
            <w:pPr>
              <w:adjustRightInd w:val="0"/>
              <w:snapToGrid w:val="0"/>
              <w:spacing w:line="240" w:lineRule="exact"/>
              <w:jc w:val="center"/>
              <w:rPr>
                <w:rFonts w:hint="eastAsia" w:eastAsiaTheme="minorEastAsia"/>
                <w:sz w:val="21"/>
                <w:szCs w:val="21"/>
                <w:lang w:val="en-US" w:eastAsia="zh-CN"/>
              </w:rPr>
            </w:pPr>
            <w:r>
              <w:rPr>
                <w:rFonts w:hint="default" w:ascii="Times New Roman" w:hAnsi="Times New Roman" w:eastAsia="宋体" w:cs="Times New Roman"/>
                <w:sz w:val="21"/>
                <w:szCs w:val="21"/>
              </w:rPr>
              <w:t>《挥发性有机物无组织排放控制标准》（GB37822-2019）中附录A中厂区内VOC</w:t>
            </w:r>
            <w:r>
              <w:rPr>
                <w:rFonts w:hint="default" w:ascii="Times New Roman" w:hAnsi="Times New Roman" w:eastAsia="宋体" w:cs="Times New Roman"/>
                <w:sz w:val="21"/>
                <w:szCs w:val="21"/>
                <w:lang w:val="en-US" w:eastAsia="zh-CN"/>
              </w:rPr>
              <w:t>s</w:t>
            </w:r>
            <w:r>
              <w:rPr>
                <w:rFonts w:hint="default" w:ascii="Times New Roman" w:hAnsi="Times New Roman" w:eastAsia="宋体" w:cs="Times New Roman"/>
                <w:sz w:val="21"/>
                <w:szCs w:val="21"/>
              </w:rPr>
              <w:t>排放浓度</w:t>
            </w:r>
          </w:p>
        </w:tc>
      </w:tr>
      <w:tr w14:paraId="5F8C3C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31" w:hRule="atLeast"/>
          <w:jc w:val="center"/>
        </w:trPr>
        <w:tc>
          <w:tcPr>
            <w:tcW w:w="1255" w:type="dxa"/>
            <w:vMerge w:val="restart"/>
            <w:vAlign w:val="center"/>
          </w:tcPr>
          <w:p w14:paraId="0542D535">
            <w:pPr>
              <w:adjustRightInd w:val="0"/>
              <w:snapToGrid w:val="0"/>
              <w:spacing w:line="300" w:lineRule="exact"/>
              <w:jc w:val="center"/>
            </w:pPr>
            <w:r>
              <w:t>地表水环境</w:t>
            </w:r>
          </w:p>
        </w:tc>
        <w:tc>
          <w:tcPr>
            <w:tcW w:w="1700" w:type="dxa"/>
            <w:vMerge w:val="restart"/>
            <w:vAlign w:val="center"/>
          </w:tcPr>
          <w:p w14:paraId="3592963B">
            <w:pPr>
              <w:adjustRightInd w:val="0"/>
              <w:snapToGrid w:val="0"/>
              <w:jc w:val="center"/>
            </w:pPr>
            <w:r>
              <w:rPr>
                <w:bCs/>
              </w:rPr>
              <w:t>生活污水</w:t>
            </w:r>
          </w:p>
        </w:tc>
        <w:tc>
          <w:tcPr>
            <w:tcW w:w="1419" w:type="dxa"/>
            <w:vAlign w:val="center"/>
          </w:tcPr>
          <w:p w14:paraId="52D38962">
            <w:pPr>
              <w:adjustRightInd w:val="0"/>
              <w:snapToGrid w:val="0"/>
              <w:jc w:val="center"/>
            </w:pPr>
            <w:r>
              <w:t>COD</w:t>
            </w:r>
          </w:p>
        </w:tc>
        <w:tc>
          <w:tcPr>
            <w:tcW w:w="1559" w:type="dxa"/>
            <w:vMerge w:val="restart"/>
            <w:vAlign w:val="center"/>
          </w:tcPr>
          <w:p w14:paraId="77386565">
            <w:pPr>
              <w:adjustRightInd w:val="0"/>
              <w:snapToGrid w:val="0"/>
              <w:spacing w:line="300" w:lineRule="exact"/>
              <w:jc w:val="center"/>
              <w:rPr>
                <w:rFonts w:hint="eastAsia" w:eastAsia="宋体"/>
                <w:lang w:eastAsia="zh-CN"/>
              </w:rPr>
            </w:pPr>
            <w:r>
              <w:rPr>
                <w:bCs/>
              </w:rPr>
              <w:t>生活污水经化粪池预处理后</w:t>
            </w:r>
            <w:r>
              <w:rPr>
                <w:rFonts w:hint="eastAsia"/>
                <w:bCs/>
                <w:lang w:eastAsia="zh-CN"/>
              </w:rPr>
              <w:t>经污水管网排入淄博市利民净化水有限公司</w:t>
            </w:r>
            <w:r>
              <w:rPr>
                <w:rFonts w:hint="eastAsia"/>
                <w:bCs/>
                <w:lang w:val="en-US" w:eastAsia="zh-CN"/>
              </w:rPr>
              <w:t>进一步</w:t>
            </w:r>
            <w:r>
              <w:rPr>
                <w:rFonts w:hint="eastAsia"/>
                <w:bCs/>
                <w:lang w:eastAsia="zh-CN"/>
              </w:rPr>
              <w:t>处理达标后排入孝妇河</w:t>
            </w:r>
          </w:p>
        </w:tc>
        <w:tc>
          <w:tcPr>
            <w:tcW w:w="2869" w:type="dxa"/>
            <w:vMerge w:val="restart"/>
            <w:vAlign w:val="center"/>
          </w:tcPr>
          <w:p w14:paraId="32A3896D">
            <w:pPr>
              <w:adjustRightInd w:val="0"/>
              <w:snapToGrid w:val="0"/>
              <w:spacing w:line="300" w:lineRule="exact"/>
              <w:jc w:val="center"/>
            </w:pPr>
            <w:r>
              <w:t>—</w:t>
            </w:r>
          </w:p>
        </w:tc>
      </w:tr>
      <w:tr w14:paraId="5B92A9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35" w:hRule="atLeast"/>
          <w:jc w:val="center"/>
        </w:trPr>
        <w:tc>
          <w:tcPr>
            <w:tcW w:w="1255" w:type="dxa"/>
            <w:vMerge w:val="continue"/>
            <w:vAlign w:val="center"/>
          </w:tcPr>
          <w:p w14:paraId="614F7519">
            <w:pPr>
              <w:adjustRightInd w:val="0"/>
              <w:snapToGrid w:val="0"/>
              <w:spacing w:line="300" w:lineRule="exact"/>
              <w:ind w:left="-103" w:leftChars="-49" w:right="-107" w:rightChars="-51"/>
              <w:jc w:val="center"/>
            </w:pPr>
          </w:p>
        </w:tc>
        <w:tc>
          <w:tcPr>
            <w:tcW w:w="1700" w:type="dxa"/>
            <w:vMerge w:val="continue"/>
            <w:vAlign w:val="center"/>
          </w:tcPr>
          <w:p w14:paraId="7E322595">
            <w:pPr>
              <w:adjustRightInd w:val="0"/>
              <w:snapToGrid w:val="0"/>
              <w:jc w:val="center"/>
            </w:pPr>
          </w:p>
        </w:tc>
        <w:tc>
          <w:tcPr>
            <w:tcW w:w="1419" w:type="dxa"/>
            <w:vAlign w:val="center"/>
          </w:tcPr>
          <w:p w14:paraId="531AA811">
            <w:pPr>
              <w:adjustRightInd w:val="0"/>
              <w:snapToGrid w:val="0"/>
              <w:jc w:val="center"/>
            </w:pPr>
            <w:r>
              <w:t>BOD</w:t>
            </w:r>
            <w:r>
              <w:rPr>
                <w:vertAlign w:val="subscript"/>
              </w:rPr>
              <w:t>5</w:t>
            </w:r>
          </w:p>
        </w:tc>
        <w:tc>
          <w:tcPr>
            <w:tcW w:w="1559" w:type="dxa"/>
            <w:vMerge w:val="continue"/>
            <w:vAlign w:val="center"/>
          </w:tcPr>
          <w:p w14:paraId="407DF346">
            <w:pPr>
              <w:adjustRightInd w:val="0"/>
              <w:snapToGrid w:val="0"/>
              <w:spacing w:line="300" w:lineRule="exact"/>
              <w:ind w:left="-103" w:leftChars="-49" w:right="-107" w:rightChars="-51"/>
              <w:jc w:val="center"/>
            </w:pPr>
          </w:p>
        </w:tc>
        <w:tc>
          <w:tcPr>
            <w:tcW w:w="2869" w:type="dxa"/>
            <w:vMerge w:val="continue"/>
            <w:vAlign w:val="center"/>
          </w:tcPr>
          <w:p w14:paraId="0E21ECCA">
            <w:pPr>
              <w:adjustRightInd w:val="0"/>
              <w:snapToGrid w:val="0"/>
              <w:spacing w:line="300" w:lineRule="exact"/>
              <w:ind w:left="-103" w:leftChars="-49" w:right="-107" w:rightChars="-51"/>
              <w:jc w:val="center"/>
            </w:pPr>
          </w:p>
        </w:tc>
      </w:tr>
      <w:tr w14:paraId="364C98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29" w:hRule="atLeast"/>
          <w:jc w:val="center"/>
        </w:trPr>
        <w:tc>
          <w:tcPr>
            <w:tcW w:w="1255" w:type="dxa"/>
            <w:vMerge w:val="continue"/>
            <w:vAlign w:val="center"/>
          </w:tcPr>
          <w:p w14:paraId="03002F9B">
            <w:pPr>
              <w:adjustRightInd w:val="0"/>
              <w:snapToGrid w:val="0"/>
              <w:spacing w:line="300" w:lineRule="exact"/>
              <w:ind w:left="-103" w:leftChars="-49" w:right="-107" w:rightChars="-51"/>
              <w:jc w:val="center"/>
            </w:pPr>
          </w:p>
        </w:tc>
        <w:tc>
          <w:tcPr>
            <w:tcW w:w="1700" w:type="dxa"/>
            <w:vMerge w:val="continue"/>
            <w:vAlign w:val="center"/>
          </w:tcPr>
          <w:p w14:paraId="1711F3C9">
            <w:pPr>
              <w:adjustRightInd w:val="0"/>
              <w:snapToGrid w:val="0"/>
              <w:jc w:val="center"/>
            </w:pPr>
          </w:p>
        </w:tc>
        <w:tc>
          <w:tcPr>
            <w:tcW w:w="1419" w:type="dxa"/>
            <w:vAlign w:val="center"/>
          </w:tcPr>
          <w:p w14:paraId="295E29F5">
            <w:pPr>
              <w:adjustRightInd w:val="0"/>
              <w:snapToGrid w:val="0"/>
              <w:jc w:val="center"/>
            </w:pPr>
            <w:r>
              <w:t>SS</w:t>
            </w:r>
          </w:p>
        </w:tc>
        <w:tc>
          <w:tcPr>
            <w:tcW w:w="1559" w:type="dxa"/>
            <w:vMerge w:val="continue"/>
            <w:vAlign w:val="center"/>
          </w:tcPr>
          <w:p w14:paraId="132E3F8A">
            <w:pPr>
              <w:adjustRightInd w:val="0"/>
              <w:snapToGrid w:val="0"/>
              <w:spacing w:line="300" w:lineRule="exact"/>
              <w:ind w:left="-103" w:leftChars="-49" w:right="-107" w:rightChars="-51"/>
              <w:jc w:val="center"/>
            </w:pPr>
          </w:p>
        </w:tc>
        <w:tc>
          <w:tcPr>
            <w:tcW w:w="2869" w:type="dxa"/>
            <w:vMerge w:val="continue"/>
            <w:vAlign w:val="center"/>
          </w:tcPr>
          <w:p w14:paraId="17346F12">
            <w:pPr>
              <w:adjustRightInd w:val="0"/>
              <w:snapToGrid w:val="0"/>
              <w:spacing w:line="300" w:lineRule="exact"/>
              <w:ind w:left="-103" w:leftChars="-49" w:right="-107" w:rightChars="-51"/>
              <w:jc w:val="center"/>
            </w:pPr>
          </w:p>
        </w:tc>
      </w:tr>
      <w:tr w14:paraId="64C42A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 w:hRule="atLeast"/>
          <w:jc w:val="center"/>
        </w:trPr>
        <w:tc>
          <w:tcPr>
            <w:tcW w:w="1255" w:type="dxa"/>
            <w:vMerge w:val="continue"/>
            <w:vAlign w:val="center"/>
          </w:tcPr>
          <w:p w14:paraId="28D58463">
            <w:pPr>
              <w:adjustRightInd w:val="0"/>
              <w:snapToGrid w:val="0"/>
              <w:spacing w:line="300" w:lineRule="exact"/>
              <w:ind w:left="-103" w:leftChars="-49" w:right="-107" w:rightChars="-51"/>
              <w:jc w:val="center"/>
            </w:pPr>
          </w:p>
        </w:tc>
        <w:tc>
          <w:tcPr>
            <w:tcW w:w="1700" w:type="dxa"/>
            <w:vMerge w:val="continue"/>
            <w:vAlign w:val="center"/>
          </w:tcPr>
          <w:p w14:paraId="18A523A2">
            <w:pPr>
              <w:adjustRightInd w:val="0"/>
              <w:snapToGrid w:val="0"/>
              <w:jc w:val="center"/>
            </w:pPr>
          </w:p>
        </w:tc>
        <w:tc>
          <w:tcPr>
            <w:tcW w:w="1419" w:type="dxa"/>
            <w:vAlign w:val="center"/>
          </w:tcPr>
          <w:p w14:paraId="4501A352">
            <w:pPr>
              <w:adjustRightInd w:val="0"/>
              <w:snapToGrid w:val="0"/>
              <w:jc w:val="center"/>
            </w:pPr>
            <w:r>
              <w:t>氨氮</w:t>
            </w:r>
          </w:p>
        </w:tc>
        <w:tc>
          <w:tcPr>
            <w:tcW w:w="1559" w:type="dxa"/>
            <w:vMerge w:val="continue"/>
            <w:vAlign w:val="center"/>
          </w:tcPr>
          <w:p w14:paraId="6B3F7895">
            <w:pPr>
              <w:adjustRightInd w:val="0"/>
              <w:snapToGrid w:val="0"/>
              <w:spacing w:line="300" w:lineRule="exact"/>
              <w:ind w:left="-103" w:leftChars="-49" w:right="-107" w:rightChars="-51"/>
              <w:jc w:val="center"/>
            </w:pPr>
          </w:p>
        </w:tc>
        <w:tc>
          <w:tcPr>
            <w:tcW w:w="2869" w:type="dxa"/>
            <w:vMerge w:val="continue"/>
            <w:vAlign w:val="center"/>
          </w:tcPr>
          <w:p w14:paraId="496DE039">
            <w:pPr>
              <w:adjustRightInd w:val="0"/>
              <w:snapToGrid w:val="0"/>
              <w:spacing w:line="300" w:lineRule="exact"/>
              <w:ind w:left="-103" w:leftChars="-49" w:right="-107" w:rightChars="-51"/>
              <w:jc w:val="center"/>
            </w:pPr>
          </w:p>
        </w:tc>
      </w:tr>
      <w:tr w14:paraId="217403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63917690">
            <w:pPr>
              <w:adjustRightInd w:val="0"/>
              <w:snapToGrid w:val="0"/>
              <w:spacing w:line="300" w:lineRule="exact"/>
              <w:jc w:val="center"/>
            </w:pPr>
            <w:r>
              <w:t>声环境</w:t>
            </w:r>
          </w:p>
        </w:tc>
        <w:tc>
          <w:tcPr>
            <w:tcW w:w="1700" w:type="dxa"/>
            <w:vAlign w:val="center"/>
          </w:tcPr>
          <w:p w14:paraId="050E348F">
            <w:pPr>
              <w:adjustRightInd w:val="0"/>
              <w:snapToGrid w:val="0"/>
              <w:spacing w:line="300" w:lineRule="exact"/>
              <w:jc w:val="center"/>
            </w:pPr>
            <w:r>
              <w:t>产噪设备及车间</w:t>
            </w:r>
          </w:p>
        </w:tc>
        <w:tc>
          <w:tcPr>
            <w:tcW w:w="1419" w:type="dxa"/>
            <w:vAlign w:val="center"/>
          </w:tcPr>
          <w:p w14:paraId="4C09A131">
            <w:pPr>
              <w:adjustRightInd w:val="0"/>
              <w:snapToGrid w:val="0"/>
              <w:spacing w:line="300" w:lineRule="exact"/>
              <w:jc w:val="center"/>
            </w:pPr>
            <w:r>
              <w:t>dB（A）</w:t>
            </w:r>
          </w:p>
        </w:tc>
        <w:tc>
          <w:tcPr>
            <w:tcW w:w="1559" w:type="dxa"/>
            <w:vAlign w:val="center"/>
          </w:tcPr>
          <w:p w14:paraId="5DB3757F">
            <w:pPr>
              <w:adjustRightInd w:val="0"/>
              <w:snapToGrid w:val="0"/>
              <w:spacing w:line="300" w:lineRule="exact"/>
              <w:jc w:val="center"/>
            </w:pPr>
            <w:r>
              <w:t>减震、隔声、室内布置</w:t>
            </w:r>
          </w:p>
        </w:tc>
        <w:tc>
          <w:tcPr>
            <w:tcW w:w="2869" w:type="dxa"/>
            <w:vAlign w:val="center"/>
          </w:tcPr>
          <w:p w14:paraId="2A1322CC">
            <w:pPr>
              <w:adjustRightInd w:val="0"/>
              <w:snapToGrid w:val="0"/>
              <w:spacing w:line="300" w:lineRule="exact"/>
              <w:jc w:val="center"/>
            </w:pPr>
            <w:r>
              <w:t>符合《工业企业厂界环境噪声排放标准》（GB12348-2008）2类标准</w:t>
            </w:r>
          </w:p>
        </w:tc>
      </w:tr>
      <w:tr w14:paraId="107223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255" w:type="dxa"/>
            <w:vAlign w:val="center"/>
          </w:tcPr>
          <w:p w14:paraId="3B7F29D5">
            <w:pPr>
              <w:adjustRightInd w:val="0"/>
              <w:snapToGrid w:val="0"/>
              <w:spacing w:line="300" w:lineRule="exact"/>
              <w:jc w:val="center"/>
            </w:pPr>
            <w:r>
              <w:t>电磁辐射</w:t>
            </w:r>
          </w:p>
        </w:tc>
        <w:tc>
          <w:tcPr>
            <w:tcW w:w="1700" w:type="dxa"/>
            <w:vAlign w:val="center"/>
          </w:tcPr>
          <w:p w14:paraId="0600BE23">
            <w:pPr>
              <w:adjustRightInd w:val="0"/>
              <w:snapToGrid w:val="0"/>
              <w:spacing w:line="300" w:lineRule="exact"/>
              <w:jc w:val="center"/>
            </w:pPr>
            <w:r>
              <w:t>—</w:t>
            </w:r>
          </w:p>
        </w:tc>
        <w:tc>
          <w:tcPr>
            <w:tcW w:w="1419" w:type="dxa"/>
          </w:tcPr>
          <w:p w14:paraId="1FD98D1C">
            <w:pPr>
              <w:adjustRightInd w:val="0"/>
              <w:snapToGrid w:val="0"/>
              <w:spacing w:line="300" w:lineRule="exact"/>
              <w:jc w:val="center"/>
            </w:pPr>
            <w:r>
              <w:t>—</w:t>
            </w:r>
          </w:p>
        </w:tc>
        <w:tc>
          <w:tcPr>
            <w:tcW w:w="1559" w:type="dxa"/>
          </w:tcPr>
          <w:p w14:paraId="1AC58F03">
            <w:pPr>
              <w:adjustRightInd w:val="0"/>
              <w:snapToGrid w:val="0"/>
              <w:spacing w:line="300" w:lineRule="exact"/>
              <w:jc w:val="center"/>
            </w:pPr>
            <w:r>
              <w:t>—</w:t>
            </w:r>
          </w:p>
        </w:tc>
        <w:tc>
          <w:tcPr>
            <w:tcW w:w="2869" w:type="dxa"/>
          </w:tcPr>
          <w:p w14:paraId="10BCDD35">
            <w:pPr>
              <w:adjustRightInd w:val="0"/>
              <w:snapToGrid w:val="0"/>
              <w:spacing w:line="300" w:lineRule="exact"/>
              <w:jc w:val="center"/>
            </w:pPr>
            <w:r>
              <w:t>—</w:t>
            </w:r>
          </w:p>
        </w:tc>
      </w:tr>
      <w:tr w14:paraId="34D6E1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255" w:type="dxa"/>
            <w:vAlign w:val="center"/>
          </w:tcPr>
          <w:p w14:paraId="6BD8A601">
            <w:pPr>
              <w:adjustRightInd w:val="0"/>
              <w:snapToGrid w:val="0"/>
              <w:spacing w:line="300" w:lineRule="exact"/>
              <w:jc w:val="center"/>
            </w:pPr>
            <w:r>
              <w:t>固体废物</w:t>
            </w:r>
          </w:p>
        </w:tc>
        <w:tc>
          <w:tcPr>
            <w:tcW w:w="7547" w:type="dxa"/>
            <w:gridSpan w:val="4"/>
            <w:vAlign w:val="center"/>
          </w:tcPr>
          <w:p w14:paraId="7BF0238C">
            <w:pPr>
              <w:autoSpaceDE w:val="0"/>
              <w:autoSpaceDN w:val="0"/>
              <w:adjustRightInd w:val="0"/>
              <w:spacing w:line="300" w:lineRule="exact"/>
              <w:ind w:firstLine="420" w:firstLineChars="200"/>
              <w:rPr>
                <w:lang w:val="zh-CN"/>
              </w:rPr>
            </w:pPr>
            <w:r>
              <w:t>固体废物管理台账，废弃物的运输登记</w:t>
            </w:r>
          </w:p>
        </w:tc>
      </w:tr>
      <w:tr w14:paraId="7D9BA5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15EA13DC">
            <w:pPr>
              <w:adjustRightInd w:val="0"/>
              <w:snapToGrid w:val="0"/>
              <w:spacing w:line="300" w:lineRule="exact"/>
              <w:ind w:left="-128" w:leftChars="-61" w:right="-107" w:rightChars="-51" w:firstLine="128" w:firstLineChars="61"/>
              <w:jc w:val="center"/>
            </w:pPr>
            <w:r>
              <w:t>土壤及地下水污染防治措施</w:t>
            </w:r>
          </w:p>
        </w:tc>
        <w:tc>
          <w:tcPr>
            <w:tcW w:w="7547" w:type="dxa"/>
            <w:gridSpan w:val="4"/>
            <w:vAlign w:val="center"/>
          </w:tcPr>
          <w:p w14:paraId="5E25BFB6">
            <w:pPr>
              <w:autoSpaceDE w:val="0"/>
              <w:autoSpaceDN w:val="0"/>
              <w:adjustRightInd w:val="0"/>
              <w:spacing w:line="300" w:lineRule="exact"/>
              <w:ind w:firstLine="420" w:firstLineChars="200"/>
              <w:jc w:val="center"/>
            </w:pPr>
            <w:r>
              <w:t>采取分区防渗措施，其中重点防渗区，设置不低于6.0m厚渗透系数为1.0</w:t>
            </w:r>
            <w:r>
              <w:rPr>
                <w:sz w:val="18"/>
                <w:szCs w:val="18"/>
              </w:rPr>
              <w:t>×</w:t>
            </w:r>
            <w:r>
              <w:t>10</w:t>
            </w:r>
            <w:r>
              <w:rPr>
                <w:vertAlign w:val="superscript"/>
              </w:rPr>
              <w:t>-7</w:t>
            </w:r>
            <w:r>
              <w:t>cm/s的黏土层的防渗性能；一般防渗区，设置不低于1.5m厚渗透系数为1.0</w:t>
            </w:r>
            <w:r>
              <w:rPr>
                <w:sz w:val="18"/>
                <w:szCs w:val="18"/>
              </w:rPr>
              <w:t>×</w:t>
            </w:r>
            <w:r>
              <w:t>10</w:t>
            </w:r>
            <w:r>
              <w:rPr>
                <w:vertAlign w:val="superscript"/>
              </w:rPr>
              <w:t>-7</w:t>
            </w:r>
            <w:r>
              <w:t>cm/s的黏土层的防渗性能；其他区域采取硬化等简单防渗。</w:t>
            </w:r>
          </w:p>
        </w:tc>
      </w:tr>
      <w:tr w14:paraId="69A81A6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255" w:type="dxa"/>
            <w:vAlign w:val="center"/>
          </w:tcPr>
          <w:p w14:paraId="20F3C231">
            <w:pPr>
              <w:adjustRightInd w:val="0"/>
              <w:snapToGrid w:val="0"/>
              <w:spacing w:line="300" w:lineRule="exact"/>
              <w:ind w:left="-128" w:leftChars="-61" w:right="-107" w:rightChars="-51" w:firstLine="128" w:firstLineChars="61"/>
              <w:jc w:val="center"/>
            </w:pPr>
            <w:r>
              <w:t>生态保护措施</w:t>
            </w:r>
          </w:p>
        </w:tc>
        <w:tc>
          <w:tcPr>
            <w:tcW w:w="7547" w:type="dxa"/>
            <w:gridSpan w:val="4"/>
            <w:vAlign w:val="center"/>
          </w:tcPr>
          <w:p w14:paraId="6849E9E7">
            <w:pPr>
              <w:adjustRightInd w:val="0"/>
              <w:snapToGrid w:val="0"/>
              <w:spacing w:line="300" w:lineRule="exact"/>
              <w:jc w:val="center"/>
            </w:pPr>
            <w:r>
              <w:t>加强绿化</w:t>
            </w:r>
          </w:p>
        </w:tc>
      </w:tr>
      <w:tr w14:paraId="2924CD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1255" w:type="dxa"/>
            <w:vAlign w:val="center"/>
          </w:tcPr>
          <w:p w14:paraId="39CDA872">
            <w:pPr>
              <w:adjustRightInd w:val="0"/>
              <w:snapToGrid w:val="0"/>
              <w:spacing w:line="300" w:lineRule="exact"/>
              <w:jc w:val="center"/>
              <w:rPr>
                <w:spacing w:val="-8"/>
              </w:rPr>
            </w:pPr>
            <w:r>
              <w:rPr>
                <w:spacing w:val="-8"/>
              </w:rPr>
              <w:t>环境风险</w:t>
            </w:r>
          </w:p>
          <w:p w14:paraId="18E602C2">
            <w:pPr>
              <w:adjustRightInd w:val="0"/>
              <w:snapToGrid w:val="0"/>
              <w:spacing w:line="300" w:lineRule="exact"/>
              <w:jc w:val="center"/>
              <w:rPr>
                <w:spacing w:val="-8"/>
              </w:rPr>
            </w:pPr>
            <w:r>
              <w:rPr>
                <w:spacing w:val="-8"/>
              </w:rPr>
              <w:t>防范措施</w:t>
            </w:r>
          </w:p>
        </w:tc>
        <w:tc>
          <w:tcPr>
            <w:tcW w:w="7547" w:type="dxa"/>
            <w:gridSpan w:val="4"/>
            <w:vAlign w:val="center"/>
          </w:tcPr>
          <w:p w14:paraId="6FC5F70F">
            <w:pPr>
              <w:spacing w:line="300" w:lineRule="exact"/>
              <w:ind w:firstLine="420" w:firstLineChars="200"/>
              <w:rPr>
                <w:bCs/>
              </w:rPr>
            </w:pPr>
            <w:r>
              <w:rPr>
                <w:bCs/>
              </w:rPr>
              <w:t>①在总图布置中，考虑各建筑物的防火间距，安全疏散以及自然条件等方面的问题，确保其符合国家的有关规定。完善相关消防设施，严格划分生产区和储存区。企业按照《建筑设计防火规范》（GB50016-2014）和《工业企业总平面布置设计规范》（GB51087-2012）等规范要求进行设计。</w:t>
            </w:r>
          </w:p>
          <w:p w14:paraId="3F2D6FC7">
            <w:pPr>
              <w:spacing w:line="300" w:lineRule="exact"/>
              <w:ind w:firstLine="420" w:firstLineChars="200"/>
              <w:rPr>
                <w:bCs/>
              </w:rPr>
            </w:pPr>
            <w:r>
              <w:rPr>
                <w:bCs/>
              </w:rPr>
              <w:t>②配电室的结构、基础应根据水文地理状况进行建设，符合安全规定，预防遭大水淹没，引起电器短路事故。各车间、仓库设立消防水收集管道收集消防废水。</w:t>
            </w:r>
          </w:p>
          <w:p w14:paraId="00607D90">
            <w:pPr>
              <w:spacing w:line="300" w:lineRule="exact"/>
              <w:ind w:firstLine="420" w:firstLineChars="200"/>
              <w:rPr>
                <w:bCs/>
              </w:rPr>
            </w:pPr>
            <w:r>
              <w:rPr>
                <w:bCs/>
              </w:rPr>
              <w:t>③生产装置的供电、供水等公用设施必须加强日常管理，确保满足正常生产和事故状态下的要求。</w:t>
            </w:r>
          </w:p>
          <w:p w14:paraId="06954730">
            <w:pPr>
              <w:spacing w:line="300" w:lineRule="exact"/>
              <w:ind w:firstLine="420" w:firstLineChars="200"/>
              <w:rPr>
                <w:bCs/>
              </w:rPr>
            </w:pPr>
            <w:r>
              <w:rPr>
                <w:bCs/>
              </w:rPr>
              <w:t>④企业要加强消防安全管理，开展好消防安全检查和消防安全宣传教育，加强消防安全培训，建立健全各项消防安全制度，落实消防安全责任，提高职工的消防素质，按规范配置灭火器材和消防装备。</w:t>
            </w:r>
          </w:p>
          <w:p w14:paraId="185BD882">
            <w:pPr>
              <w:spacing w:line="300" w:lineRule="exact"/>
              <w:ind w:firstLine="420" w:firstLineChars="200"/>
              <w:rPr>
                <w:bCs/>
              </w:rPr>
            </w:pPr>
            <w:r>
              <w:rPr>
                <w:bCs/>
              </w:rPr>
              <w:t>⑤规范上述风险物质的使用及储存，严格按照安全规范要求组织生产，定期对储罐及相应的管道进行巡检，风险物质所在区域进行围堰的设置和重点防渗硬化。</w:t>
            </w:r>
          </w:p>
          <w:p w14:paraId="4C2497B0">
            <w:pPr>
              <w:spacing w:line="300" w:lineRule="exact"/>
              <w:ind w:firstLine="420" w:firstLineChars="200"/>
              <w:rPr>
                <w:bCs/>
              </w:rPr>
            </w:pPr>
            <w:r>
              <w:rPr>
                <w:bCs/>
              </w:rPr>
              <w:t>⑥为预防事故的发生，应成立应急事故领导小组。</w:t>
            </w:r>
          </w:p>
          <w:p w14:paraId="48FFFDF9">
            <w:pPr>
              <w:spacing w:line="300" w:lineRule="exact"/>
              <w:ind w:firstLine="420" w:firstLineChars="200"/>
              <w:rPr>
                <w:rFonts w:hint="eastAsia" w:eastAsia="宋体"/>
                <w:bCs/>
                <w:lang w:eastAsia="zh-CN"/>
              </w:rPr>
            </w:pPr>
            <w:r>
              <w:rPr>
                <w:bCs/>
              </w:rPr>
              <w:t>⑦编制突发环境事件应急预案，包括预案适用范围、环境事件分类与分级、组织机构与职责、监控和预警、应急响应、应急保障、善后处置、预案管理与演练等内容。应急预案应体现分级响应、区域联动的原则，与地方政府突发环境事件应急预案相衔接，明确分级响应程序</w:t>
            </w:r>
            <w:r>
              <w:rPr>
                <w:rFonts w:hint="eastAsia"/>
                <w:bCs/>
                <w:lang w:eastAsia="zh-CN"/>
              </w:rPr>
              <w:t>。</w:t>
            </w:r>
          </w:p>
        </w:tc>
      </w:tr>
      <w:tr w14:paraId="7C181A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76" w:hRule="atLeast"/>
          <w:jc w:val="center"/>
        </w:trPr>
        <w:tc>
          <w:tcPr>
            <w:tcW w:w="1255" w:type="dxa"/>
            <w:vAlign w:val="center"/>
          </w:tcPr>
          <w:p w14:paraId="67081885">
            <w:pPr>
              <w:adjustRightInd w:val="0"/>
              <w:snapToGrid w:val="0"/>
              <w:spacing w:line="300" w:lineRule="exact"/>
              <w:jc w:val="center"/>
              <w:rPr>
                <w:spacing w:val="-8"/>
              </w:rPr>
            </w:pPr>
            <w:r>
              <w:rPr>
                <w:spacing w:val="-8"/>
              </w:rPr>
              <w:t>其他环境</w:t>
            </w:r>
          </w:p>
          <w:p w14:paraId="4C231EA7">
            <w:pPr>
              <w:adjustRightInd w:val="0"/>
              <w:snapToGrid w:val="0"/>
              <w:spacing w:line="300" w:lineRule="exact"/>
              <w:jc w:val="center"/>
              <w:rPr>
                <w:spacing w:val="-8"/>
              </w:rPr>
            </w:pPr>
            <w:r>
              <w:rPr>
                <w:spacing w:val="-8"/>
              </w:rPr>
              <w:t>管理要求</w:t>
            </w:r>
          </w:p>
        </w:tc>
        <w:tc>
          <w:tcPr>
            <w:tcW w:w="7547" w:type="dxa"/>
            <w:gridSpan w:val="4"/>
            <w:vAlign w:val="center"/>
          </w:tcPr>
          <w:p w14:paraId="6A39F5ED">
            <w:pPr>
              <w:adjustRightInd w:val="0"/>
              <w:snapToGrid w:val="0"/>
              <w:spacing w:line="300" w:lineRule="exact"/>
              <w:ind w:firstLine="420" w:firstLineChars="200"/>
            </w:pPr>
          </w:p>
          <w:p w14:paraId="398A8AE5">
            <w:pPr>
              <w:adjustRightInd w:val="0"/>
              <w:snapToGrid w:val="0"/>
              <w:spacing w:line="300" w:lineRule="exact"/>
              <w:ind w:firstLine="420" w:firstLineChars="200"/>
            </w:pPr>
          </w:p>
          <w:p w14:paraId="4451A69D">
            <w:pPr>
              <w:adjustRightInd w:val="0"/>
              <w:snapToGrid w:val="0"/>
              <w:spacing w:line="300" w:lineRule="exact"/>
              <w:ind w:firstLine="420" w:firstLineChars="200"/>
            </w:pPr>
          </w:p>
          <w:p w14:paraId="2BFF3170">
            <w:pPr>
              <w:adjustRightInd w:val="0"/>
              <w:snapToGrid w:val="0"/>
              <w:spacing w:line="300" w:lineRule="exact"/>
              <w:ind w:firstLine="420" w:firstLineChars="200"/>
            </w:pPr>
          </w:p>
          <w:p w14:paraId="2691B585">
            <w:pPr>
              <w:adjustRightInd w:val="0"/>
              <w:snapToGrid w:val="0"/>
              <w:spacing w:line="300" w:lineRule="exact"/>
              <w:ind w:firstLine="420" w:firstLineChars="200"/>
            </w:pPr>
          </w:p>
          <w:p w14:paraId="46040859">
            <w:pPr>
              <w:adjustRightInd w:val="0"/>
              <w:snapToGrid w:val="0"/>
              <w:spacing w:line="300" w:lineRule="exact"/>
              <w:ind w:firstLine="420" w:firstLineChars="200"/>
            </w:pPr>
          </w:p>
          <w:p w14:paraId="63F41B07">
            <w:pPr>
              <w:adjustRightInd w:val="0"/>
              <w:snapToGrid w:val="0"/>
              <w:spacing w:line="300" w:lineRule="exact"/>
              <w:ind w:firstLine="420" w:firstLineChars="200"/>
            </w:pPr>
          </w:p>
          <w:p w14:paraId="2082E5AD">
            <w:pPr>
              <w:adjustRightInd w:val="0"/>
              <w:snapToGrid w:val="0"/>
              <w:spacing w:line="300" w:lineRule="exact"/>
              <w:ind w:firstLine="420" w:firstLineChars="200"/>
            </w:pPr>
          </w:p>
          <w:p w14:paraId="126CBF42">
            <w:pPr>
              <w:adjustRightInd w:val="0"/>
              <w:snapToGrid w:val="0"/>
              <w:spacing w:line="300" w:lineRule="exact"/>
              <w:ind w:firstLine="420" w:firstLineChars="200"/>
            </w:pPr>
          </w:p>
          <w:p w14:paraId="1BF301FC">
            <w:pPr>
              <w:adjustRightInd w:val="0"/>
              <w:snapToGrid w:val="0"/>
              <w:spacing w:line="300" w:lineRule="exact"/>
              <w:ind w:firstLine="420" w:firstLineChars="200"/>
            </w:pPr>
          </w:p>
          <w:p w14:paraId="13A19E5D">
            <w:pPr>
              <w:adjustRightInd w:val="0"/>
              <w:snapToGrid w:val="0"/>
              <w:spacing w:line="300" w:lineRule="exact"/>
              <w:ind w:firstLine="420" w:firstLineChars="200"/>
            </w:pPr>
          </w:p>
          <w:p w14:paraId="7344C04F">
            <w:pPr>
              <w:adjustRightInd w:val="0"/>
              <w:snapToGrid w:val="0"/>
              <w:spacing w:line="300" w:lineRule="exact"/>
              <w:ind w:firstLine="420" w:firstLineChars="200"/>
            </w:pPr>
          </w:p>
          <w:p w14:paraId="22FDE0F3">
            <w:pPr>
              <w:adjustRightInd w:val="0"/>
              <w:snapToGrid w:val="0"/>
              <w:spacing w:line="300" w:lineRule="exact"/>
              <w:ind w:firstLine="420" w:firstLineChars="200"/>
            </w:pPr>
            <w:r>
              <w:t>①严格按照国家有关建设项目环保管理规定，各类污染物的排放应执行本次环评规定的标准。</w:t>
            </w:r>
          </w:p>
          <w:p w14:paraId="28FD17DB">
            <w:pPr>
              <w:adjustRightInd w:val="0"/>
              <w:snapToGrid w:val="0"/>
              <w:spacing w:line="300" w:lineRule="exact"/>
              <w:ind w:firstLine="420" w:firstLineChars="200"/>
            </w:pPr>
            <w:r>
              <w:t>②确保所用原辅材料为符合环保要求的产品。</w:t>
            </w:r>
          </w:p>
          <w:p w14:paraId="46B2427A">
            <w:pPr>
              <w:adjustRightInd w:val="0"/>
              <w:snapToGrid w:val="0"/>
              <w:spacing w:line="300" w:lineRule="exact"/>
              <w:ind w:firstLine="420" w:firstLineChars="200"/>
            </w:pPr>
            <w:r>
              <w:t>③对涉及风险物质设施定期检查，确定其可以长期稳定运行。</w:t>
            </w:r>
          </w:p>
          <w:p w14:paraId="576E1152">
            <w:pPr>
              <w:adjustRightInd w:val="0"/>
              <w:snapToGrid w:val="0"/>
              <w:spacing w:line="300" w:lineRule="exact"/>
              <w:ind w:firstLine="420" w:firstLineChars="200"/>
            </w:pPr>
            <w:r>
              <w:t>④加强职工宣传教育，制定环保管理制度并严格执行。</w:t>
            </w:r>
          </w:p>
          <w:p w14:paraId="6E87A262">
            <w:pPr>
              <w:adjustRightInd w:val="0"/>
              <w:snapToGrid w:val="0"/>
              <w:spacing w:line="300" w:lineRule="exact"/>
              <w:ind w:firstLine="420" w:firstLineChars="200"/>
            </w:pPr>
            <w:r>
              <w:t>⑤严格按照环评要求进行例行监测。</w:t>
            </w:r>
          </w:p>
          <w:p w14:paraId="349A3C43">
            <w:pPr>
              <w:adjustRightInd w:val="0"/>
              <w:snapToGrid w:val="0"/>
              <w:spacing w:line="240" w:lineRule="exact"/>
              <w:ind w:firstLine="420" w:firstLineChars="200"/>
            </w:pPr>
            <w:r>
              <w:t>⑥本项目</w:t>
            </w:r>
            <w:r>
              <w:rPr>
                <w:rFonts w:hint="eastAsia"/>
                <w:lang w:eastAsia="zh-CN"/>
              </w:rPr>
              <w:t>建设完成后产生实际排污前，需取得固定污染源排污登记回执</w:t>
            </w:r>
            <w:r>
              <w:t>。</w:t>
            </w:r>
          </w:p>
          <w:p w14:paraId="09A7456F">
            <w:pPr>
              <w:adjustRightInd w:val="0"/>
              <w:snapToGrid w:val="0"/>
              <w:spacing w:line="300" w:lineRule="exact"/>
              <w:ind w:firstLine="420" w:firstLineChars="200"/>
            </w:pPr>
            <w:r>
              <w:t>⑦严格执行环保“三同时”制度，确保各项环保措施落实到位，企业运用后需自行开展环境保护竣工验收，验收时环保设施处理效果及相关管理参数不得低于环评中相关参数要求</w:t>
            </w:r>
            <w:r>
              <w:rPr>
                <w:rFonts w:hint="eastAsia"/>
              </w:rPr>
              <w:t>。</w:t>
            </w:r>
          </w:p>
          <w:p w14:paraId="58D4F38C">
            <w:pPr>
              <w:adjustRightInd w:val="0"/>
              <w:snapToGrid w:val="0"/>
              <w:spacing w:line="300" w:lineRule="exact"/>
              <w:ind w:firstLine="420" w:firstLineChars="200"/>
              <w:rPr>
                <w:color w:val="auto"/>
              </w:rPr>
            </w:pPr>
            <w:r>
              <w:rPr>
                <w:rFonts w:hint="eastAsia" w:ascii="宋体" w:hAnsi="宋体" w:cs="宋体"/>
                <w:color w:val="auto"/>
              </w:rPr>
              <w:t>⑧</w:t>
            </w:r>
            <w:r>
              <w:rPr>
                <w:color w:val="auto"/>
              </w:rPr>
              <w:t>根据《排污单位自行监测技术指南 总则》（HJ819-2017）</w:t>
            </w:r>
            <w:r>
              <w:rPr>
                <w:rFonts w:hint="eastAsia"/>
                <w:color w:val="auto"/>
              </w:rPr>
              <w:t>、</w:t>
            </w:r>
            <w:r>
              <w:rPr>
                <w:rFonts w:hint="eastAsia"/>
                <w:color w:val="auto"/>
                <w:lang w:eastAsia="zh-CN"/>
              </w:rPr>
              <w:t>《</w:t>
            </w:r>
            <w:r>
              <w:rPr>
                <w:rFonts w:hint="eastAsia"/>
                <w:color w:val="auto"/>
              </w:rPr>
              <w:fldChar w:fldCharType="begin"/>
            </w:r>
            <w:r>
              <w:rPr>
                <w:rFonts w:hint="eastAsia"/>
                <w:color w:val="auto"/>
              </w:rPr>
              <w:instrText xml:space="preserve"> HYPERLINK "https://www.mee.gov.cn/ywgz/fgbz/bz/bzwb/jcffbz/202112/W020211206547863741730.pdf" </w:instrText>
            </w:r>
            <w:r>
              <w:rPr>
                <w:rFonts w:hint="eastAsia"/>
                <w:color w:val="auto"/>
              </w:rPr>
              <w:fldChar w:fldCharType="separate"/>
            </w:r>
            <w:r>
              <w:rPr>
                <w:rFonts w:hint="eastAsia"/>
                <w:color w:val="auto"/>
              </w:rPr>
              <w:t>排污单位自行监测技术指南 橡胶和塑料制品</w:t>
            </w:r>
            <w:r>
              <w:rPr>
                <w:rFonts w:hint="eastAsia"/>
                <w:color w:val="auto"/>
                <w:lang w:eastAsia="zh-CN"/>
              </w:rPr>
              <w:t>》</w:t>
            </w:r>
            <w:r>
              <w:rPr>
                <w:rFonts w:hint="eastAsia"/>
                <w:color w:val="auto"/>
              </w:rPr>
              <w:t>（HJ 1207—2021）</w:t>
            </w:r>
            <w:r>
              <w:rPr>
                <w:rFonts w:hint="eastAsia"/>
                <w:color w:val="auto"/>
              </w:rPr>
              <w:fldChar w:fldCharType="end"/>
            </w:r>
            <w:r>
              <w:rPr>
                <w:rFonts w:hint="eastAsia"/>
                <w:color w:val="auto"/>
                <w:lang w:eastAsia="zh-CN"/>
              </w:rPr>
              <w:t>、</w:t>
            </w:r>
            <w:r>
              <w:rPr>
                <w:rFonts w:hint="default" w:ascii="Times New Roman" w:hAnsi="Times New Roman" w:eastAsia="宋体" w:cs="Times New Roman"/>
                <w:color w:val="auto"/>
              </w:rPr>
              <w:t>《排污单位自行监测技术指南 涂装》（HJ1086-2017）</w:t>
            </w:r>
            <w:r>
              <w:rPr>
                <w:color w:val="auto"/>
              </w:rPr>
              <w:t>的要求，针对拟建项目所排污染物情况，设置监测计划，按照要求规范采样平台和采样点设置。</w:t>
            </w:r>
          </w:p>
          <w:p w14:paraId="2A298417">
            <w:pPr>
              <w:adjustRightInd w:val="0"/>
              <w:snapToGrid w:val="0"/>
              <w:spacing w:line="300" w:lineRule="exact"/>
              <w:ind w:firstLine="420" w:firstLineChars="200"/>
              <w:rPr>
                <w:color w:val="auto"/>
              </w:rPr>
            </w:pPr>
          </w:p>
          <w:p w14:paraId="1F886518">
            <w:pPr>
              <w:adjustRightInd w:val="0"/>
              <w:snapToGrid w:val="0"/>
              <w:spacing w:line="300" w:lineRule="exact"/>
              <w:ind w:firstLine="420" w:firstLineChars="200"/>
              <w:rPr>
                <w:color w:val="auto"/>
              </w:rPr>
            </w:pPr>
          </w:p>
          <w:p w14:paraId="23C8832E">
            <w:pPr>
              <w:adjustRightInd w:val="0"/>
              <w:snapToGrid w:val="0"/>
              <w:spacing w:line="300" w:lineRule="exact"/>
              <w:ind w:firstLine="420" w:firstLineChars="200"/>
              <w:rPr>
                <w:color w:val="auto"/>
              </w:rPr>
            </w:pPr>
          </w:p>
          <w:p w14:paraId="0026A65C">
            <w:pPr>
              <w:adjustRightInd w:val="0"/>
              <w:snapToGrid w:val="0"/>
              <w:spacing w:line="300" w:lineRule="exact"/>
              <w:ind w:firstLine="420" w:firstLineChars="200"/>
              <w:rPr>
                <w:color w:val="auto"/>
              </w:rPr>
            </w:pPr>
          </w:p>
          <w:p w14:paraId="0B50BFE1">
            <w:pPr>
              <w:adjustRightInd w:val="0"/>
              <w:snapToGrid w:val="0"/>
              <w:spacing w:line="300" w:lineRule="exact"/>
              <w:ind w:firstLine="420" w:firstLineChars="200"/>
              <w:rPr>
                <w:color w:val="auto"/>
              </w:rPr>
            </w:pPr>
          </w:p>
          <w:p w14:paraId="190003FE">
            <w:pPr>
              <w:adjustRightInd w:val="0"/>
              <w:snapToGrid w:val="0"/>
              <w:spacing w:line="300" w:lineRule="exact"/>
              <w:ind w:firstLine="420" w:firstLineChars="200"/>
              <w:rPr>
                <w:color w:val="auto"/>
              </w:rPr>
            </w:pPr>
          </w:p>
          <w:p w14:paraId="2F9383F6">
            <w:pPr>
              <w:adjustRightInd w:val="0"/>
              <w:snapToGrid w:val="0"/>
              <w:spacing w:line="300" w:lineRule="exact"/>
              <w:ind w:firstLine="420" w:firstLineChars="200"/>
              <w:rPr>
                <w:color w:val="auto"/>
              </w:rPr>
            </w:pPr>
          </w:p>
          <w:p w14:paraId="5CD0C5D7">
            <w:pPr>
              <w:adjustRightInd w:val="0"/>
              <w:snapToGrid w:val="0"/>
              <w:spacing w:line="300" w:lineRule="exact"/>
              <w:ind w:firstLine="420" w:firstLineChars="200"/>
              <w:rPr>
                <w:color w:val="auto"/>
              </w:rPr>
            </w:pPr>
          </w:p>
          <w:p w14:paraId="483EF0C8">
            <w:pPr>
              <w:adjustRightInd w:val="0"/>
              <w:snapToGrid w:val="0"/>
              <w:spacing w:line="300" w:lineRule="exact"/>
              <w:ind w:firstLine="420" w:firstLineChars="200"/>
              <w:rPr>
                <w:color w:val="auto"/>
              </w:rPr>
            </w:pPr>
          </w:p>
          <w:p w14:paraId="6144FD16">
            <w:pPr>
              <w:adjustRightInd w:val="0"/>
              <w:snapToGrid w:val="0"/>
              <w:spacing w:line="300" w:lineRule="exact"/>
              <w:ind w:firstLine="420" w:firstLineChars="200"/>
              <w:rPr>
                <w:color w:val="auto"/>
              </w:rPr>
            </w:pPr>
          </w:p>
          <w:p w14:paraId="5D2A1FD9">
            <w:pPr>
              <w:adjustRightInd w:val="0"/>
              <w:snapToGrid w:val="0"/>
              <w:spacing w:line="300" w:lineRule="exact"/>
              <w:ind w:firstLine="420" w:firstLineChars="200"/>
              <w:rPr>
                <w:color w:val="auto"/>
              </w:rPr>
            </w:pPr>
          </w:p>
          <w:p w14:paraId="5F2D6193">
            <w:pPr>
              <w:adjustRightInd w:val="0"/>
              <w:snapToGrid w:val="0"/>
              <w:spacing w:line="300" w:lineRule="exact"/>
              <w:ind w:firstLine="420" w:firstLineChars="200"/>
              <w:rPr>
                <w:color w:val="auto"/>
              </w:rPr>
            </w:pPr>
          </w:p>
        </w:tc>
      </w:tr>
    </w:tbl>
    <w:p w14:paraId="16EFA758">
      <w:pPr>
        <w:pStyle w:val="76"/>
        <w:spacing w:line="420" w:lineRule="exact"/>
        <w:jc w:val="center"/>
        <w:outlineLvl w:val="0"/>
        <w:rPr>
          <w:rFonts w:ascii="Times New Roman" w:hAnsi="Times New Roman" w:eastAsia="黑体"/>
          <w:snapToGrid w:val="0"/>
          <w:sz w:val="30"/>
          <w:szCs w:val="30"/>
        </w:rPr>
      </w:pPr>
      <w:r>
        <w:rPr>
          <w:rFonts w:ascii="Times New Roman" w:hAnsi="Times New Roman"/>
          <w:snapToGrid w:val="0"/>
          <w:color w:val="FF0000"/>
        </w:rPr>
        <w:br w:type="page"/>
      </w:r>
      <w:r>
        <w:rPr>
          <w:rFonts w:ascii="Times New Roman" w:hAnsi="Times New Roman" w:eastAsia="黑体"/>
          <w:snapToGrid w:val="0"/>
          <w:sz w:val="30"/>
          <w:szCs w:val="30"/>
        </w:rPr>
        <w:t>六、结论</w:t>
      </w:r>
    </w:p>
    <w:tbl>
      <w:tblPr>
        <w:tblStyle w:val="81"/>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254D0D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vAlign w:val="center"/>
          </w:tcPr>
          <w:p w14:paraId="3921661D">
            <w:pPr>
              <w:adjustRightInd w:val="0"/>
              <w:snapToGrid w:val="0"/>
              <w:spacing w:line="420" w:lineRule="exact"/>
              <w:ind w:firstLine="420" w:firstLineChars="200"/>
            </w:pPr>
            <w:r>
              <w:t>本项目符合国家产业政策的要求。项目区内的污染物可达标排放；在认真落实各项污染防治措施下，对周围环境影响较小，从环保角度上讲，本项目的建设运营是可行的。</w:t>
            </w:r>
          </w:p>
        </w:tc>
      </w:tr>
    </w:tbl>
    <w:p w14:paraId="4727B191">
      <w:pPr>
        <w:spacing w:line="420" w:lineRule="exact"/>
        <w:rPr>
          <w:color w:val="FF0000"/>
        </w:rPr>
        <w:sectPr>
          <w:pgSz w:w="11906" w:h="16838"/>
          <w:pgMar w:top="1701" w:right="1531" w:bottom="1701" w:left="1531" w:header="851" w:footer="1134" w:gutter="0"/>
          <w:pgNumType w:fmt="decimal"/>
          <w:cols w:space="720" w:num="1"/>
          <w:docGrid w:linePitch="312" w:charSpace="0"/>
        </w:sectPr>
      </w:pPr>
    </w:p>
    <w:p w14:paraId="609ADED4">
      <w:pPr>
        <w:pStyle w:val="76"/>
        <w:adjustRightInd w:val="0"/>
        <w:snapToGrid w:val="0"/>
        <w:spacing w:before="0" w:beforeAutospacing="0" w:after="0" w:afterAutospacing="0" w:line="420" w:lineRule="exact"/>
        <w:outlineLvl w:val="0"/>
        <w:rPr>
          <w:rFonts w:ascii="Times New Roman" w:hAnsi="Times New Roman" w:eastAsia="黑体"/>
          <w:snapToGrid w:val="0"/>
          <w:sz w:val="32"/>
          <w:szCs w:val="32"/>
        </w:rPr>
      </w:pPr>
      <w:r>
        <w:rPr>
          <w:rFonts w:ascii="Times New Roman" w:hAnsi="Times New Roman" w:eastAsia="黑体"/>
          <w:snapToGrid w:val="0"/>
          <w:sz w:val="32"/>
          <w:szCs w:val="32"/>
        </w:rPr>
        <w:t>附表</w:t>
      </w:r>
    </w:p>
    <w:p w14:paraId="787EB2D7">
      <w:pPr>
        <w:pStyle w:val="76"/>
        <w:adjustRightInd w:val="0"/>
        <w:snapToGrid w:val="0"/>
        <w:spacing w:before="0" w:beforeAutospacing="0" w:after="0" w:afterAutospacing="0" w:line="420" w:lineRule="exact"/>
        <w:jc w:val="center"/>
        <w:outlineLvl w:val="0"/>
        <w:rPr>
          <w:rFonts w:ascii="Times New Roman" w:hAnsi="Times New Roman" w:eastAsia="方正小标宋_GBK"/>
          <w:snapToGrid w:val="0"/>
          <w:sz w:val="38"/>
          <w:szCs w:val="38"/>
          <w:highlight w:val="none"/>
        </w:rPr>
      </w:pPr>
      <w:r>
        <w:rPr>
          <w:rFonts w:ascii="Times New Roman" w:hAnsi="Times New Roman" w:eastAsia="方正小标宋_GBK"/>
          <w:snapToGrid w:val="0"/>
          <w:sz w:val="38"/>
          <w:szCs w:val="38"/>
          <w:highlight w:val="none"/>
        </w:rPr>
        <w:t>建设项目污染物排放量汇总表</w:t>
      </w:r>
      <w:r>
        <w:rPr>
          <w:rFonts w:hint="eastAsia" w:ascii="方正小标宋_GBK" w:hAnsi="黑体" w:eastAsia="方正小标宋_GBK"/>
          <w:snapToGrid w:val="0"/>
          <w:sz w:val="38"/>
          <w:szCs w:val="38"/>
          <w:highlight w:val="none"/>
        </w:rPr>
        <w:t>（单位：t/a）</w:t>
      </w:r>
    </w:p>
    <w:tbl>
      <w:tblPr>
        <w:tblStyle w:val="81"/>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418"/>
        <w:gridCol w:w="1701"/>
        <w:gridCol w:w="1427"/>
      </w:tblGrid>
      <w:tr w14:paraId="6298384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0A7EF774">
            <w:pPr>
              <w:pStyle w:val="200"/>
              <w:spacing w:beforeLines="0" w:afterLines="0" w:line="240" w:lineRule="auto"/>
              <w:jc w:val="right"/>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项目</w:t>
            </w:r>
          </w:p>
          <w:p w14:paraId="52CC3863">
            <w:pPr>
              <w:pStyle w:val="200"/>
              <w:spacing w:beforeLines="0" w:afterLines="0" w:line="240" w:lineRule="auto"/>
              <w:jc w:val="left"/>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分类</w:t>
            </w:r>
          </w:p>
        </w:tc>
        <w:tc>
          <w:tcPr>
            <w:tcW w:w="1417" w:type="dxa"/>
            <w:tcMar>
              <w:left w:w="28" w:type="dxa"/>
              <w:right w:w="28" w:type="dxa"/>
            </w:tcMar>
            <w:vAlign w:val="center"/>
          </w:tcPr>
          <w:p w14:paraId="7D98C7E7">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污染物名称</w:t>
            </w:r>
          </w:p>
        </w:tc>
        <w:tc>
          <w:tcPr>
            <w:tcW w:w="1701" w:type="dxa"/>
            <w:tcMar>
              <w:left w:w="28" w:type="dxa"/>
              <w:right w:w="28" w:type="dxa"/>
            </w:tcMar>
            <w:vAlign w:val="center"/>
          </w:tcPr>
          <w:p w14:paraId="4CD87AC0">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11E11937">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①</w:t>
            </w:r>
            <w:r>
              <w:rPr>
                <w:rFonts w:hint="default" w:ascii="Times New Roman" w:hAnsi="Times New Roman" w:eastAsia="宋体" w:cs="Times New Roman"/>
                <w:snapToGrid w:val="0"/>
                <w:color w:val="auto"/>
                <w:spacing w:val="-6"/>
                <w:kern w:val="21"/>
                <w:sz w:val="21"/>
                <w:szCs w:val="21"/>
                <w:highlight w:val="none"/>
              </w:rPr>
              <w:fldChar w:fldCharType="end"/>
            </w:r>
          </w:p>
        </w:tc>
        <w:tc>
          <w:tcPr>
            <w:tcW w:w="1276" w:type="dxa"/>
            <w:tcMar>
              <w:left w:w="28" w:type="dxa"/>
              <w:right w:w="28" w:type="dxa"/>
            </w:tcMar>
            <w:vAlign w:val="center"/>
          </w:tcPr>
          <w:p w14:paraId="52AD65D6">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现有工程</w:t>
            </w:r>
          </w:p>
          <w:p w14:paraId="01187C95">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许可排放量</w:t>
            </w:r>
          </w:p>
          <w:p w14:paraId="571B6474">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2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snapToGrid w:val="0"/>
                <w:color w:val="auto"/>
                <w:spacing w:val="-6"/>
                <w:kern w:val="21"/>
                <w:sz w:val="21"/>
                <w:szCs w:val="21"/>
                <w:highlight w:val="none"/>
              </w:rPr>
              <w:t>②</w:t>
            </w:r>
            <w:r>
              <w:rPr>
                <w:rFonts w:hint="default" w:ascii="Times New Roman" w:hAnsi="Times New Roman" w:eastAsia="宋体" w:cs="Times New Roman"/>
                <w:snapToGrid w:val="0"/>
                <w:color w:val="auto"/>
                <w:spacing w:val="-6"/>
                <w:kern w:val="21"/>
                <w:sz w:val="21"/>
                <w:szCs w:val="21"/>
                <w:highlight w:val="none"/>
              </w:rPr>
              <w:fldChar w:fldCharType="end"/>
            </w:r>
          </w:p>
        </w:tc>
        <w:tc>
          <w:tcPr>
            <w:tcW w:w="1701" w:type="dxa"/>
            <w:tcMar>
              <w:left w:w="28" w:type="dxa"/>
              <w:right w:w="28" w:type="dxa"/>
            </w:tcMar>
            <w:vAlign w:val="center"/>
          </w:tcPr>
          <w:p w14:paraId="412BB6CC">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在建工程</w:t>
            </w:r>
          </w:p>
          <w:p w14:paraId="40F4D93F">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③</w:t>
            </w:r>
            <w:r>
              <w:rPr>
                <w:rFonts w:hint="default" w:ascii="Times New Roman" w:hAnsi="Times New Roman" w:eastAsia="宋体" w:cs="Times New Roman"/>
                <w:snapToGrid w:val="0"/>
                <w:color w:val="auto"/>
                <w:spacing w:val="-6"/>
                <w:kern w:val="21"/>
                <w:sz w:val="21"/>
                <w:szCs w:val="21"/>
                <w:highlight w:val="none"/>
              </w:rPr>
              <w:fldChar w:fldCharType="end"/>
            </w:r>
          </w:p>
        </w:tc>
        <w:tc>
          <w:tcPr>
            <w:tcW w:w="1559" w:type="dxa"/>
            <w:tcMar>
              <w:left w:w="28" w:type="dxa"/>
              <w:right w:w="28" w:type="dxa"/>
            </w:tcMar>
            <w:vAlign w:val="center"/>
          </w:tcPr>
          <w:p w14:paraId="4479DFF2">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本项目</w:t>
            </w:r>
          </w:p>
          <w:p w14:paraId="35F9DC23">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排放量（固体废物产生量）</w:t>
            </w: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④</w:t>
            </w:r>
            <w:r>
              <w:rPr>
                <w:rFonts w:hint="default" w:ascii="Times New Roman" w:hAnsi="Times New Roman" w:eastAsia="宋体" w:cs="Times New Roman"/>
                <w:snapToGrid w:val="0"/>
                <w:color w:val="auto"/>
                <w:spacing w:val="-6"/>
                <w:kern w:val="21"/>
                <w:sz w:val="21"/>
                <w:szCs w:val="21"/>
                <w:highlight w:val="none"/>
              </w:rPr>
              <w:fldChar w:fldCharType="end"/>
            </w:r>
          </w:p>
        </w:tc>
        <w:tc>
          <w:tcPr>
            <w:tcW w:w="1418" w:type="dxa"/>
            <w:tcMar>
              <w:left w:w="28" w:type="dxa"/>
              <w:right w:w="28" w:type="dxa"/>
            </w:tcMar>
            <w:vAlign w:val="center"/>
          </w:tcPr>
          <w:p w14:paraId="52DF37E3">
            <w:pPr>
              <w:pStyle w:val="200"/>
              <w:spacing w:beforeLines="0" w:afterLines="0" w:line="240" w:lineRule="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以新带老削减量</w:t>
            </w:r>
          </w:p>
          <w:p w14:paraId="6FD5721F">
            <w:pPr>
              <w:pStyle w:val="200"/>
              <w:spacing w:beforeLines="0" w:afterLines="0" w:line="240" w:lineRule="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（新建项目不填）</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⑤</w:t>
            </w:r>
            <w:r>
              <w:rPr>
                <w:rFonts w:hint="default" w:ascii="Times New Roman" w:hAnsi="Times New Roman" w:eastAsia="宋体" w:cs="Times New Roman"/>
                <w:snapToGrid w:val="0"/>
                <w:color w:val="auto"/>
                <w:spacing w:val="-16"/>
                <w:kern w:val="21"/>
                <w:sz w:val="21"/>
                <w:szCs w:val="21"/>
                <w:highlight w:val="none"/>
              </w:rPr>
              <w:fldChar w:fldCharType="end"/>
            </w:r>
          </w:p>
        </w:tc>
        <w:tc>
          <w:tcPr>
            <w:tcW w:w="1701" w:type="dxa"/>
            <w:tcMar>
              <w:left w:w="28" w:type="dxa"/>
              <w:right w:w="28" w:type="dxa"/>
            </w:tcMar>
            <w:vAlign w:val="center"/>
          </w:tcPr>
          <w:p w14:paraId="0CE3CF36">
            <w:pPr>
              <w:pStyle w:val="200"/>
              <w:spacing w:beforeLines="0" w:afterLines="0" w:line="240" w:lineRule="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本项目建成后</w:t>
            </w:r>
          </w:p>
          <w:p w14:paraId="3FC45D0C">
            <w:pPr>
              <w:pStyle w:val="200"/>
              <w:spacing w:beforeLines="0" w:afterLines="0" w:line="240" w:lineRule="auto"/>
              <w:rPr>
                <w:rFonts w:hint="default" w:ascii="Times New Roman" w:hAnsi="Times New Roman" w:eastAsia="宋体" w:cs="Times New Roman"/>
                <w:snapToGrid w:val="0"/>
                <w:color w:val="auto"/>
                <w:spacing w:val="-16"/>
                <w:kern w:val="21"/>
                <w:sz w:val="21"/>
                <w:szCs w:val="21"/>
                <w:highlight w:val="none"/>
              </w:rPr>
            </w:pPr>
            <w:r>
              <w:rPr>
                <w:rFonts w:hint="default" w:ascii="Times New Roman" w:hAnsi="Times New Roman" w:eastAsia="宋体" w:cs="Times New Roman"/>
                <w:snapToGrid w:val="0"/>
                <w:color w:val="auto"/>
                <w:spacing w:val="-16"/>
                <w:kern w:val="21"/>
                <w:sz w:val="21"/>
                <w:szCs w:val="21"/>
                <w:highlight w:val="none"/>
              </w:rPr>
              <w:t>全厂排放量（固体废物产生量）</w:t>
            </w:r>
            <w:r>
              <w:rPr>
                <w:rFonts w:hint="default" w:ascii="Times New Roman" w:hAnsi="Times New Roman" w:eastAsia="宋体" w:cs="Times New Roman"/>
                <w:snapToGrid w:val="0"/>
                <w:color w:val="auto"/>
                <w:spacing w:val="-16"/>
                <w:kern w:val="21"/>
                <w:sz w:val="21"/>
                <w:szCs w:val="21"/>
                <w:highlight w:val="none"/>
              </w:rPr>
              <w:fldChar w:fldCharType="begin"/>
            </w:r>
            <w:r>
              <w:rPr>
                <w:rFonts w:hint="default" w:ascii="Times New Roman" w:hAnsi="Times New Roman" w:eastAsia="宋体" w:cs="Times New Roman"/>
                <w:snapToGrid w:val="0"/>
                <w:color w:val="auto"/>
                <w:spacing w:val="-16"/>
                <w:kern w:val="21"/>
                <w:sz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⑥</w:t>
            </w:r>
            <w:r>
              <w:rPr>
                <w:rFonts w:hint="default" w:ascii="Times New Roman" w:hAnsi="Times New Roman" w:eastAsia="宋体" w:cs="Times New Roman"/>
                <w:snapToGrid w:val="0"/>
                <w:color w:val="auto"/>
                <w:spacing w:val="-16"/>
                <w:kern w:val="21"/>
                <w:sz w:val="21"/>
                <w:szCs w:val="21"/>
                <w:highlight w:val="none"/>
              </w:rPr>
              <w:fldChar w:fldCharType="end"/>
            </w:r>
          </w:p>
        </w:tc>
        <w:tc>
          <w:tcPr>
            <w:tcW w:w="1427" w:type="dxa"/>
            <w:tcMar>
              <w:left w:w="28" w:type="dxa"/>
              <w:right w:w="28" w:type="dxa"/>
            </w:tcMar>
            <w:vAlign w:val="center"/>
          </w:tcPr>
          <w:p w14:paraId="755E7F09">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t>变化量</w:t>
            </w:r>
          </w:p>
          <w:p w14:paraId="55EB31A5">
            <w:pPr>
              <w:pStyle w:val="200"/>
              <w:spacing w:beforeLines="0" w:afterLines="0" w:line="240" w:lineRule="auto"/>
              <w:rPr>
                <w:rFonts w:hint="default" w:ascii="Times New Roman" w:hAnsi="Times New Roman" w:eastAsia="宋体" w:cs="Times New Roman"/>
                <w:snapToGrid w:val="0"/>
                <w:color w:val="auto"/>
                <w:spacing w:val="-6"/>
                <w:kern w:val="21"/>
                <w:sz w:val="21"/>
                <w:szCs w:val="21"/>
                <w:highlight w:val="none"/>
              </w:rPr>
            </w:pPr>
            <w:r>
              <w:rPr>
                <w:rFonts w:hint="default" w:ascii="Times New Roman" w:hAnsi="Times New Roman" w:eastAsia="宋体" w:cs="Times New Roman"/>
                <w:snapToGrid w:val="0"/>
                <w:color w:val="auto"/>
                <w:spacing w:val="-6"/>
                <w:kern w:val="21"/>
                <w:sz w:val="21"/>
                <w:szCs w:val="21"/>
                <w:highlight w:val="none"/>
              </w:rPr>
              <w:fldChar w:fldCharType="begin"/>
            </w:r>
            <w:r>
              <w:rPr>
                <w:rFonts w:hint="default" w:ascii="Times New Roman" w:hAnsi="Times New Roman" w:eastAsia="宋体" w:cs="Times New Roman"/>
                <w:snapToGrid w:val="0"/>
                <w:color w:val="auto"/>
                <w:spacing w:val="-6"/>
                <w:kern w:val="21"/>
                <w:sz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 w:val="21"/>
                <w:szCs w:val="21"/>
                <w:highlight w:val="none"/>
              </w:rPr>
              <w:fldChar w:fldCharType="separate"/>
            </w:r>
            <w:r>
              <w:rPr>
                <w:rFonts w:hint="default" w:ascii="Times New Roman" w:hAnsi="Times New Roman" w:eastAsia="宋体" w:cs="Times New Roman"/>
                <w:color w:val="auto"/>
                <w:kern w:val="2"/>
                <w:sz w:val="21"/>
                <w:szCs w:val="21"/>
                <w:highlight w:val="none"/>
              </w:rPr>
              <w:t>⑦</w:t>
            </w:r>
            <w:r>
              <w:rPr>
                <w:rFonts w:hint="default" w:ascii="Times New Roman" w:hAnsi="Times New Roman" w:eastAsia="宋体" w:cs="Times New Roman"/>
                <w:snapToGrid w:val="0"/>
                <w:color w:val="auto"/>
                <w:spacing w:val="-6"/>
                <w:kern w:val="21"/>
                <w:sz w:val="21"/>
                <w:szCs w:val="21"/>
                <w:highlight w:val="none"/>
              </w:rPr>
              <w:fldChar w:fldCharType="end"/>
            </w:r>
          </w:p>
        </w:tc>
      </w:tr>
      <w:tr w14:paraId="482F85F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58999651">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废气</w:t>
            </w:r>
          </w:p>
        </w:tc>
        <w:tc>
          <w:tcPr>
            <w:tcW w:w="1417" w:type="dxa"/>
            <w:vAlign w:val="center"/>
          </w:tcPr>
          <w:p w14:paraId="6199CA3A">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颗粒物</w:t>
            </w:r>
          </w:p>
        </w:tc>
        <w:tc>
          <w:tcPr>
            <w:tcW w:w="1701" w:type="dxa"/>
            <w:vAlign w:val="center"/>
          </w:tcPr>
          <w:p w14:paraId="15F20BD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b w:val="0"/>
                <w:bCs/>
                <w:color w:val="0C0C0C"/>
                <w:spacing w:val="0"/>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11985D5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41B4630">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45BC725D">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w:t>
            </w:r>
            <w:r>
              <w:rPr>
                <w:rFonts w:hint="eastAsia" w:cs="Times New Roman"/>
                <w:i w:val="0"/>
                <w:iCs w:val="0"/>
                <w:color w:val="000000"/>
                <w:kern w:val="0"/>
                <w:sz w:val="21"/>
                <w:szCs w:val="21"/>
                <w:highlight w:val="none"/>
                <w:u w:val="none"/>
                <w:lang w:val="en-US" w:eastAsia="zh-CN" w:bidi="ar"/>
              </w:rPr>
              <w:t>3623</w:t>
            </w:r>
          </w:p>
        </w:tc>
        <w:tc>
          <w:tcPr>
            <w:tcW w:w="1418" w:type="dxa"/>
            <w:vAlign w:val="center"/>
          </w:tcPr>
          <w:p w14:paraId="33958B34">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214CD97">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w:t>
            </w:r>
            <w:r>
              <w:rPr>
                <w:rFonts w:hint="eastAsia" w:cs="Times New Roman"/>
                <w:i w:val="0"/>
                <w:iCs w:val="0"/>
                <w:color w:val="000000"/>
                <w:kern w:val="0"/>
                <w:sz w:val="21"/>
                <w:szCs w:val="21"/>
                <w:highlight w:val="none"/>
                <w:u w:val="none"/>
                <w:lang w:val="en-US" w:eastAsia="zh-CN" w:bidi="ar"/>
              </w:rPr>
              <w:t>3623</w:t>
            </w:r>
          </w:p>
        </w:tc>
        <w:tc>
          <w:tcPr>
            <w:tcW w:w="1427" w:type="dxa"/>
            <w:vAlign w:val="center"/>
          </w:tcPr>
          <w:p w14:paraId="5EF9C0B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w:t>
            </w:r>
            <w:r>
              <w:rPr>
                <w:rFonts w:hint="eastAsia" w:cs="Times New Roman"/>
                <w:i w:val="0"/>
                <w:iCs w:val="0"/>
                <w:color w:val="000000"/>
                <w:kern w:val="0"/>
                <w:sz w:val="21"/>
                <w:szCs w:val="21"/>
                <w:highlight w:val="none"/>
                <w:u w:val="none"/>
                <w:lang w:val="en-US" w:eastAsia="zh-CN" w:bidi="ar"/>
              </w:rPr>
              <w:t>3623</w:t>
            </w:r>
          </w:p>
        </w:tc>
      </w:tr>
      <w:tr w14:paraId="5907861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C644B03">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0DF27D72">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highlight w:val="none"/>
                <w:vertAlign w:val="baseline"/>
                <w:lang w:val="en-US" w:eastAsia="zh-CN"/>
              </w:rPr>
              <w:t>VOCs</w:t>
            </w:r>
          </w:p>
        </w:tc>
        <w:tc>
          <w:tcPr>
            <w:tcW w:w="1701" w:type="dxa"/>
            <w:vAlign w:val="center"/>
          </w:tcPr>
          <w:p w14:paraId="75FD61A8">
            <w:pPr>
              <w:keepNext w:val="0"/>
              <w:keepLines w:val="0"/>
              <w:widowControl/>
              <w:suppressLineNumbers w:val="0"/>
              <w:jc w:val="center"/>
              <w:textAlignment w:val="center"/>
              <w:rPr>
                <w:rFonts w:hint="default" w:ascii="Times New Roman" w:hAnsi="Times New Roman" w:eastAsia="宋体" w:cs="Times New Roman"/>
                <w:b w:val="0"/>
                <w:bCs/>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11AE2B51">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0E73733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16CA26E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0.4</w:t>
            </w:r>
            <w:r>
              <w:rPr>
                <w:rFonts w:hint="eastAsia" w:cs="Times New Roman"/>
                <w:i w:val="0"/>
                <w:iCs w:val="0"/>
                <w:color w:val="000000"/>
                <w:kern w:val="0"/>
                <w:sz w:val="21"/>
                <w:szCs w:val="21"/>
                <w:highlight w:val="none"/>
                <w:u w:val="none"/>
                <w:lang w:val="en-US" w:eastAsia="zh-CN" w:bidi="ar"/>
              </w:rPr>
              <w:t>623</w:t>
            </w:r>
          </w:p>
        </w:tc>
        <w:tc>
          <w:tcPr>
            <w:tcW w:w="1418" w:type="dxa"/>
            <w:vAlign w:val="center"/>
          </w:tcPr>
          <w:p w14:paraId="08E06265">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28E302E8">
            <w:pPr>
              <w:keepNext w:val="0"/>
              <w:keepLines w:val="0"/>
              <w:widowControl/>
              <w:suppressLineNumbers w:val="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0.4</w:t>
            </w:r>
            <w:r>
              <w:rPr>
                <w:rFonts w:hint="eastAsia" w:cs="Times New Roman"/>
                <w:i w:val="0"/>
                <w:iCs w:val="0"/>
                <w:color w:val="000000"/>
                <w:kern w:val="0"/>
                <w:sz w:val="21"/>
                <w:szCs w:val="21"/>
                <w:highlight w:val="none"/>
                <w:u w:val="none"/>
                <w:lang w:val="en-US" w:eastAsia="zh-CN" w:bidi="ar"/>
              </w:rPr>
              <w:t>623</w:t>
            </w:r>
          </w:p>
        </w:tc>
        <w:tc>
          <w:tcPr>
            <w:tcW w:w="1427" w:type="dxa"/>
            <w:vAlign w:val="center"/>
          </w:tcPr>
          <w:p w14:paraId="050EBD68">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0.4</w:t>
            </w:r>
            <w:r>
              <w:rPr>
                <w:rFonts w:hint="eastAsia" w:cs="Times New Roman"/>
                <w:i w:val="0"/>
                <w:iCs w:val="0"/>
                <w:color w:val="000000"/>
                <w:kern w:val="0"/>
                <w:sz w:val="21"/>
                <w:szCs w:val="21"/>
                <w:highlight w:val="none"/>
                <w:u w:val="none"/>
                <w:lang w:val="en-US" w:eastAsia="zh-CN" w:bidi="ar"/>
              </w:rPr>
              <w:t>623</w:t>
            </w:r>
          </w:p>
        </w:tc>
      </w:tr>
      <w:tr w14:paraId="1B3B05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51F7AC9B">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090C1707">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kern w:val="2"/>
                <w:sz w:val="21"/>
                <w:szCs w:val="21"/>
                <w:highlight w:val="none"/>
                <w:vertAlign w:val="baseline"/>
                <w:lang w:val="en-US" w:eastAsia="zh-CN" w:bidi="ar-SA"/>
              </w:rPr>
            </w:pPr>
            <w:r>
              <w:rPr>
                <w:rFonts w:hint="default" w:ascii="Times New Roman" w:hAnsi="Times New Roman" w:eastAsia="宋体" w:cs="Times New Roman"/>
                <w:bCs/>
                <w:color w:val="000000"/>
                <w:sz w:val="21"/>
                <w:szCs w:val="21"/>
                <w:highlight w:val="none"/>
                <w:vertAlign w:val="baseline"/>
                <w:lang w:val="en-US" w:eastAsia="zh-CN"/>
              </w:rPr>
              <w:t>苯乙烯</w:t>
            </w:r>
          </w:p>
        </w:tc>
        <w:tc>
          <w:tcPr>
            <w:tcW w:w="1701" w:type="dxa"/>
            <w:vAlign w:val="center"/>
          </w:tcPr>
          <w:p w14:paraId="3BB25FDD">
            <w:pPr>
              <w:keepNext w:val="0"/>
              <w:keepLines w:val="0"/>
              <w:widowControl/>
              <w:suppressLineNumbers w:val="0"/>
              <w:jc w:val="center"/>
              <w:textAlignment w:val="center"/>
              <w:rPr>
                <w:rFonts w:hint="default" w:ascii="Times New Roman" w:hAnsi="Times New Roman" w:eastAsia="宋体" w:cs="Times New Roman"/>
                <w:b w:val="0"/>
                <w:bCs/>
                <w:color w:val="auto"/>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2D5E0773">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5024822B">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373FAC41">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0.1607</w:t>
            </w:r>
          </w:p>
        </w:tc>
        <w:tc>
          <w:tcPr>
            <w:tcW w:w="1418" w:type="dxa"/>
            <w:vAlign w:val="center"/>
          </w:tcPr>
          <w:p w14:paraId="24DC2F2A">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3078374">
            <w:pPr>
              <w:keepNext w:val="0"/>
              <w:keepLines w:val="0"/>
              <w:widowControl/>
              <w:suppressLineNumbers w:val="0"/>
              <w:jc w:val="center"/>
              <w:textAlignment w:val="center"/>
              <w:rPr>
                <w:rFonts w:hint="default" w:ascii="Times New Roman" w:hAnsi="Times New Roman" w:eastAsia="宋体" w:cs="Times New Roman"/>
                <w:kern w:val="0"/>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0.1607</w:t>
            </w:r>
          </w:p>
        </w:tc>
        <w:tc>
          <w:tcPr>
            <w:tcW w:w="1427" w:type="dxa"/>
            <w:vAlign w:val="center"/>
          </w:tcPr>
          <w:p w14:paraId="02FB70A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default" w:ascii="Times New Roman" w:hAnsi="Times New Roman" w:eastAsia="宋体" w:cs="Times New Roman"/>
                <w:i w:val="0"/>
                <w:iCs w:val="0"/>
                <w:color w:val="000000"/>
                <w:kern w:val="0"/>
                <w:sz w:val="21"/>
                <w:szCs w:val="21"/>
                <w:highlight w:val="none"/>
                <w:u w:val="none"/>
                <w:lang w:val="en-US" w:eastAsia="zh-CN" w:bidi="ar"/>
              </w:rPr>
              <w:t>0.1607</w:t>
            </w:r>
          </w:p>
        </w:tc>
      </w:tr>
      <w:tr w14:paraId="4B428C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9136CEE">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7351397D">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color w:val="000000"/>
                <w:sz w:val="21"/>
                <w:szCs w:val="21"/>
                <w:highlight w:val="none"/>
                <w:vertAlign w:val="baseline"/>
                <w:lang w:val="en-US" w:eastAsia="zh-CN"/>
              </w:rPr>
            </w:pPr>
            <w:r>
              <w:rPr>
                <w:rFonts w:hint="eastAsia" w:cs="Times New Roman"/>
                <w:bCs/>
                <w:color w:val="000000"/>
                <w:sz w:val="21"/>
                <w:szCs w:val="21"/>
                <w:highlight w:val="none"/>
                <w:vertAlign w:val="baseline"/>
                <w:lang w:val="en-US" w:eastAsia="zh-CN"/>
              </w:rPr>
              <w:t>臭气浓度</w:t>
            </w:r>
          </w:p>
        </w:tc>
        <w:tc>
          <w:tcPr>
            <w:tcW w:w="1701" w:type="dxa"/>
            <w:vAlign w:val="center"/>
          </w:tcPr>
          <w:p w14:paraId="039CF5DC">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276" w:type="dxa"/>
            <w:vAlign w:val="center"/>
          </w:tcPr>
          <w:p w14:paraId="64275CEE">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701" w:type="dxa"/>
            <w:vAlign w:val="center"/>
          </w:tcPr>
          <w:p w14:paraId="6483EDB2">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559" w:type="dxa"/>
            <w:vAlign w:val="center"/>
          </w:tcPr>
          <w:p w14:paraId="3008C40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微量</w:t>
            </w:r>
          </w:p>
        </w:tc>
        <w:tc>
          <w:tcPr>
            <w:tcW w:w="1418" w:type="dxa"/>
            <w:vAlign w:val="center"/>
          </w:tcPr>
          <w:p w14:paraId="44E0E977">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701" w:type="dxa"/>
            <w:vAlign w:val="center"/>
          </w:tcPr>
          <w:p w14:paraId="4312F53E">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微量</w:t>
            </w:r>
          </w:p>
        </w:tc>
        <w:tc>
          <w:tcPr>
            <w:tcW w:w="1427" w:type="dxa"/>
            <w:vAlign w:val="center"/>
          </w:tcPr>
          <w:p w14:paraId="15137D7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highlight w:val="none"/>
                <w:u w:val="none"/>
                <w:lang w:val="en-US" w:eastAsia="zh-CN" w:bidi="ar"/>
              </w:rPr>
            </w:pPr>
            <w:r>
              <w:rPr>
                <w:rFonts w:hint="eastAsia" w:cs="Times New Roman"/>
                <w:i w:val="0"/>
                <w:iCs w:val="0"/>
                <w:color w:val="000000"/>
                <w:kern w:val="0"/>
                <w:sz w:val="21"/>
                <w:szCs w:val="21"/>
                <w:highlight w:val="none"/>
                <w:u w:val="none"/>
                <w:lang w:val="en-US" w:eastAsia="zh-CN" w:bidi="ar"/>
              </w:rPr>
              <w:t>微量</w:t>
            </w:r>
          </w:p>
        </w:tc>
      </w:tr>
      <w:tr w14:paraId="5DBCAF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7A81FCC4">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废水</w:t>
            </w:r>
          </w:p>
        </w:tc>
        <w:tc>
          <w:tcPr>
            <w:tcW w:w="1417" w:type="dxa"/>
            <w:vAlign w:val="center"/>
          </w:tcPr>
          <w:p w14:paraId="054CE2D0">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COD</w:t>
            </w:r>
          </w:p>
        </w:tc>
        <w:tc>
          <w:tcPr>
            <w:tcW w:w="1701" w:type="dxa"/>
            <w:vAlign w:val="center"/>
          </w:tcPr>
          <w:p w14:paraId="749B4739">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205A49C7">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24B2DF1">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03899785">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0.126</w:t>
            </w:r>
          </w:p>
        </w:tc>
        <w:tc>
          <w:tcPr>
            <w:tcW w:w="1418" w:type="dxa"/>
            <w:vAlign w:val="center"/>
          </w:tcPr>
          <w:p w14:paraId="1D52031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2BCC241B">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0.126</w:t>
            </w:r>
          </w:p>
        </w:tc>
        <w:tc>
          <w:tcPr>
            <w:tcW w:w="1427" w:type="dxa"/>
            <w:vAlign w:val="center"/>
          </w:tcPr>
          <w:p w14:paraId="2B96CD80">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0.126</w:t>
            </w:r>
          </w:p>
        </w:tc>
      </w:tr>
      <w:tr w14:paraId="23FEFC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5CFA7F2">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375481F5">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氨氮</w:t>
            </w:r>
          </w:p>
        </w:tc>
        <w:tc>
          <w:tcPr>
            <w:tcW w:w="1701" w:type="dxa"/>
            <w:vAlign w:val="center"/>
          </w:tcPr>
          <w:p w14:paraId="01E80C93">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F3EB42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2DAA90E">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09E02CA2">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0.09</w:t>
            </w:r>
          </w:p>
        </w:tc>
        <w:tc>
          <w:tcPr>
            <w:tcW w:w="1418" w:type="dxa"/>
            <w:vAlign w:val="center"/>
          </w:tcPr>
          <w:p w14:paraId="03D97B98">
            <w:pPr>
              <w:spacing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958D4DC">
            <w:pPr>
              <w:keepNext w:val="0"/>
              <w:keepLines w:val="0"/>
              <w:widowControl/>
              <w:suppressLineNumbers w:val="0"/>
              <w:jc w:val="center"/>
              <w:textAlignment w:val="bottom"/>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i w:val="0"/>
                <w:iCs w:val="0"/>
                <w:color w:val="000000"/>
                <w:kern w:val="0"/>
                <w:sz w:val="21"/>
                <w:szCs w:val="21"/>
                <w:highlight w:val="none"/>
                <w:u w:val="none"/>
                <w:lang w:val="en-US" w:eastAsia="zh-CN" w:bidi="ar"/>
              </w:rPr>
              <w:t>0.09</w:t>
            </w:r>
          </w:p>
        </w:tc>
        <w:tc>
          <w:tcPr>
            <w:tcW w:w="1427" w:type="dxa"/>
            <w:vAlign w:val="center"/>
          </w:tcPr>
          <w:p w14:paraId="7FA728FF">
            <w:pPr>
              <w:keepNext w:val="0"/>
              <w:keepLines w:val="0"/>
              <w:widowControl/>
              <w:suppressLineNumbers w:val="0"/>
              <w:jc w:val="center"/>
              <w:textAlignment w:val="bottom"/>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i w:val="0"/>
                <w:iCs w:val="0"/>
                <w:color w:val="000000"/>
                <w:kern w:val="0"/>
                <w:sz w:val="21"/>
                <w:szCs w:val="21"/>
                <w:highlight w:val="none"/>
                <w:u w:val="none"/>
                <w:lang w:val="en-US" w:eastAsia="zh-CN" w:bidi="ar"/>
              </w:rPr>
              <w:t>0.09</w:t>
            </w:r>
          </w:p>
        </w:tc>
      </w:tr>
      <w:tr w14:paraId="41C678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22416079">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一般工业</w:t>
            </w:r>
          </w:p>
          <w:p w14:paraId="00721E72">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r>
              <w:rPr>
                <w:rFonts w:hint="default" w:ascii="Times New Roman" w:hAnsi="Times New Roman" w:eastAsia="宋体" w:cs="Times New Roman"/>
                <w:snapToGrid w:val="0"/>
                <w:color w:val="auto"/>
                <w:kern w:val="21"/>
                <w:sz w:val="21"/>
                <w:szCs w:val="21"/>
                <w:highlight w:val="none"/>
              </w:rPr>
              <w:t>固体废物</w:t>
            </w:r>
          </w:p>
        </w:tc>
        <w:tc>
          <w:tcPr>
            <w:tcW w:w="1417" w:type="dxa"/>
            <w:vAlign w:val="center"/>
          </w:tcPr>
          <w:p w14:paraId="51B6E13B">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Cs/>
                <w:sz w:val="21"/>
                <w:szCs w:val="21"/>
                <w:highlight w:val="none"/>
                <w:lang w:eastAsia="zh-CN"/>
              </w:rPr>
              <w:t>废金属边角料</w:t>
            </w:r>
          </w:p>
        </w:tc>
        <w:tc>
          <w:tcPr>
            <w:tcW w:w="1701" w:type="dxa"/>
            <w:vAlign w:val="center"/>
          </w:tcPr>
          <w:p w14:paraId="763FBD54">
            <w:pPr>
              <w:keepNext w:val="0"/>
              <w:keepLines w:val="0"/>
              <w:pageBreakBefore w:val="0"/>
              <w:widowControl w:val="0"/>
              <w:suppressLineNumbers w:val="0"/>
              <w:kinsoku/>
              <w:wordWrap/>
              <w:overflowPunct/>
              <w:topLinePunct w:val="0"/>
              <w:autoSpaceDE w:val="0"/>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0C0C0C"/>
                <w:spacing w:val="0"/>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06088011">
            <w:pPr>
              <w:keepNext w:val="0"/>
              <w:keepLines w:val="0"/>
              <w:pageBreakBefore w:val="0"/>
              <w:widowControl w:val="0"/>
              <w:kinsoku/>
              <w:wordWrap/>
              <w:overflowPunct/>
              <w:topLinePunct w:val="0"/>
              <w:bidi w:val="0"/>
              <w:spacing w:beforeLines="0" w:afterLines="0"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7777866B">
            <w:pPr>
              <w:keepNext w:val="0"/>
              <w:keepLines w:val="0"/>
              <w:pageBreakBefore w:val="0"/>
              <w:widowControl w:val="0"/>
              <w:kinsoku/>
              <w:wordWrap/>
              <w:overflowPunct/>
              <w:topLinePunct w:val="0"/>
              <w:bidi w:val="0"/>
              <w:spacing w:line="240" w:lineRule="auto"/>
              <w:jc w:val="center"/>
              <w:textAlignment w:val="auto"/>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5098CBA8">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val="en-US" w:eastAsia="zh-CN"/>
              </w:rPr>
              <w:t>20</w:t>
            </w:r>
          </w:p>
        </w:tc>
        <w:tc>
          <w:tcPr>
            <w:tcW w:w="1418" w:type="dxa"/>
            <w:vAlign w:val="center"/>
          </w:tcPr>
          <w:p w14:paraId="1C6C8711">
            <w:pPr>
              <w:keepNext w:val="0"/>
              <w:keepLines w:val="0"/>
              <w:pageBreakBefore w:val="0"/>
              <w:widowControl w:val="0"/>
              <w:suppressLineNumbers w:val="0"/>
              <w:kinsoku/>
              <w:wordWrap/>
              <w:overflowPunct/>
              <w:topLinePunct w:val="0"/>
              <w:autoSpaceDE w:val="0"/>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2F7DCF9A">
            <w:pPr>
              <w:autoSpaceDE w:val="0"/>
              <w:autoSpaceDN w:val="0"/>
              <w:adjustRightInd w:val="0"/>
              <w:spacing w:line="30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20</w:t>
            </w:r>
          </w:p>
        </w:tc>
        <w:tc>
          <w:tcPr>
            <w:tcW w:w="1427" w:type="dxa"/>
            <w:vAlign w:val="center"/>
          </w:tcPr>
          <w:p w14:paraId="13AA2696">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val="en-US" w:eastAsia="zh-CN"/>
              </w:rPr>
              <w:t>20</w:t>
            </w:r>
          </w:p>
        </w:tc>
      </w:tr>
      <w:tr w14:paraId="706F43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E02D6A1">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4D582578">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eastAsia="zh-CN"/>
              </w:rPr>
              <w:t>废包装</w:t>
            </w:r>
            <w:r>
              <w:rPr>
                <w:rFonts w:hint="eastAsia" w:cs="Times New Roman"/>
                <w:b w:val="0"/>
                <w:bCs w:val="0"/>
                <w:sz w:val="21"/>
                <w:szCs w:val="21"/>
                <w:highlight w:val="none"/>
                <w:lang w:val="en-US" w:eastAsia="zh-CN"/>
              </w:rPr>
              <w:t>物</w:t>
            </w:r>
          </w:p>
        </w:tc>
        <w:tc>
          <w:tcPr>
            <w:tcW w:w="1701" w:type="dxa"/>
            <w:vAlign w:val="center"/>
          </w:tcPr>
          <w:p w14:paraId="31A43AAE">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6AB81D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04A5DBBE">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5CCA5B2E">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b w:val="0"/>
                <w:bCs w:val="0"/>
                <w:sz w:val="21"/>
                <w:szCs w:val="21"/>
                <w:highlight w:val="none"/>
                <w:lang w:val="en-US" w:eastAsia="zh-CN"/>
              </w:rPr>
              <w:t>1</w:t>
            </w:r>
            <w:r>
              <w:rPr>
                <w:rFonts w:hint="default" w:ascii="Times New Roman" w:hAnsi="Times New Roman" w:eastAsia="宋体" w:cs="Times New Roman"/>
                <w:b w:val="0"/>
                <w:bCs w:val="0"/>
                <w:sz w:val="21"/>
                <w:szCs w:val="21"/>
                <w:highlight w:val="none"/>
                <w:lang w:val="en-US" w:eastAsia="zh-CN"/>
              </w:rPr>
              <w:t>.5</w:t>
            </w:r>
          </w:p>
        </w:tc>
        <w:tc>
          <w:tcPr>
            <w:tcW w:w="1418" w:type="dxa"/>
            <w:vAlign w:val="center"/>
          </w:tcPr>
          <w:p w14:paraId="7725D3B2">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DE1A63F">
            <w:pPr>
              <w:autoSpaceDE w:val="0"/>
              <w:autoSpaceDN w:val="0"/>
              <w:adjustRightInd w:val="0"/>
              <w:spacing w:line="30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eastAsia" w:cs="Times New Roman"/>
                <w:b w:val="0"/>
                <w:bCs w:val="0"/>
                <w:sz w:val="21"/>
                <w:szCs w:val="21"/>
                <w:highlight w:val="none"/>
                <w:lang w:val="en-US" w:eastAsia="zh-CN"/>
              </w:rPr>
              <w:t>1</w:t>
            </w:r>
            <w:r>
              <w:rPr>
                <w:rFonts w:hint="default" w:ascii="Times New Roman" w:hAnsi="Times New Roman" w:eastAsia="宋体" w:cs="Times New Roman"/>
                <w:b w:val="0"/>
                <w:bCs w:val="0"/>
                <w:sz w:val="21"/>
                <w:szCs w:val="21"/>
                <w:highlight w:val="none"/>
                <w:lang w:val="en-US" w:eastAsia="zh-CN"/>
              </w:rPr>
              <w:t>.5</w:t>
            </w:r>
          </w:p>
        </w:tc>
        <w:tc>
          <w:tcPr>
            <w:tcW w:w="1427" w:type="dxa"/>
            <w:vAlign w:val="center"/>
          </w:tcPr>
          <w:p w14:paraId="23653952">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eastAsia" w:cs="Times New Roman"/>
                <w:b w:val="0"/>
                <w:bCs w:val="0"/>
                <w:sz w:val="21"/>
                <w:szCs w:val="21"/>
                <w:highlight w:val="none"/>
                <w:lang w:val="en-US" w:eastAsia="zh-CN"/>
              </w:rPr>
              <w:t>1</w:t>
            </w:r>
            <w:r>
              <w:rPr>
                <w:rFonts w:hint="default" w:ascii="Times New Roman" w:hAnsi="Times New Roman" w:eastAsia="宋体" w:cs="Times New Roman"/>
                <w:b w:val="0"/>
                <w:bCs w:val="0"/>
                <w:sz w:val="21"/>
                <w:szCs w:val="21"/>
                <w:highlight w:val="none"/>
                <w:lang w:val="en-US" w:eastAsia="zh-CN"/>
              </w:rPr>
              <w:t>.5</w:t>
            </w:r>
          </w:p>
        </w:tc>
      </w:tr>
      <w:tr w14:paraId="435A16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E0BE9C8">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4E3DA514">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eastAsia="zh-CN"/>
              </w:rPr>
              <w:t>废焊渣</w:t>
            </w:r>
          </w:p>
        </w:tc>
        <w:tc>
          <w:tcPr>
            <w:tcW w:w="1701" w:type="dxa"/>
            <w:vAlign w:val="center"/>
          </w:tcPr>
          <w:p w14:paraId="49247443">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8FA98E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13DFD753">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02C9BC63">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val="en-US" w:eastAsia="zh-CN"/>
              </w:rPr>
              <w:t>1.44</w:t>
            </w:r>
          </w:p>
        </w:tc>
        <w:tc>
          <w:tcPr>
            <w:tcW w:w="1418" w:type="dxa"/>
            <w:vAlign w:val="center"/>
          </w:tcPr>
          <w:p w14:paraId="0097C7F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44CD393C">
            <w:pPr>
              <w:autoSpaceDE w:val="0"/>
              <w:autoSpaceDN w:val="0"/>
              <w:adjustRightInd w:val="0"/>
              <w:spacing w:line="30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b w:val="0"/>
                <w:bCs w:val="0"/>
                <w:sz w:val="21"/>
                <w:szCs w:val="21"/>
                <w:highlight w:val="none"/>
                <w:lang w:val="en-US" w:eastAsia="zh-CN"/>
              </w:rPr>
              <w:t>1.44</w:t>
            </w:r>
          </w:p>
        </w:tc>
        <w:tc>
          <w:tcPr>
            <w:tcW w:w="1427" w:type="dxa"/>
            <w:vAlign w:val="center"/>
          </w:tcPr>
          <w:p w14:paraId="6C6663A1">
            <w:pPr>
              <w:autoSpaceDE w:val="0"/>
              <w:autoSpaceDN w:val="0"/>
              <w:adjustRightInd w:val="0"/>
              <w:spacing w:line="300" w:lineRule="exact"/>
              <w:jc w:val="center"/>
              <w:rPr>
                <w:rFonts w:hint="default" w:ascii="Times New Roman" w:hAnsi="Times New Roman" w:eastAsia="宋体" w:cs="Times New Roman"/>
                <w:b w:val="0"/>
                <w:bCs w:val="0"/>
                <w:kern w:val="2"/>
                <w:sz w:val="21"/>
                <w:szCs w:val="21"/>
                <w:highlight w:val="none"/>
                <w:lang w:val="en-US" w:eastAsia="zh-CN" w:bidi="ar-SA"/>
              </w:rPr>
            </w:pPr>
            <w:r>
              <w:rPr>
                <w:rFonts w:hint="default" w:ascii="Times New Roman" w:hAnsi="Times New Roman" w:eastAsia="宋体" w:cs="Times New Roman"/>
                <w:b w:val="0"/>
                <w:bCs w:val="0"/>
                <w:sz w:val="21"/>
                <w:szCs w:val="21"/>
                <w:highlight w:val="none"/>
                <w:lang w:val="en-US" w:eastAsia="zh-CN"/>
              </w:rPr>
              <w:t>1.44</w:t>
            </w:r>
          </w:p>
        </w:tc>
      </w:tr>
      <w:tr w14:paraId="7B985B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644D51EF">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72AB4677">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kern w:val="2"/>
                <w:sz w:val="21"/>
                <w:szCs w:val="21"/>
                <w:highlight w:val="none"/>
                <w:lang w:val="en-US" w:eastAsia="zh-CN" w:bidi="ar-SA"/>
              </w:rPr>
              <w:t>焊烟净化器收集的粉尘</w:t>
            </w:r>
          </w:p>
        </w:tc>
        <w:tc>
          <w:tcPr>
            <w:tcW w:w="1701" w:type="dxa"/>
            <w:vAlign w:val="center"/>
          </w:tcPr>
          <w:p w14:paraId="24DACC2B">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2CC10423">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006C7A0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0E4FBDEA">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1.184</w:t>
            </w:r>
          </w:p>
        </w:tc>
        <w:tc>
          <w:tcPr>
            <w:tcW w:w="1418" w:type="dxa"/>
            <w:vAlign w:val="center"/>
          </w:tcPr>
          <w:p w14:paraId="7E8F1DC5">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8837E4C">
            <w:pPr>
              <w:autoSpaceDE w:val="0"/>
              <w:autoSpaceDN w:val="0"/>
              <w:adjustRightInd w:val="0"/>
              <w:spacing w:line="30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z w:val="21"/>
                <w:szCs w:val="21"/>
                <w:highlight w:val="none"/>
                <w:lang w:val="en-US" w:eastAsia="zh-CN"/>
              </w:rPr>
              <w:t>1.184</w:t>
            </w:r>
          </w:p>
        </w:tc>
        <w:tc>
          <w:tcPr>
            <w:tcW w:w="1427" w:type="dxa"/>
            <w:vAlign w:val="center"/>
          </w:tcPr>
          <w:p w14:paraId="14EDC6F4">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1.184</w:t>
            </w:r>
          </w:p>
        </w:tc>
      </w:tr>
      <w:tr w14:paraId="188381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5DEC5B1">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30005299">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废塑料边角料</w:t>
            </w:r>
          </w:p>
        </w:tc>
        <w:tc>
          <w:tcPr>
            <w:tcW w:w="1701" w:type="dxa"/>
            <w:vAlign w:val="center"/>
          </w:tcPr>
          <w:p w14:paraId="14A58757">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3CBFD941">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505510B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358702B7">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0.08</w:t>
            </w:r>
          </w:p>
        </w:tc>
        <w:tc>
          <w:tcPr>
            <w:tcW w:w="1418" w:type="dxa"/>
            <w:vAlign w:val="center"/>
          </w:tcPr>
          <w:p w14:paraId="03F52FD6">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240" w:lineRule="auto"/>
              <w:ind w:left="0" w:leftChars="0" w:right="0" w:rightChars="0" w:firstLine="0" w:firstLine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14EF9765">
            <w:pPr>
              <w:autoSpaceDE w:val="0"/>
              <w:autoSpaceDN w:val="0"/>
              <w:adjustRightInd w:val="0"/>
              <w:spacing w:line="30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z w:val="21"/>
                <w:szCs w:val="21"/>
                <w:highlight w:val="none"/>
                <w:lang w:val="en-US" w:eastAsia="zh-CN"/>
              </w:rPr>
              <w:t>0.08</w:t>
            </w:r>
          </w:p>
        </w:tc>
        <w:tc>
          <w:tcPr>
            <w:tcW w:w="1427" w:type="dxa"/>
            <w:vAlign w:val="center"/>
          </w:tcPr>
          <w:p w14:paraId="412E8D62">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0.08</w:t>
            </w:r>
          </w:p>
        </w:tc>
      </w:tr>
      <w:tr w14:paraId="582899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1497A925">
            <w:pPr>
              <w:pStyle w:val="200"/>
              <w:spacing w:beforeLines="0" w:afterLines="0" w:line="240" w:lineRule="auto"/>
              <w:rPr>
                <w:rFonts w:hint="default" w:ascii="Times New Roman" w:hAnsi="Times New Roman" w:eastAsia="宋体" w:cs="Times New Roman"/>
                <w:snapToGrid w:val="0"/>
                <w:color w:val="auto"/>
                <w:kern w:val="21"/>
                <w:sz w:val="21"/>
                <w:szCs w:val="21"/>
                <w:highlight w:val="none"/>
              </w:rPr>
            </w:pPr>
          </w:p>
        </w:tc>
        <w:tc>
          <w:tcPr>
            <w:tcW w:w="1417" w:type="dxa"/>
            <w:vAlign w:val="center"/>
          </w:tcPr>
          <w:p w14:paraId="593752ED">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生活垃圾</w:t>
            </w:r>
          </w:p>
        </w:tc>
        <w:tc>
          <w:tcPr>
            <w:tcW w:w="1701" w:type="dxa"/>
            <w:vAlign w:val="center"/>
          </w:tcPr>
          <w:p w14:paraId="6FA0DED8">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6DF5CFF4">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474D4610">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52BD6C8A">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7.5</w:t>
            </w:r>
          </w:p>
        </w:tc>
        <w:tc>
          <w:tcPr>
            <w:tcW w:w="1418" w:type="dxa"/>
            <w:vAlign w:val="center"/>
          </w:tcPr>
          <w:p w14:paraId="6128969C">
            <w:pPr>
              <w:keepNext w:val="0"/>
              <w:keepLines w:val="0"/>
              <w:pageBreakBefore w:val="0"/>
              <w:widowControl w:val="0"/>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outlineLvl w:val="9"/>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2F6B3366">
            <w:pPr>
              <w:autoSpaceDE w:val="0"/>
              <w:autoSpaceDN w:val="0"/>
              <w:adjustRightInd w:val="0"/>
              <w:spacing w:line="30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z w:val="21"/>
                <w:szCs w:val="21"/>
                <w:highlight w:val="none"/>
                <w:lang w:val="en-US" w:eastAsia="zh-CN"/>
              </w:rPr>
              <w:t>7.5</w:t>
            </w:r>
          </w:p>
        </w:tc>
        <w:tc>
          <w:tcPr>
            <w:tcW w:w="1427" w:type="dxa"/>
            <w:vAlign w:val="center"/>
          </w:tcPr>
          <w:p w14:paraId="67DA686D">
            <w:pPr>
              <w:autoSpaceDE w:val="0"/>
              <w:autoSpaceDN w:val="0"/>
              <w:adjustRightInd w:val="0"/>
              <w:spacing w:line="30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7.5</w:t>
            </w:r>
          </w:p>
        </w:tc>
      </w:tr>
      <w:tr w14:paraId="2E6D7A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0FC64249">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snapToGrid w:val="0"/>
                <w:color w:val="auto"/>
                <w:kern w:val="21"/>
                <w:sz w:val="21"/>
                <w:szCs w:val="21"/>
                <w:highlight w:val="none"/>
                <w:lang w:eastAsia="zh-CN"/>
              </w:rPr>
            </w:pPr>
            <w:r>
              <w:rPr>
                <w:rFonts w:hint="default" w:ascii="Times New Roman" w:hAnsi="Times New Roman" w:eastAsia="宋体" w:cs="Times New Roman"/>
                <w:b w:val="0"/>
                <w:bCs/>
                <w:color w:val="0C0C0C"/>
                <w:spacing w:val="0"/>
                <w:kern w:val="2"/>
                <w:sz w:val="21"/>
                <w:szCs w:val="21"/>
                <w:highlight w:val="none"/>
                <w:lang w:val="en-US" w:eastAsia="zh-CN" w:bidi="ar"/>
              </w:rPr>
              <w:t>危险废物</w:t>
            </w:r>
          </w:p>
        </w:tc>
        <w:tc>
          <w:tcPr>
            <w:tcW w:w="1417" w:type="dxa"/>
            <w:vAlign w:val="center"/>
          </w:tcPr>
          <w:p w14:paraId="357177D3">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Cs/>
                <w:sz w:val="21"/>
                <w:szCs w:val="21"/>
                <w:highlight w:val="none"/>
                <w:lang w:eastAsia="zh-CN"/>
              </w:rPr>
              <w:t>废</w:t>
            </w:r>
            <w:r>
              <w:rPr>
                <w:rFonts w:hint="default" w:ascii="Times New Roman" w:hAnsi="Times New Roman" w:eastAsia="宋体" w:cs="Times New Roman"/>
                <w:b w:val="0"/>
                <w:bCs w:val="0"/>
                <w:kern w:val="2"/>
                <w:sz w:val="21"/>
                <w:szCs w:val="21"/>
                <w:highlight w:val="none"/>
                <w:lang w:val="en-US" w:eastAsia="zh-CN" w:bidi="ar-SA"/>
              </w:rPr>
              <w:t>油漆桶、稀释剂桶</w:t>
            </w:r>
          </w:p>
        </w:tc>
        <w:tc>
          <w:tcPr>
            <w:tcW w:w="1701" w:type="dxa"/>
            <w:vAlign w:val="center"/>
          </w:tcPr>
          <w:p w14:paraId="047A4AC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17170825">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0CAA28C4">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3122F03A">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0.197</w:t>
            </w:r>
          </w:p>
        </w:tc>
        <w:tc>
          <w:tcPr>
            <w:tcW w:w="1418" w:type="dxa"/>
            <w:vAlign w:val="center"/>
          </w:tcPr>
          <w:p w14:paraId="50283893">
            <w:pPr>
              <w:spacing w:beforeLines="0" w:afterLines="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259A07F9">
            <w:pPr>
              <w:autoSpaceDE w:val="0"/>
              <w:autoSpaceDN w:val="0"/>
              <w:adjustRightInd w:val="0"/>
              <w:spacing w:line="240" w:lineRule="exact"/>
              <w:jc w:val="center"/>
              <w:rPr>
                <w:rFonts w:hint="default" w:ascii="Times New Roman" w:hAnsi="Times New Roman" w:eastAsia="宋体" w:cs="Times New Roman"/>
                <w:snapToGrid w:val="0"/>
                <w:color w:val="auto"/>
                <w:kern w:val="21"/>
                <w:sz w:val="21"/>
                <w:szCs w:val="21"/>
                <w:highlight w:val="none"/>
                <w:lang w:val="en-US"/>
              </w:rPr>
            </w:pPr>
            <w:r>
              <w:rPr>
                <w:rFonts w:hint="default" w:ascii="Times New Roman" w:hAnsi="Times New Roman" w:eastAsia="宋体" w:cs="Times New Roman"/>
                <w:sz w:val="21"/>
                <w:szCs w:val="21"/>
                <w:highlight w:val="none"/>
                <w:lang w:val="en-US" w:eastAsia="zh-CN"/>
              </w:rPr>
              <w:t>0.197</w:t>
            </w:r>
          </w:p>
        </w:tc>
        <w:tc>
          <w:tcPr>
            <w:tcW w:w="1427" w:type="dxa"/>
            <w:vAlign w:val="center"/>
          </w:tcPr>
          <w:p w14:paraId="6393E1D7">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0.197</w:t>
            </w:r>
          </w:p>
        </w:tc>
      </w:tr>
      <w:tr w14:paraId="75E3FA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410CBA0">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p>
        </w:tc>
        <w:tc>
          <w:tcPr>
            <w:tcW w:w="1417" w:type="dxa"/>
            <w:vAlign w:val="center"/>
          </w:tcPr>
          <w:p w14:paraId="05B267A9">
            <w:pPr>
              <w:autoSpaceDE w:val="0"/>
              <w:autoSpaceDN w:val="0"/>
              <w:adjustRightInd w:val="0"/>
              <w:spacing w:line="240" w:lineRule="exact"/>
              <w:jc w:val="center"/>
              <w:rPr>
                <w:rFonts w:hint="default" w:ascii="Times New Roman" w:hAnsi="Times New Roman" w:eastAsia="宋体" w:cs="Times New Roman"/>
                <w:bCs/>
                <w:kern w:val="2"/>
                <w:sz w:val="21"/>
                <w:szCs w:val="21"/>
                <w:highlight w:val="none"/>
                <w:lang w:val="en-US" w:eastAsia="zh-CN" w:bidi="ar-SA"/>
              </w:rPr>
            </w:pPr>
            <w:r>
              <w:rPr>
                <w:rFonts w:hint="default" w:ascii="Times New Roman" w:hAnsi="Times New Roman" w:eastAsia="宋体" w:cs="Times New Roman"/>
                <w:bCs/>
                <w:sz w:val="21"/>
                <w:szCs w:val="21"/>
                <w:highlight w:val="none"/>
                <w:lang w:eastAsia="zh-CN"/>
              </w:rPr>
              <w:t>废漆渣</w:t>
            </w:r>
          </w:p>
        </w:tc>
        <w:tc>
          <w:tcPr>
            <w:tcW w:w="1701" w:type="dxa"/>
            <w:vAlign w:val="center"/>
          </w:tcPr>
          <w:p w14:paraId="192CA18E">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06F30CA">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1A9D7029">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7538EDFD">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0.495</w:t>
            </w:r>
          </w:p>
        </w:tc>
        <w:tc>
          <w:tcPr>
            <w:tcW w:w="1418" w:type="dxa"/>
            <w:vAlign w:val="center"/>
          </w:tcPr>
          <w:p w14:paraId="5EAEB60D">
            <w:pPr>
              <w:spacing w:beforeLines="0" w:afterLines="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4E0CC5C9">
            <w:pPr>
              <w:autoSpaceDE w:val="0"/>
              <w:autoSpaceDN w:val="0"/>
              <w:adjustRightInd w:val="0"/>
              <w:spacing w:line="24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z w:val="21"/>
                <w:szCs w:val="21"/>
                <w:highlight w:val="none"/>
                <w:lang w:val="en-US" w:eastAsia="zh-CN"/>
              </w:rPr>
              <w:t>0.495</w:t>
            </w:r>
          </w:p>
        </w:tc>
        <w:tc>
          <w:tcPr>
            <w:tcW w:w="1427" w:type="dxa"/>
            <w:vAlign w:val="center"/>
          </w:tcPr>
          <w:p w14:paraId="27076E76">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0.495</w:t>
            </w:r>
          </w:p>
        </w:tc>
      </w:tr>
      <w:tr w14:paraId="607EC25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03289706">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p>
        </w:tc>
        <w:tc>
          <w:tcPr>
            <w:tcW w:w="1417" w:type="dxa"/>
            <w:vAlign w:val="center"/>
          </w:tcPr>
          <w:p w14:paraId="4099F470">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eastAsia="zh-CN"/>
              </w:rPr>
              <w:t>废机油</w:t>
            </w:r>
          </w:p>
        </w:tc>
        <w:tc>
          <w:tcPr>
            <w:tcW w:w="1701" w:type="dxa"/>
            <w:vAlign w:val="center"/>
          </w:tcPr>
          <w:p w14:paraId="62F61923">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E5E78C9">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6CE25821">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175EB602">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0.05</w:t>
            </w:r>
          </w:p>
        </w:tc>
        <w:tc>
          <w:tcPr>
            <w:tcW w:w="1418" w:type="dxa"/>
            <w:vAlign w:val="center"/>
          </w:tcPr>
          <w:p w14:paraId="19EBC1A2">
            <w:pPr>
              <w:spacing w:beforeLines="0" w:afterLines="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10F5757">
            <w:pPr>
              <w:autoSpaceDE w:val="0"/>
              <w:autoSpaceDN w:val="0"/>
              <w:adjustRightInd w:val="0"/>
              <w:spacing w:line="24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z w:val="21"/>
                <w:szCs w:val="21"/>
                <w:highlight w:val="none"/>
                <w:lang w:val="en-US" w:eastAsia="zh-CN"/>
              </w:rPr>
              <w:t>0.05</w:t>
            </w:r>
          </w:p>
        </w:tc>
        <w:tc>
          <w:tcPr>
            <w:tcW w:w="1427" w:type="dxa"/>
            <w:vAlign w:val="center"/>
          </w:tcPr>
          <w:p w14:paraId="6D776AC0">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0.05</w:t>
            </w:r>
          </w:p>
        </w:tc>
      </w:tr>
      <w:tr w14:paraId="1AB875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C7B7D66">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p>
        </w:tc>
        <w:tc>
          <w:tcPr>
            <w:tcW w:w="1417" w:type="dxa"/>
            <w:vAlign w:val="center"/>
          </w:tcPr>
          <w:p w14:paraId="7EA5AE6E">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废液压油</w:t>
            </w:r>
          </w:p>
        </w:tc>
        <w:tc>
          <w:tcPr>
            <w:tcW w:w="1701" w:type="dxa"/>
            <w:vAlign w:val="center"/>
          </w:tcPr>
          <w:p w14:paraId="1D44350A">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40F7C563">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21E2409C">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55A816CA">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0.2</w:t>
            </w:r>
          </w:p>
        </w:tc>
        <w:tc>
          <w:tcPr>
            <w:tcW w:w="1418" w:type="dxa"/>
            <w:vAlign w:val="center"/>
          </w:tcPr>
          <w:p w14:paraId="24890C4D">
            <w:pPr>
              <w:spacing w:beforeLines="0" w:afterLines="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75E25596">
            <w:pPr>
              <w:autoSpaceDE w:val="0"/>
              <w:autoSpaceDN w:val="0"/>
              <w:adjustRightInd w:val="0"/>
              <w:spacing w:line="24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z w:val="21"/>
                <w:szCs w:val="21"/>
                <w:highlight w:val="none"/>
                <w:lang w:val="en-US" w:eastAsia="zh-CN"/>
              </w:rPr>
              <w:t>0.2</w:t>
            </w:r>
          </w:p>
        </w:tc>
        <w:tc>
          <w:tcPr>
            <w:tcW w:w="1427" w:type="dxa"/>
            <w:vAlign w:val="center"/>
          </w:tcPr>
          <w:p w14:paraId="69BD15CF">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0.2</w:t>
            </w:r>
          </w:p>
        </w:tc>
      </w:tr>
      <w:tr w14:paraId="1C04A2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71F0EB5">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p>
        </w:tc>
        <w:tc>
          <w:tcPr>
            <w:tcW w:w="1417" w:type="dxa"/>
            <w:vAlign w:val="center"/>
          </w:tcPr>
          <w:p w14:paraId="21B69281">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废过滤箱、过滤棉</w:t>
            </w:r>
          </w:p>
        </w:tc>
        <w:tc>
          <w:tcPr>
            <w:tcW w:w="1701" w:type="dxa"/>
            <w:vAlign w:val="center"/>
          </w:tcPr>
          <w:p w14:paraId="00956A40">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591C5D4B">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456316A1">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465FB17F">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0.853</w:t>
            </w:r>
          </w:p>
        </w:tc>
        <w:tc>
          <w:tcPr>
            <w:tcW w:w="1418" w:type="dxa"/>
            <w:vAlign w:val="center"/>
          </w:tcPr>
          <w:p w14:paraId="63D24248">
            <w:pPr>
              <w:spacing w:beforeLines="0" w:afterLines="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7F88595C">
            <w:pPr>
              <w:autoSpaceDE w:val="0"/>
              <w:autoSpaceDN w:val="0"/>
              <w:adjustRightInd w:val="0"/>
              <w:spacing w:line="24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z w:val="21"/>
                <w:szCs w:val="21"/>
                <w:highlight w:val="none"/>
                <w:lang w:val="en-US" w:eastAsia="zh-CN"/>
              </w:rPr>
              <w:t>0.853</w:t>
            </w:r>
          </w:p>
        </w:tc>
        <w:tc>
          <w:tcPr>
            <w:tcW w:w="1427" w:type="dxa"/>
            <w:vAlign w:val="center"/>
          </w:tcPr>
          <w:p w14:paraId="5FE746B9">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0.853</w:t>
            </w:r>
          </w:p>
        </w:tc>
      </w:tr>
      <w:tr w14:paraId="32F0B7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9BB77FA">
            <w:pPr>
              <w:keepNext w:val="0"/>
              <w:keepLines w:val="0"/>
              <w:pageBreakBefore w:val="0"/>
              <w:widowControl/>
              <w:suppressLineNumbers w:val="0"/>
              <w:kinsoku/>
              <w:wordWrap/>
              <w:overflowPunct/>
              <w:topLinePunct w:val="0"/>
              <w:autoSpaceDE w:val="0"/>
              <w:autoSpaceDN/>
              <w:bidi w:val="0"/>
              <w:adjustRightInd w:val="0"/>
              <w:snapToGrid w:val="0"/>
              <w:spacing w:before="0" w:beforeAutospacing="0" w:after="0" w:afterAutospacing="0" w:line="360" w:lineRule="exact"/>
              <w:ind w:left="0" w:leftChars="0" w:right="0" w:rightChars="0" w:firstLine="0" w:firstLineChars="0"/>
              <w:jc w:val="center"/>
              <w:textAlignment w:val="center"/>
              <w:outlineLvl w:val="9"/>
              <w:rPr>
                <w:rFonts w:hint="default" w:ascii="Times New Roman" w:hAnsi="Times New Roman" w:eastAsia="宋体" w:cs="Times New Roman"/>
                <w:b w:val="0"/>
                <w:bCs/>
                <w:color w:val="0C0C0C"/>
                <w:spacing w:val="0"/>
                <w:kern w:val="2"/>
                <w:sz w:val="21"/>
                <w:szCs w:val="21"/>
                <w:highlight w:val="none"/>
                <w:lang w:val="en-US" w:eastAsia="zh-CN" w:bidi="ar"/>
              </w:rPr>
            </w:pPr>
          </w:p>
        </w:tc>
        <w:tc>
          <w:tcPr>
            <w:tcW w:w="1417" w:type="dxa"/>
            <w:vAlign w:val="center"/>
          </w:tcPr>
          <w:p w14:paraId="3BBBABC7">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b w:val="0"/>
                <w:bCs w:val="0"/>
                <w:kern w:val="2"/>
                <w:sz w:val="21"/>
                <w:szCs w:val="21"/>
                <w:highlight w:val="none"/>
                <w:lang w:val="en-US" w:eastAsia="zh-CN" w:bidi="ar-SA"/>
              </w:rPr>
              <w:t>废活性炭</w:t>
            </w:r>
          </w:p>
        </w:tc>
        <w:tc>
          <w:tcPr>
            <w:tcW w:w="1701" w:type="dxa"/>
            <w:vAlign w:val="center"/>
          </w:tcPr>
          <w:p w14:paraId="771129F6">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napToGrid w:val="0"/>
                <w:color w:val="auto"/>
                <w:kern w:val="21"/>
                <w:sz w:val="21"/>
                <w:szCs w:val="21"/>
                <w:highlight w:val="none"/>
                <w:lang w:val="en-US" w:eastAsia="zh-CN"/>
              </w:rPr>
              <w:t>/</w:t>
            </w:r>
          </w:p>
        </w:tc>
        <w:tc>
          <w:tcPr>
            <w:tcW w:w="1276" w:type="dxa"/>
            <w:vAlign w:val="center"/>
          </w:tcPr>
          <w:p w14:paraId="6BDD1049">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3F2D2907">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559" w:type="dxa"/>
            <w:vAlign w:val="center"/>
          </w:tcPr>
          <w:p w14:paraId="7507DA91">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4.</w:t>
            </w:r>
            <w:r>
              <w:rPr>
                <w:rFonts w:hint="eastAsia" w:cs="Times New Roman"/>
                <w:sz w:val="21"/>
                <w:szCs w:val="21"/>
                <w:highlight w:val="none"/>
                <w:lang w:val="en-US" w:eastAsia="zh-CN"/>
              </w:rPr>
              <w:t>41</w:t>
            </w:r>
          </w:p>
        </w:tc>
        <w:tc>
          <w:tcPr>
            <w:tcW w:w="1418" w:type="dxa"/>
            <w:vAlign w:val="center"/>
          </w:tcPr>
          <w:p w14:paraId="3C2E48EA">
            <w:pPr>
              <w:spacing w:beforeLines="0" w:afterLines="0" w:line="240" w:lineRule="auto"/>
              <w:ind w:left="0" w:leftChars="0" w:right="0" w:rightChars="0" w:firstLine="0" w:firstLineChars="0"/>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napToGrid w:val="0"/>
                <w:color w:val="auto"/>
                <w:kern w:val="21"/>
                <w:sz w:val="21"/>
                <w:szCs w:val="21"/>
                <w:highlight w:val="none"/>
                <w:lang w:val="en-US" w:eastAsia="zh-CN"/>
              </w:rPr>
              <w:t>/</w:t>
            </w:r>
          </w:p>
        </w:tc>
        <w:tc>
          <w:tcPr>
            <w:tcW w:w="1701" w:type="dxa"/>
            <w:vAlign w:val="center"/>
          </w:tcPr>
          <w:p w14:paraId="189638F6">
            <w:pPr>
              <w:autoSpaceDE w:val="0"/>
              <w:autoSpaceDN w:val="0"/>
              <w:adjustRightInd w:val="0"/>
              <w:spacing w:line="240" w:lineRule="exact"/>
              <w:jc w:val="center"/>
              <w:rPr>
                <w:rFonts w:hint="default" w:ascii="Times New Roman" w:hAnsi="Times New Roman" w:eastAsia="宋体" w:cs="Times New Roman"/>
                <w:snapToGrid w:val="0"/>
                <w:color w:val="auto"/>
                <w:kern w:val="21"/>
                <w:sz w:val="21"/>
                <w:szCs w:val="21"/>
                <w:highlight w:val="none"/>
                <w:lang w:val="en-US" w:eastAsia="zh-CN"/>
              </w:rPr>
            </w:pPr>
            <w:r>
              <w:rPr>
                <w:rFonts w:hint="default" w:ascii="Times New Roman" w:hAnsi="Times New Roman" w:eastAsia="宋体" w:cs="Times New Roman"/>
                <w:sz w:val="21"/>
                <w:szCs w:val="21"/>
                <w:highlight w:val="none"/>
                <w:lang w:val="en-US" w:eastAsia="zh-CN"/>
              </w:rPr>
              <w:t>4.</w:t>
            </w:r>
            <w:r>
              <w:rPr>
                <w:rFonts w:hint="eastAsia" w:cs="Times New Roman"/>
                <w:sz w:val="21"/>
                <w:szCs w:val="21"/>
                <w:highlight w:val="none"/>
                <w:lang w:val="en-US" w:eastAsia="zh-CN"/>
              </w:rPr>
              <w:t>41</w:t>
            </w:r>
          </w:p>
        </w:tc>
        <w:tc>
          <w:tcPr>
            <w:tcW w:w="1427" w:type="dxa"/>
            <w:vAlign w:val="center"/>
          </w:tcPr>
          <w:p w14:paraId="16FF94C8">
            <w:pPr>
              <w:autoSpaceDE w:val="0"/>
              <w:autoSpaceDN w:val="0"/>
              <w:adjustRightInd w:val="0"/>
              <w:spacing w:line="240" w:lineRule="exact"/>
              <w:jc w:val="center"/>
              <w:rPr>
                <w:rFonts w:hint="default" w:ascii="Times New Roman" w:hAnsi="Times New Roman" w:eastAsia="宋体" w:cs="Times New Roman"/>
                <w:kern w:val="2"/>
                <w:sz w:val="21"/>
                <w:szCs w:val="21"/>
                <w:highlight w:val="none"/>
                <w:lang w:val="en-US" w:eastAsia="zh-CN" w:bidi="ar-SA"/>
              </w:rPr>
            </w:pPr>
            <w:r>
              <w:rPr>
                <w:rFonts w:hint="default" w:ascii="Times New Roman" w:hAnsi="Times New Roman" w:eastAsia="宋体" w:cs="Times New Roman"/>
                <w:sz w:val="21"/>
                <w:szCs w:val="21"/>
                <w:highlight w:val="none"/>
                <w:lang w:val="en-US" w:eastAsia="zh-CN"/>
              </w:rPr>
              <w:t>4.</w:t>
            </w:r>
            <w:r>
              <w:rPr>
                <w:rFonts w:hint="eastAsia" w:cs="Times New Roman"/>
                <w:sz w:val="21"/>
                <w:szCs w:val="21"/>
                <w:highlight w:val="none"/>
                <w:lang w:val="en-US" w:eastAsia="zh-CN"/>
              </w:rPr>
              <w:t>41</w:t>
            </w:r>
          </w:p>
        </w:tc>
      </w:tr>
    </w:tbl>
    <w:p w14:paraId="771C0F5A">
      <w:pPr>
        <w:pStyle w:val="200"/>
        <w:spacing w:before="192" w:beforeLines="80" w:after="24" w:line="420" w:lineRule="exact"/>
        <w:jc w:val="left"/>
        <w:rPr>
          <w:rFonts w:ascii="Times New Roman"/>
          <w:snapToGrid w:val="0"/>
          <w:color w:val="auto"/>
          <w:spacing w:val="-6"/>
          <w:kern w:val="21"/>
          <w:szCs w:val="21"/>
        </w:rPr>
        <w:sectPr>
          <w:footerReference r:id="rId6" w:type="default"/>
          <w:pgSz w:w="16838" w:h="11906" w:orient="landscape"/>
          <w:pgMar w:top="1531" w:right="1701" w:bottom="1531" w:left="1701" w:header="851" w:footer="1077" w:gutter="0"/>
          <w:pgNumType w:fmt="decimal"/>
          <w:cols w:space="720" w:num="1"/>
          <w:docGrid w:linePitch="312" w:charSpace="0"/>
        </w:sect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ascii="Times New Roman"/>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ascii="Times New Roman"/>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ascii="Times New Roman"/>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ascii="Times New Roman"/>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ascii="Times New Roman"/>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ascii="Times New Roman"/>
          <w:color w:val="auto"/>
          <w:szCs w:val="21"/>
        </w:rPr>
        <w:t>①</w:t>
      </w:r>
      <w:r>
        <w:rPr>
          <w:rFonts w:ascii="Times New Roman"/>
          <w:snapToGrid w:val="0"/>
          <w:color w:val="auto"/>
          <w:spacing w:val="-6"/>
          <w:kern w:val="21"/>
          <w:szCs w:val="21"/>
        </w:rPr>
        <w:fldChar w:fldCharType="end"/>
      </w:r>
    </w:p>
    <w:p w14:paraId="62745B53">
      <w:pPr>
        <w:jc w:val="both"/>
        <w:rPr>
          <w:rFonts w:hint="default" w:ascii="宋体" w:hAnsi="宋体"/>
          <w:b/>
          <w:sz w:val="24"/>
          <w:szCs w:val="24"/>
          <w:lang w:val="en-US" w:eastAsia="zh-CN"/>
        </w:rPr>
      </w:pPr>
      <w:r>
        <w:rPr>
          <w:rFonts w:hint="eastAsia" w:eastAsia="宋体"/>
          <w:lang w:eastAsia="zh-CN"/>
        </w:rPr>
        <w:drawing>
          <wp:inline distT="0" distB="0" distL="114300" distR="114300">
            <wp:extent cx="5603875" cy="8202295"/>
            <wp:effectExtent l="0" t="0" r="15875" b="8255"/>
            <wp:docPr id="9" name="图片 9" descr="1bd77e3ad658d7459680b8586b5ac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bd77e3ad658d7459680b8586b5ac523"/>
                    <pic:cNvPicPr>
                      <a:picLocks noChangeAspect="1"/>
                    </pic:cNvPicPr>
                  </pic:nvPicPr>
                  <pic:blipFill>
                    <a:blip r:embed="rId51"/>
                    <a:stretch>
                      <a:fillRect/>
                    </a:stretch>
                  </pic:blipFill>
                  <pic:spPr>
                    <a:xfrm>
                      <a:off x="0" y="0"/>
                      <a:ext cx="5603875" cy="8202295"/>
                    </a:xfrm>
                    <a:prstGeom prst="rect">
                      <a:avLst/>
                    </a:prstGeom>
                  </pic:spPr>
                </pic:pic>
              </a:graphicData>
            </a:graphic>
          </wp:inline>
        </w:drawing>
      </w:r>
      <w:r>
        <w:rPr>
          <w:rFonts w:hint="eastAsia" w:eastAsia="宋体"/>
          <w:lang w:eastAsia="zh-CN"/>
        </w:rPr>
        <w:drawing>
          <wp:inline distT="0" distB="0" distL="114300" distR="114300">
            <wp:extent cx="5608320" cy="8530590"/>
            <wp:effectExtent l="0" t="0" r="11430" b="3810"/>
            <wp:docPr id="16" name="图片 16" descr="d8d01dd6385a1f377e8594395b5f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d8d01dd6385a1f377e8594395b5f6368"/>
                    <pic:cNvPicPr>
                      <a:picLocks noChangeAspect="1"/>
                    </pic:cNvPicPr>
                  </pic:nvPicPr>
                  <pic:blipFill>
                    <a:blip r:embed="rId52"/>
                    <a:stretch>
                      <a:fillRect/>
                    </a:stretch>
                  </pic:blipFill>
                  <pic:spPr>
                    <a:xfrm>
                      <a:off x="0" y="0"/>
                      <a:ext cx="5608320" cy="8530590"/>
                    </a:xfrm>
                    <a:prstGeom prst="rect">
                      <a:avLst/>
                    </a:prstGeom>
                  </pic:spPr>
                </pic:pic>
              </a:graphicData>
            </a:graphic>
          </wp:inline>
        </w:drawing>
      </w:r>
      <w:r>
        <w:rPr>
          <w:rFonts w:hint="eastAsia" w:ascii="宋体" w:hAnsi="宋体"/>
          <w:b/>
          <w:sz w:val="24"/>
          <w:szCs w:val="24"/>
          <w:lang w:val="en-US" w:eastAsia="zh-CN"/>
        </w:rPr>
        <w:t>附件3：建设项目备案证明</w:t>
      </w:r>
    </w:p>
    <w:p w14:paraId="11503101">
      <w:pPr>
        <w:keepNext w:val="0"/>
        <w:keepLines w:val="0"/>
        <w:widowControl w:val="0"/>
        <w:suppressLineNumbers w:val="0"/>
        <w:spacing w:before="0" w:beforeAutospacing="0" w:after="0" w:afterAutospacing="0"/>
        <w:ind w:left="0" w:right="560"/>
        <w:jc w:val="both"/>
        <w:rPr>
          <w:rFonts w:hint="eastAsia" w:ascii="Times New Roman" w:hAnsi="Times New Roman" w:eastAsia="宋体" w:cs="宋体"/>
          <w:color w:val="000000"/>
          <w:kern w:val="2"/>
          <w:sz w:val="28"/>
          <w:szCs w:val="28"/>
          <w:highlight w:val="none"/>
          <w:lang w:val="en-US" w:eastAsia="zh-CN" w:bidi="ar"/>
        </w:rPr>
        <w:sectPr>
          <w:footerReference r:id="rId7" w:type="default"/>
          <w:pgSz w:w="11906" w:h="16838"/>
          <w:pgMar w:top="1440" w:right="1800" w:bottom="1440" w:left="1800" w:header="851" w:footer="992" w:gutter="0"/>
          <w:cols w:space="720" w:num="1"/>
          <w:docGrid w:type="lines" w:linePitch="312" w:charSpace="0"/>
        </w:sectPr>
      </w:pPr>
      <w:r>
        <w:rPr>
          <w:rFonts w:hint="eastAsia" w:ascii="Times New Roman" w:hAnsi="Times New Roman" w:eastAsia="宋体" w:cs="宋体"/>
          <w:color w:val="000000"/>
          <w:kern w:val="2"/>
          <w:sz w:val="28"/>
          <w:szCs w:val="28"/>
          <w:highlight w:val="none"/>
          <w:lang w:val="en-US" w:eastAsia="zh-CN" w:bidi="ar"/>
        </w:rPr>
        <w:drawing>
          <wp:inline distT="0" distB="0" distL="114300" distR="114300">
            <wp:extent cx="5061585" cy="7787640"/>
            <wp:effectExtent l="0" t="0" r="5715" b="3810"/>
            <wp:docPr id="17" name="图片 19" descr="bb48e9602280ee775185e23e3cffb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9" descr="bb48e9602280ee775185e23e3cffbfd"/>
                    <pic:cNvPicPr>
                      <a:picLocks noChangeAspect="1"/>
                    </pic:cNvPicPr>
                  </pic:nvPicPr>
                  <pic:blipFill>
                    <a:blip r:embed="rId53"/>
                    <a:stretch>
                      <a:fillRect/>
                    </a:stretch>
                  </pic:blipFill>
                  <pic:spPr>
                    <a:xfrm>
                      <a:off x="0" y="0"/>
                      <a:ext cx="5061585" cy="7787640"/>
                    </a:xfrm>
                    <a:prstGeom prst="rect">
                      <a:avLst/>
                    </a:prstGeom>
                    <a:noFill/>
                    <a:ln>
                      <a:noFill/>
                    </a:ln>
                  </pic:spPr>
                </pic:pic>
              </a:graphicData>
            </a:graphic>
          </wp:inline>
        </w:drawing>
      </w:r>
    </w:p>
    <w:p w14:paraId="50E3F9AF">
      <w:pPr>
        <w:jc w:val="both"/>
        <w:rPr>
          <w:rFonts w:hint="default" w:ascii="宋体" w:hAnsi="宋体"/>
          <w:b/>
          <w:sz w:val="24"/>
          <w:szCs w:val="24"/>
          <w:lang w:val="en-US" w:eastAsia="zh-CN"/>
        </w:rPr>
      </w:pPr>
      <w:r>
        <w:rPr>
          <w:rFonts w:hint="eastAsia" w:ascii="宋体" w:hAnsi="宋体"/>
          <w:b/>
          <w:sz w:val="24"/>
          <w:szCs w:val="24"/>
          <w:lang w:val="en-US" w:eastAsia="zh-CN"/>
        </w:rPr>
        <w:t>附件4：营业执照</w:t>
      </w:r>
    </w:p>
    <w:p w14:paraId="7F640063">
      <w:pPr>
        <w:pStyle w:val="2"/>
        <w:ind w:left="0" w:leftChars="0" w:firstLine="0" w:firstLineChars="0"/>
        <w:rPr>
          <w:rFonts w:hint="eastAsia"/>
          <w:lang w:val="en-US" w:eastAsia="zh-CN"/>
        </w:rPr>
      </w:pPr>
    </w:p>
    <w:p w14:paraId="731902F5">
      <w:pPr>
        <w:pStyle w:val="2"/>
        <w:ind w:left="0" w:leftChars="0" w:firstLine="0" w:firstLineChars="0"/>
        <w:rPr>
          <w:rFonts w:hint="eastAsia"/>
          <w:lang w:val="en-US" w:eastAsia="zh-CN"/>
        </w:rPr>
        <w:sectPr>
          <w:pgSz w:w="11906" w:h="16838"/>
          <w:pgMar w:top="1440" w:right="1800" w:bottom="1440" w:left="1800" w:header="851" w:footer="992" w:gutter="0"/>
          <w:cols w:space="720" w:num="1"/>
          <w:docGrid w:type="lines" w:linePitch="312" w:charSpace="0"/>
        </w:sectPr>
      </w:pPr>
      <w:r>
        <w:rPr>
          <w:rFonts w:hint="eastAsia"/>
          <w:lang w:val="en-US" w:eastAsia="zh-CN"/>
        </w:rPr>
        <w:drawing>
          <wp:inline distT="0" distB="0" distL="114300" distR="114300">
            <wp:extent cx="5271135" cy="3726815"/>
            <wp:effectExtent l="0" t="0" r="5715" b="6985"/>
            <wp:docPr id="18" name="图片 20" descr="c0ecf550882983ead2afc66c2c11c8b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0" descr="c0ecf550882983ead2afc66c2c11c8bb"/>
                    <pic:cNvPicPr>
                      <a:picLocks noChangeAspect="1"/>
                    </pic:cNvPicPr>
                  </pic:nvPicPr>
                  <pic:blipFill>
                    <a:blip r:embed="rId54"/>
                    <a:stretch>
                      <a:fillRect/>
                    </a:stretch>
                  </pic:blipFill>
                  <pic:spPr>
                    <a:xfrm>
                      <a:off x="0" y="0"/>
                      <a:ext cx="5271135" cy="3726815"/>
                    </a:xfrm>
                    <a:prstGeom prst="rect">
                      <a:avLst/>
                    </a:prstGeom>
                    <a:noFill/>
                    <a:ln>
                      <a:noFill/>
                    </a:ln>
                  </pic:spPr>
                </pic:pic>
              </a:graphicData>
            </a:graphic>
          </wp:inline>
        </w:drawing>
      </w:r>
    </w:p>
    <w:p w14:paraId="64085CBD">
      <w:pPr>
        <w:jc w:val="both"/>
        <w:rPr>
          <w:rFonts w:hint="default" w:ascii="宋体" w:hAnsi="宋体"/>
          <w:b/>
          <w:sz w:val="24"/>
          <w:szCs w:val="24"/>
          <w:lang w:val="en-US" w:eastAsia="zh-CN"/>
        </w:rPr>
      </w:pPr>
      <w:r>
        <w:rPr>
          <w:rFonts w:hint="eastAsia" w:ascii="宋体" w:hAnsi="宋体"/>
          <w:b/>
          <w:sz w:val="24"/>
          <w:szCs w:val="24"/>
          <w:lang w:val="en-US" w:eastAsia="zh-CN"/>
        </w:rPr>
        <w:t>附件5：现有项目环保手续</w:t>
      </w:r>
    </w:p>
    <w:p w14:paraId="4F71103E">
      <w:pPr>
        <w:autoSpaceDE w:val="0"/>
        <w:autoSpaceDN w:val="0"/>
        <w:adjustRightInd w:val="0"/>
        <w:snapToGrid w:val="0"/>
        <w:spacing w:line="336" w:lineRule="auto"/>
        <w:rPr>
          <w:rFonts w:hint="eastAsia" w:eastAsia="宋体"/>
          <w:color w:val="000000"/>
          <w:kern w:val="0"/>
          <w:sz w:val="28"/>
          <w:szCs w:val="28"/>
          <w:highlight w:val="none"/>
          <w:lang w:eastAsia="zh-CN"/>
        </w:rPr>
      </w:pPr>
      <w:r>
        <w:drawing>
          <wp:inline distT="0" distB="0" distL="114300" distR="114300">
            <wp:extent cx="5257800" cy="7781925"/>
            <wp:effectExtent l="0" t="0" r="0" b="9525"/>
            <wp:docPr id="2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1"/>
                    <pic:cNvPicPr>
                      <a:picLocks noChangeAspect="1"/>
                    </pic:cNvPicPr>
                  </pic:nvPicPr>
                  <pic:blipFill>
                    <a:blip r:embed="rId55">
                      <a:lum contrast="40000"/>
                    </a:blip>
                    <a:stretch>
                      <a:fillRect/>
                    </a:stretch>
                  </pic:blipFill>
                  <pic:spPr>
                    <a:xfrm>
                      <a:off x="0" y="0"/>
                      <a:ext cx="5257800" cy="7781925"/>
                    </a:xfrm>
                    <a:prstGeom prst="rect">
                      <a:avLst/>
                    </a:prstGeom>
                    <a:noFill/>
                    <a:ln>
                      <a:noFill/>
                    </a:ln>
                  </pic:spPr>
                </pic:pic>
              </a:graphicData>
            </a:graphic>
          </wp:inline>
        </w:drawing>
      </w:r>
      <w:r>
        <w:drawing>
          <wp:inline distT="0" distB="0" distL="114300" distR="114300">
            <wp:extent cx="5267325" cy="7153275"/>
            <wp:effectExtent l="0" t="0" r="9525" b="9525"/>
            <wp:docPr id="25"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pic:cNvPicPr>
                      <a:picLocks noChangeAspect="1"/>
                    </pic:cNvPicPr>
                  </pic:nvPicPr>
                  <pic:blipFill>
                    <a:blip r:embed="rId56">
                      <a:lum bright="6000" contrast="56000"/>
                    </a:blip>
                    <a:stretch>
                      <a:fillRect/>
                    </a:stretch>
                  </pic:blipFill>
                  <pic:spPr>
                    <a:xfrm>
                      <a:off x="0" y="0"/>
                      <a:ext cx="5267325" cy="7153275"/>
                    </a:xfrm>
                    <a:prstGeom prst="rect">
                      <a:avLst/>
                    </a:prstGeom>
                    <a:noFill/>
                    <a:ln>
                      <a:noFill/>
                    </a:ln>
                  </pic:spPr>
                </pic:pic>
              </a:graphicData>
            </a:graphic>
          </wp:inline>
        </w:drawing>
      </w:r>
      <w:r>
        <w:drawing>
          <wp:inline distT="0" distB="0" distL="114300" distR="114300">
            <wp:extent cx="5108575" cy="7816215"/>
            <wp:effectExtent l="0" t="0" r="15875" b="1333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57">
                      <a:lum contrast="60000"/>
                    </a:blip>
                    <a:stretch>
                      <a:fillRect/>
                    </a:stretch>
                  </pic:blipFill>
                  <pic:spPr>
                    <a:xfrm>
                      <a:off x="0" y="0"/>
                      <a:ext cx="5108575" cy="7816215"/>
                    </a:xfrm>
                    <a:prstGeom prst="rect">
                      <a:avLst/>
                    </a:prstGeom>
                    <a:noFill/>
                    <a:ln>
                      <a:noFill/>
                    </a:ln>
                  </pic:spPr>
                </pic:pic>
              </a:graphicData>
            </a:graphic>
          </wp:inline>
        </w:drawing>
      </w:r>
      <w:r>
        <w:drawing>
          <wp:inline distT="0" distB="0" distL="114300" distR="114300">
            <wp:extent cx="5332095" cy="7703185"/>
            <wp:effectExtent l="0" t="0" r="1905" b="1206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58">
                      <a:lum contrast="46000"/>
                    </a:blip>
                    <a:stretch>
                      <a:fillRect/>
                    </a:stretch>
                  </pic:blipFill>
                  <pic:spPr>
                    <a:xfrm>
                      <a:off x="0" y="0"/>
                      <a:ext cx="5332095" cy="7703185"/>
                    </a:xfrm>
                    <a:prstGeom prst="rect">
                      <a:avLst/>
                    </a:prstGeom>
                    <a:noFill/>
                    <a:ln>
                      <a:noFill/>
                    </a:ln>
                  </pic:spPr>
                </pic:pic>
              </a:graphicData>
            </a:graphic>
          </wp:inline>
        </w:drawing>
      </w:r>
    </w:p>
    <w:p w14:paraId="6DD3D189">
      <w:pPr>
        <w:autoSpaceDE w:val="0"/>
        <w:autoSpaceDN w:val="0"/>
        <w:adjustRightInd w:val="0"/>
        <w:snapToGrid w:val="0"/>
        <w:spacing w:line="336" w:lineRule="auto"/>
        <w:rPr>
          <w:rFonts w:hint="eastAsia"/>
          <w:color w:val="000000"/>
          <w:kern w:val="0"/>
          <w:sz w:val="28"/>
          <w:szCs w:val="28"/>
          <w:highlight w:val="none"/>
        </w:rPr>
      </w:pPr>
    </w:p>
    <w:p w14:paraId="67DEF238">
      <w:pPr>
        <w:autoSpaceDE w:val="0"/>
        <w:autoSpaceDN w:val="0"/>
        <w:adjustRightInd w:val="0"/>
        <w:snapToGrid w:val="0"/>
        <w:spacing w:line="336" w:lineRule="auto"/>
        <w:rPr>
          <w:rFonts w:hint="eastAsia"/>
          <w:color w:val="000000"/>
          <w:kern w:val="0"/>
          <w:sz w:val="28"/>
          <w:szCs w:val="28"/>
          <w:highlight w:val="none"/>
        </w:rPr>
      </w:pPr>
    </w:p>
    <w:p w14:paraId="4841AAE4">
      <w:pPr>
        <w:spacing w:before="120" w:beforeLines="50" w:after="120" w:afterLines="50" w:line="360" w:lineRule="auto"/>
        <w:outlineLvl w:val="1"/>
        <w:rPr>
          <w:rFonts w:hint="eastAsia" w:eastAsia="宋体"/>
          <w:b/>
          <w:color w:val="000000"/>
          <w:sz w:val="28"/>
          <w:szCs w:val="28"/>
          <w:highlight w:val="none"/>
          <w:lang w:eastAsia="zh-CN"/>
        </w:rPr>
        <w:sectPr>
          <w:pgSz w:w="11906" w:h="16838"/>
          <w:pgMar w:top="1440" w:right="1797" w:bottom="1440" w:left="1797" w:header="851" w:footer="992" w:gutter="0"/>
          <w:pgBorders>
            <w:top w:val="none" w:sz="0" w:space="0"/>
            <w:left w:val="none" w:sz="0" w:space="0"/>
            <w:bottom w:val="none" w:sz="0" w:space="0"/>
            <w:right w:val="none" w:sz="0" w:space="0"/>
          </w:pgBorders>
          <w:cols w:space="720" w:num="1"/>
          <w:docGrid w:linePitch="312" w:charSpace="0"/>
        </w:sectPr>
      </w:pPr>
    </w:p>
    <w:p w14:paraId="5FC5B8E0">
      <w:pPr>
        <w:rPr>
          <w:rFonts w:hint="eastAsia" w:eastAsia="宋体"/>
          <w:lang w:eastAsia="zh-CN"/>
        </w:rPr>
        <w:sectPr>
          <w:pgSz w:w="11906" w:h="16838"/>
          <w:pgMar w:top="1440" w:right="1800" w:bottom="1440" w:left="1800" w:header="1020" w:footer="1134" w:gutter="0"/>
          <w:pgBorders>
            <w:top w:val="none" w:sz="0" w:space="0"/>
            <w:left w:val="none" w:sz="0" w:space="0"/>
            <w:bottom w:val="none" w:sz="0" w:space="0"/>
            <w:right w:val="none" w:sz="0" w:space="0"/>
          </w:pgBorders>
          <w:pgNumType w:fmt="numberInDash"/>
          <w:cols w:space="720" w:num="1"/>
          <w:docGrid w:type="lines" w:linePitch="312" w:charSpace="0"/>
        </w:sectPr>
      </w:pPr>
      <w:r>
        <w:drawing>
          <wp:inline distT="0" distB="0" distL="114300" distR="114300">
            <wp:extent cx="5266690" cy="8226425"/>
            <wp:effectExtent l="0" t="0" r="10160" b="3175"/>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5"/>
                    <pic:cNvPicPr>
                      <a:picLocks noChangeAspect="1"/>
                    </pic:cNvPicPr>
                  </pic:nvPicPr>
                  <pic:blipFill>
                    <a:blip r:embed="rId59"/>
                    <a:stretch>
                      <a:fillRect/>
                    </a:stretch>
                  </pic:blipFill>
                  <pic:spPr>
                    <a:xfrm>
                      <a:off x="0" y="0"/>
                      <a:ext cx="5266690" cy="8226425"/>
                    </a:xfrm>
                    <a:prstGeom prst="rect">
                      <a:avLst/>
                    </a:prstGeom>
                    <a:noFill/>
                    <a:ln>
                      <a:noFill/>
                    </a:ln>
                  </pic:spPr>
                </pic:pic>
              </a:graphicData>
            </a:graphic>
          </wp:inline>
        </w:drawing>
      </w:r>
    </w:p>
    <w:p w14:paraId="5777271D">
      <w:pPr>
        <w:jc w:val="both"/>
        <w:rPr>
          <w:rFonts w:hint="default" w:ascii="宋体" w:hAnsi="宋体"/>
          <w:b/>
          <w:sz w:val="24"/>
          <w:szCs w:val="24"/>
          <w:lang w:val="en-US" w:eastAsia="zh-CN"/>
        </w:rPr>
      </w:pPr>
      <w:r>
        <w:rPr>
          <w:rFonts w:hint="eastAsia" w:ascii="宋体" w:hAnsi="宋体"/>
          <w:b/>
          <w:sz w:val="24"/>
          <w:szCs w:val="24"/>
          <w:lang w:val="en-US" w:eastAsia="zh-CN"/>
        </w:rPr>
        <w:t>附件6：山东淄川经济开发区环境影响跟踪评价报告书审查小组意见</w:t>
      </w:r>
    </w:p>
    <w:p w14:paraId="07B792B2">
      <w:pPr>
        <w:rPr>
          <w:rFonts w:hint="eastAsia"/>
          <w:lang w:val="en-US" w:eastAsia="zh-CN"/>
        </w:rPr>
        <w:sectPr>
          <w:pgSz w:w="11906" w:h="16838"/>
          <w:pgMar w:top="1440" w:right="1800" w:bottom="1440" w:left="1800" w:header="1020" w:footer="1134" w:gutter="0"/>
          <w:pgBorders>
            <w:top w:val="none" w:sz="0" w:space="0"/>
            <w:left w:val="none" w:sz="0" w:space="0"/>
            <w:bottom w:val="none" w:sz="0" w:space="0"/>
            <w:right w:val="none" w:sz="0" w:space="0"/>
          </w:pgBorders>
          <w:pgNumType w:fmt="numberInDash"/>
          <w:cols w:space="720" w:num="1"/>
          <w:docGrid w:type="lines" w:linePitch="312" w:charSpace="0"/>
        </w:sectPr>
      </w:pPr>
      <w:r>
        <w:drawing>
          <wp:inline distT="0" distB="0" distL="114300" distR="114300">
            <wp:extent cx="5682615" cy="7452995"/>
            <wp:effectExtent l="0" t="0" r="13335" b="14605"/>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60"/>
                    <a:stretch>
                      <a:fillRect/>
                    </a:stretch>
                  </pic:blipFill>
                  <pic:spPr>
                    <a:xfrm>
                      <a:off x="0" y="0"/>
                      <a:ext cx="5682615" cy="7452995"/>
                    </a:xfrm>
                    <a:prstGeom prst="rect">
                      <a:avLst/>
                    </a:prstGeom>
                    <a:noFill/>
                    <a:ln>
                      <a:noFill/>
                    </a:ln>
                  </pic:spPr>
                </pic:pic>
              </a:graphicData>
            </a:graphic>
          </wp:inline>
        </w:drawing>
      </w:r>
    </w:p>
    <w:p w14:paraId="68FD2B50">
      <w:pPr>
        <w:rPr>
          <w:rFonts w:hint="eastAsia"/>
          <w:lang w:val="en-US" w:eastAsia="zh-CN"/>
        </w:rPr>
        <w:sectPr>
          <w:pgSz w:w="11906" w:h="16838"/>
          <w:pgMar w:top="1440" w:right="1800" w:bottom="1440" w:left="1800" w:header="1020" w:footer="1134" w:gutter="0"/>
          <w:pgBorders>
            <w:top w:val="none" w:sz="0" w:space="0"/>
            <w:left w:val="none" w:sz="0" w:space="0"/>
            <w:bottom w:val="none" w:sz="0" w:space="0"/>
            <w:right w:val="none" w:sz="0" w:space="0"/>
          </w:pgBorders>
          <w:pgNumType w:fmt="numberInDash"/>
          <w:cols w:space="720" w:num="1"/>
          <w:docGrid w:type="lines" w:linePitch="312" w:charSpace="0"/>
        </w:sectPr>
      </w:pPr>
      <w:r>
        <w:drawing>
          <wp:inline distT="0" distB="0" distL="114300" distR="114300">
            <wp:extent cx="5874385" cy="7957185"/>
            <wp:effectExtent l="0" t="0" r="12065" b="5715"/>
            <wp:docPr id="29"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7"/>
                    <pic:cNvPicPr>
                      <a:picLocks noChangeAspect="1"/>
                    </pic:cNvPicPr>
                  </pic:nvPicPr>
                  <pic:blipFill>
                    <a:blip r:embed="rId61"/>
                    <a:stretch>
                      <a:fillRect/>
                    </a:stretch>
                  </pic:blipFill>
                  <pic:spPr>
                    <a:xfrm>
                      <a:off x="0" y="0"/>
                      <a:ext cx="5874385" cy="7957185"/>
                    </a:xfrm>
                    <a:prstGeom prst="rect">
                      <a:avLst/>
                    </a:prstGeom>
                    <a:noFill/>
                    <a:ln>
                      <a:noFill/>
                    </a:ln>
                  </pic:spPr>
                </pic:pic>
              </a:graphicData>
            </a:graphic>
          </wp:inline>
        </w:drawing>
      </w:r>
      <w:r>
        <w:drawing>
          <wp:inline distT="0" distB="0" distL="114300" distR="114300">
            <wp:extent cx="5502275" cy="8007350"/>
            <wp:effectExtent l="0" t="0" r="3175" b="12700"/>
            <wp:docPr id="4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28"/>
                    <pic:cNvPicPr>
                      <a:picLocks noChangeAspect="1"/>
                    </pic:cNvPicPr>
                  </pic:nvPicPr>
                  <pic:blipFill>
                    <a:blip r:embed="rId62"/>
                    <a:stretch>
                      <a:fillRect/>
                    </a:stretch>
                  </pic:blipFill>
                  <pic:spPr>
                    <a:xfrm>
                      <a:off x="0" y="0"/>
                      <a:ext cx="5502275" cy="8007350"/>
                    </a:xfrm>
                    <a:prstGeom prst="rect">
                      <a:avLst/>
                    </a:prstGeom>
                    <a:noFill/>
                    <a:ln>
                      <a:noFill/>
                    </a:ln>
                  </pic:spPr>
                </pic:pic>
              </a:graphicData>
            </a:graphic>
          </wp:inline>
        </w:drawing>
      </w:r>
      <w:r>
        <w:drawing>
          <wp:inline distT="0" distB="0" distL="114300" distR="114300">
            <wp:extent cx="5577205" cy="8150225"/>
            <wp:effectExtent l="0" t="0" r="4445" b="3175"/>
            <wp:docPr id="28"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9"/>
                    <pic:cNvPicPr>
                      <a:picLocks noChangeAspect="1"/>
                    </pic:cNvPicPr>
                  </pic:nvPicPr>
                  <pic:blipFill>
                    <a:blip r:embed="rId63"/>
                    <a:stretch>
                      <a:fillRect/>
                    </a:stretch>
                  </pic:blipFill>
                  <pic:spPr>
                    <a:xfrm>
                      <a:off x="0" y="0"/>
                      <a:ext cx="5577205" cy="8150225"/>
                    </a:xfrm>
                    <a:prstGeom prst="rect">
                      <a:avLst/>
                    </a:prstGeom>
                    <a:noFill/>
                    <a:ln>
                      <a:noFill/>
                    </a:ln>
                  </pic:spPr>
                </pic:pic>
              </a:graphicData>
            </a:graphic>
          </wp:inline>
        </w:drawing>
      </w:r>
    </w:p>
    <w:p w14:paraId="63E3D47B">
      <w:pPr>
        <w:pStyle w:val="2"/>
        <w:ind w:left="0" w:leftChars="0" w:firstLine="0" w:firstLineChars="0"/>
        <w:sectPr>
          <w:pgSz w:w="11906" w:h="16838"/>
          <w:pgMar w:top="1440" w:right="1800" w:bottom="1440" w:left="1800" w:header="1020" w:footer="1134" w:gutter="0"/>
          <w:pgBorders>
            <w:top w:val="none" w:sz="0" w:space="0"/>
            <w:left w:val="none" w:sz="0" w:space="0"/>
            <w:bottom w:val="none" w:sz="0" w:space="0"/>
            <w:right w:val="none" w:sz="0" w:space="0"/>
          </w:pgBorders>
          <w:pgNumType w:fmt="numberInDash"/>
          <w:cols w:space="720" w:num="1"/>
          <w:docGrid w:type="lines" w:linePitch="312" w:charSpace="0"/>
        </w:sectPr>
      </w:pPr>
      <w:r>
        <w:drawing>
          <wp:inline distT="0" distB="0" distL="114300" distR="114300">
            <wp:extent cx="5161280" cy="6661785"/>
            <wp:effectExtent l="0" t="0" r="1270" b="5715"/>
            <wp:docPr id="3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0"/>
                    <pic:cNvPicPr>
                      <a:picLocks noChangeAspect="1"/>
                    </pic:cNvPicPr>
                  </pic:nvPicPr>
                  <pic:blipFill>
                    <a:blip r:embed="rId64"/>
                    <a:stretch>
                      <a:fillRect/>
                    </a:stretch>
                  </pic:blipFill>
                  <pic:spPr>
                    <a:xfrm>
                      <a:off x="0" y="0"/>
                      <a:ext cx="5161280" cy="6661785"/>
                    </a:xfrm>
                    <a:prstGeom prst="rect">
                      <a:avLst/>
                    </a:prstGeom>
                    <a:noFill/>
                    <a:ln>
                      <a:noFill/>
                    </a:ln>
                  </pic:spPr>
                </pic:pic>
              </a:graphicData>
            </a:graphic>
          </wp:inline>
        </w:drawing>
      </w:r>
    </w:p>
    <w:p w14:paraId="752E309E">
      <w:pPr>
        <w:jc w:val="left"/>
      </w:pPr>
      <w:r>
        <w:rPr>
          <w:rFonts w:hint="eastAsia" w:ascii="宋体" w:hAnsi="宋体"/>
          <w:b/>
          <w:sz w:val="24"/>
          <w:szCs w:val="24"/>
          <w:lang w:val="en-US" w:eastAsia="zh-CN"/>
        </w:rPr>
        <w:t>附件7：原辅料成分报告</w:t>
      </w:r>
      <w:r>
        <w:drawing>
          <wp:inline distT="0" distB="0" distL="114300" distR="114300">
            <wp:extent cx="4840605" cy="8258175"/>
            <wp:effectExtent l="0" t="0" r="17145" b="9525"/>
            <wp:docPr id="38" name="图片 31" descr="a58fcd269021ec513915e2f4dc3c4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1" descr="a58fcd269021ec513915e2f4dc3c4e8"/>
                    <pic:cNvPicPr>
                      <a:picLocks noChangeAspect="1"/>
                    </pic:cNvPicPr>
                  </pic:nvPicPr>
                  <pic:blipFill>
                    <a:blip r:embed="rId65"/>
                    <a:stretch>
                      <a:fillRect/>
                    </a:stretch>
                  </pic:blipFill>
                  <pic:spPr>
                    <a:xfrm>
                      <a:off x="0" y="0"/>
                      <a:ext cx="4840605" cy="8258175"/>
                    </a:xfrm>
                    <a:prstGeom prst="rect">
                      <a:avLst/>
                    </a:prstGeom>
                    <a:noFill/>
                    <a:ln>
                      <a:noFill/>
                    </a:ln>
                  </pic:spPr>
                </pic:pic>
              </a:graphicData>
            </a:graphic>
          </wp:inline>
        </w:drawing>
      </w:r>
      <w:r>
        <w:drawing>
          <wp:inline distT="0" distB="0" distL="114300" distR="114300">
            <wp:extent cx="5268595" cy="6581775"/>
            <wp:effectExtent l="0" t="0" r="8255" b="9525"/>
            <wp:docPr id="34"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2"/>
                    <pic:cNvPicPr>
                      <a:picLocks noChangeAspect="1"/>
                    </pic:cNvPicPr>
                  </pic:nvPicPr>
                  <pic:blipFill>
                    <a:blip r:embed="rId66"/>
                    <a:stretch>
                      <a:fillRect/>
                    </a:stretch>
                  </pic:blipFill>
                  <pic:spPr>
                    <a:xfrm>
                      <a:off x="0" y="0"/>
                      <a:ext cx="5268595" cy="6581775"/>
                    </a:xfrm>
                    <a:prstGeom prst="rect">
                      <a:avLst/>
                    </a:prstGeom>
                    <a:noFill/>
                    <a:ln>
                      <a:noFill/>
                    </a:ln>
                  </pic:spPr>
                </pic:pic>
              </a:graphicData>
            </a:graphic>
          </wp:inline>
        </w:drawing>
      </w:r>
      <w:r>
        <w:drawing>
          <wp:inline distT="0" distB="0" distL="114300" distR="114300">
            <wp:extent cx="5266690" cy="9230995"/>
            <wp:effectExtent l="0" t="0" r="10160" b="8255"/>
            <wp:docPr id="33" name="图片 33" descr="fc796f927cb7bdc39922a6d257489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fc796f927cb7bdc39922a6d2574891f"/>
                    <pic:cNvPicPr>
                      <a:picLocks noChangeAspect="1"/>
                    </pic:cNvPicPr>
                  </pic:nvPicPr>
                  <pic:blipFill>
                    <a:blip r:embed="rId67"/>
                    <a:stretch>
                      <a:fillRect/>
                    </a:stretch>
                  </pic:blipFill>
                  <pic:spPr>
                    <a:xfrm>
                      <a:off x="0" y="0"/>
                      <a:ext cx="5266690" cy="9230995"/>
                    </a:xfrm>
                    <a:prstGeom prst="rect">
                      <a:avLst/>
                    </a:prstGeom>
                    <a:noFill/>
                    <a:ln>
                      <a:noFill/>
                    </a:ln>
                  </pic:spPr>
                </pic:pic>
              </a:graphicData>
            </a:graphic>
          </wp:inline>
        </w:drawing>
      </w:r>
      <w:r>
        <w:drawing>
          <wp:inline distT="0" distB="0" distL="114300" distR="114300">
            <wp:extent cx="5274310" cy="7495540"/>
            <wp:effectExtent l="0" t="0" r="2540" b="10160"/>
            <wp:docPr id="42"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4"/>
                    <pic:cNvPicPr>
                      <a:picLocks noChangeAspect="1"/>
                    </pic:cNvPicPr>
                  </pic:nvPicPr>
                  <pic:blipFill>
                    <a:blip r:embed="rId68"/>
                    <a:stretch>
                      <a:fillRect/>
                    </a:stretch>
                  </pic:blipFill>
                  <pic:spPr>
                    <a:xfrm>
                      <a:off x="0" y="0"/>
                      <a:ext cx="5274310" cy="7495540"/>
                    </a:xfrm>
                    <a:prstGeom prst="rect">
                      <a:avLst/>
                    </a:prstGeom>
                    <a:noFill/>
                    <a:ln>
                      <a:noFill/>
                    </a:ln>
                  </pic:spPr>
                </pic:pic>
              </a:graphicData>
            </a:graphic>
          </wp:inline>
        </w:drawing>
      </w:r>
      <w:r>
        <w:drawing>
          <wp:inline distT="0" distB="0" distL="114300" distR="114300">
            <wp:extent cx="4562475" cy="7315200"/>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69"/>
                    <a:stretch>
                      <a:fillRect/>
                    </a:stretch>
                  </pic:blipFill>
                  <pic:spPr>
                    <a:xfrm>
                      <a:off x="0" y="0"/>
                      <a:ext cx="4562475" cy="7315200"/>
                    </a:xfrm>
                    <a:prstGeom prst="rect">
                      <a:avLst/>
                    </a:prstGeom>
                    <a:noFill/>
                    <a:ln>
                      <a:noFill/>
                    </a:ln>
                  </pic:spPr>
                </pic:pic>
              </a:graphicData>
            </a:graphic>
          </wp:inline>
        </w:drawing>
      </w:r>
      <w:r>
        <w:drawing>
          <wp:inline distT="0" distB="0" distL="114300" distR="114300">
            <wp:extent cx="4867275" cy="6915150"/>
            <wp:effectExtent l="0" t="0" r="9525" b="0"/>
            <wp:docPr id="4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6"/>
                    <pic:cNvPicPr>
                      <a:picLocks noChangeAspect="1"/>
                    </pic:cNvPicPr>
                  </pic:nvPicPr>
                  <pic:blipFill>
                    <a:blip r:embed="rId70"/>
                    <a:stretch>
                      <a:fillRect/>
                    </a:stretch>
                  </pic:blipFill>
                  <pic:spPr>
                    <a:xfrm>
                      <a:off x="0" y="0"/>
                      <a:ext cx="4867275" cy="6915150"/>
                    </a:xfrm>
                    <a:prstGeom prst="rect">
                      <a:avLst/>
                    </a:prstGeom>
                    <a:noFill/>
                    <a:ln>
                      <a:noFill/>
                    </a:ln>
                  </pic:spPr>
                </pic:pic>
              </a:graphicData>
            </a:graphic>
          </wp:inline>
        </w:drawing>
      </w:r>
      <w:r>
        <w:drawing>
          <wp:inline distT="0" distB="0" distL="114300" distR="114300">
            <wp:extent cx="5274310" cy="7487920"/>
            <wp:effectExtent l="0" t="0" r="2540" b="17780"/>
            <wp:docPr id="3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7"/>
                    <pic:cNvPicPr>
                      <a:picLocks noChangeAspect="1"/>
                    </pic:cNvPicPr>
                  </pic:nvPicPr>
                  <pic:blipFill>
                    <a:blip r:embed="rId71"/>
                    <a:stretch>
                      <a:fillRect/>
                    </a:stretch>
                  </pic:blipFill>
                  <pic:spPr>
                    <a:xfrm>
                      <a:off x="0" y="0"/>
                      <a:ext cx="5274310" cy="7487920"/>
                    </a:xfrm>
                    <a:prstGeom prst="rect">
                      <a:avLst/>
                    </a:prstGeom>
                    <a:noFill/>
                    <a:ln>
                      <a:noFill/>
                    </a:ln>
                  </pic:spPr>
                </pic:pic>
              </a:graphicData>
            </a:graphic>
          </wp:inline>
        </w:drawing>
      </w:r>
      <w:r>
        <w:drawing>
          <wp:inline distT="0" distB="0" distL="114300" distR="114300">
            <wp:extent cx="5238750" cy="7543800"/>
            <wp:effectExtent l="0" t="0" r="0" b="0"/>
            <wp:docPr id="50"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8"/>
                    <pic:cNvPicPr>
                      <a:picLocks noChangeAspect="1"/>
                    </pic:cNvPicPr>
                  </pic:nvPicPr>
                  <pic:blipFill>
                    <a:blip r:embed="rId72"/>
                    <a:stretch>
                      <a:fillRect/>
                    </a:stretch>
                  </pic:blipFill>
                  <pic:spPr>
                    <a:xfrm>
                      <a:off x="0" y="0"/>
                      <a:ext cx="5238750" cy="7543800"/>
                    </a:xfrm>
                    <a:prstGeom prst="rect">
                      <a:avLst/>
                    </a:prstGeom>
                    <a:noFill/>
                    <a:ln>
                      <a:noFill/>
                    </a:ln>
                  </pic:spPr>
                </pic:pic>
              </a:graphicData>
            </a:graphic>
          </wp:inline>
        </w:drawing>
      </w:r>
      <w:r>
        <w:drawing>
          <wp:inline distT="0" distB="0" distL="114300" distR="114300">
            <wp:extent cx="5274310" cy="7237730"/>
            <wp:effectExtent l="0" t="0" r="2540" b="1270"/>
            <wp:docPr id="3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9"/>
                    <pic:cNvPicPr>
                      <a:picLocks noChangeAspect="1"/>
                    </pic:cNvPicPr>
                  </pic:nvPicPr>
                  <pic:blipFill>
                    <a:blip r:embed="rId73"/>
                    <a:stretch>
                      <a:fillRect/>
                    </a:stretch>
                  </pic:blipFill>
                  <pic:spPr>
                    <a:xfrm>
                      <a:off x="0" y="0"/>
                      <a:ext cx="5274310" cy="7237730"/>
                    </a:xfrm>
                    <a:prstGeom prst="rect">
                      <a:avLst/>
                    </a:prstGeom>
                    <a:noFill/>
                    <a:ln>
                      <a:noFill/>
                    </a:ln>
                  </pic:spPr>
                </pic:pic>
              </a:graphicData>
            </a:graphic>
          </wp:inline>
        </w:drawing>
      </w:r>
      <w:r>
        <w:drawing>
          <wp:inline distT="0" distB="0" distL="114300" distR="114300">
            <wp:extent cx="5274310" cy="7438390"/>
            <wp:effectExtent l="0" t="0" r="2540" b="10160"/>
            <wp:docPr id="3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40"/>
                    <pic:cNvPicPr>
                      <a:picLocks noChangeAspect="1"/>
                    </pic:cNvPicPr>
                  </pic:nvPicPr>
                  <pic:blipFill>
                    <a:blip r:embed="rId74"/>
                    <a:stretch>
                      <a:fillRect/>
                    </a:stretch>
                  </pic:blipFill>
                  <pic:spPr>
                    <a:xfrm>
                      <a:off x="0" y="0"/>
                      <a:ext cx="5274310" cy="7438390"/>
                    </a:xfrm>
                    <a:prstGeom prst="rect">
                      <a:avLst/>
                    </a:prstGeom>
                    <a:noFill/>
                    <a:ln>
                      <a:noFill/>
                    </a:ln>
                  </pic:spPr>
                </pic:pic>
              </a:graphicData>
            </a:graphic>
          </wp:inline>
        </w:drawing>
      </w:r>
      <w:r>
        <w:drawing>
          <wp:inline distT="0" distB="0" distL="114300" distR="114300">
            <wp:extent cx="5274310" cy="7517765"/>
            <wp:effectExtent l="0" t="0" r="2540" b="6985"/>
            <wp:docPr id="5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1"/>
                    <pic:cNvPicPr>
                      <a:picLocks noChangeAspect="1"/>
                    </pic:cNvPicPr>
                  </pic:nvPicPr>
                  <pic:blipFill>
                    <a:blip r:embed="rId75"/>
                    <a:stretch>
                      <a:fillRect/>
                    </a:stretch>
                  </pic:blipFill>
                  <pic:spPr>
                    <a:xfrm>
                      <a:off x="0" y="0"/>
                      <a:ext cx="5274310" cy="7517765"/>
                    </a:xfrm>
                    <a:prstGeom prst="rect">
                      <a:avLst/>
                    </a:prstGeom>
                    <a:noFill/>
                    <a:ln>
                      <a:noFill/>
                    </a:ln>
                  </pic:spPr>
                </pic:pic>
              </a:graphicData>
            </a:graphic>
          </wp:inline>
        </w:drawing>
      </w:r>
      <w:r>
        <w:rPr>
          <w:rFonts w:hint="eastAsia"/>
        </w:rPr>
        <w:drawing>
          <wp:inline distT="0" distB="0" distL="114300" distR="114300">
            <wp:extent cx="5274310" cy="7465060"/>
            <wp:effectExtent l="0" t="0" r="2540" b="2540"/>
            <wp:docPr id="4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2"/>
                    <pic:cNvPicPr>
                      <a:picLocks noChangeAspect="1"/>
                    </pic:cNvPicPr>
                  </pic:nvPicPr>
                  <pic:blipFill>
                    <a:blip r:embed="rId76"/>
                    <a:stretch>
                      <a:fillRect/>
                    </a:stretch>
                  </pic:blipFill>
                  <pic:spPr>
                    <a:xfrm>
                      <a:off x="0" y="0"/>
                      <a:ext cx="5274310" cy="7465060"/>
                    </a:xfrm>
                    <a:prstGeom prst="rect">
                      <a:avLst/>
                    </a:prstGeom>
                    <a:noFill/>
                    <a:ln>
                      <a:noFill/>
                    </a:ln>
                  </pic:spPr>
                </pic:pic>
              </a:graphicData>
            </a:graphic>
          </wp:inline>
        </w:drawing>
      </w:r>
      <w:r>
        <w:drawing>
          <wp:inline distT="0" distB="0" distL="114300" distR="114300">
            <wp:extent cx="5274310" cy="7463790"/>
            <wp:effectExtent l="0" t="0" r="2540" b="3810"/>
            <wp:docPr id="48"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3"/>
                    <pic:cNvPicPr>
                      <a:picLocks noChangeAspect="1"/>
                    </pic:cNvPicPr>
                  </pic:nvPicPr>
                  <pic:blipFill>
                    <a:blip r:embed="rId77"/>
                    <a:stretch>
                      <a:fillRect/>
                    </a:stretch>
                  </pic:blipFill>
                  <pic:spPr>
                    <a:xfrm>
                      <a:off x="0" y="0"/>
                      <a:ext cx="5274310" cy="7463790"/>
                    </a:xfrm>
                    <a:prstGeom prst="rect">
                      <a:avLst/>
                    </a:prstGeom>
                    <a:noFill/>
                    <a:ln>
                      <a:noFill/>
                    </a:ln>
                  </pic:spPr>
                </pic:pic>
              </a:graphicData>
            </a:graphic>
          </wp:inline>
        </w:drawing>
      </w:r>
      <w:r>
        <w:drawing>
          <wp:inline distT="0" distB="0" distL="114300" distR="114300">
            <wp:extent cx="5274310" cy="7364095"/>
            <wp:effectExtent l="0" t="0" r="2540" b="8255"/>
            <wp:docPr id="30"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4"/>
                    <pic:cNvPicPr>
                      <a:picLocks noChangeAspect="1"/>
                    </pic:cNvPicPr>
                  </pic:nvPicPr>
                  <pic:blipFill>
                    <a:blip r:embed="rId78"/>
                    <a:stretch>
                      <a:fillRect/>
                    </a:stretch>
                  </pic:blipFill>
                  <pic:spPr>
                    <a:xfrm>
                      <a:off x="0" y="0"/>
                      <a:ext cx="5274310" cy="7364095"/>
                    </a:xfrm>
                    <a:prstGeom prst="rect">
                      <a:avLst/>
                    </a:prstGeom>
                    <a:noFill/>
                    <a:ln>
                      <a:noFill/>
                    </a:ln>
                  </pic:spPr>
                </pic:pic>
              </a:graphicData>
            </a:graphic>
          </wp:inline>
        </w:drawing>
      </w:r>
      <w:r>
        <w:drawing>
          <wp:inline distT="0" distB="0" distL="114300" distR="114300">
            <wp:extent cx="5274310" cy="7549515"/>
            <wp:effectExtent l="0" t="0" r="2540" b="13335"/>
            <wp:docPr id="31"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45"/>
                    <pic:cNvPicPr>
                      <a:picLocks noChangeAspect="1"/>
                    </pic:cNvPicPr>
                  </pic:nvPicPr>
                  <pic:blipFill>
                    <a:blip r:embed="rId79"/>
                    <a:stretch>
                      <a:fillRect/>
                    </a:stretch>
                  </pic:blipFill>
                  <pic:spPr>
                    <a:xfrm>
                      <a:off x="0" y="0"/>
                      <a:ext cx="5274310" cy="7549515"/>
                    </a:xfrm>
                    <a:prstGeom prst="rect">
                      <a:avLst/>
                    </a:prstGeom>
                    <a:noFill/>
                    <a:ln>
                      <a:noFill/>
                    </a:ln>
                  </pic:spPr>
                </pic:pic>
              </a:graphicData>
            </a:graphic>
          </wp:inline>
        </w:drawing>
      </w:r>
      <w:r>
        <w:rPr>
          <w:rFonts w:hint="eastAsia"/>
        </w:rPr>
        <w:drawing>
          <wp:inline distT="0" distB="0" distL="114300" distR="114300">
            <wp:extent cx="5274310" cy="8016875"/>
            <wp:effectExtent l="0" t="0" r="2540" b="3175"/>
            <wp:docPr id="27"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6"/>
                    <pic:cNvPicPr>
                      <a:picLocks noChangeAspect="1"/>
                    </pic:cNvPicPr>
                  </pic:nvPicPr>
                  <pic:blipFill>
                    <a:blip r:embed="rId80"/>
                    <a:stretch>
                      <a:fillRect/>
                    </a:stretch>
                  </pic:blipFill>
                  <pic:spPr>
                    <a:xfrm>
                      <a:off x="0" y="0"/>
                      <a:ext cx="5274310" cy="8016875"/>
                    </a:xfrm>
                    <a:prstGeom prst="rect">
                      <a:avLst/>
                    </a:prstGeom>
                    <a:noFill/>
                    <a:ln>
                      <a:noFill/>
                    </a:ln>
                  </pic:spPr>
                </pic:pic>
              </a:graphicData>
            </a:graphic>
          </wp:inline>
        </w:drawing>
      </w:r>
      <w:r>
        <w:drawing>
          <wp:inline distT="0" distB="0" distL="114300" distR="114300">
            <wp:extent cx="5404485" cy="8040370"/>
            <wp:effectExtent l="0" t="0" r="5715" b="17780"/>
            <wp:docPr id="4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7"/>
                    <pic:cNvPicPr>
                      <a:picLocks noChangeAspect="1"/>
                    </pic:cNvPicPr>
                  </pic:nvPicPr>
                  <pic:blipFill>
                    <a:blip r:embed="rId81"/>
                    <a:srcRect l="1289"/>
                    <a:stretch>
                      <a:fillRect/>
                    </a:stretch>
                  </pic:blipFill>
                  <pic:spPr>
                    <a:xfrm>
                      <a:off x="0" y="0"/>
                      <a:ext cx="5404485" cy="8040370"/>
                    </a:xfrm>
                    <a:prstGeom prst="rect">
                      <a:avLst/>
                    </a:prstGeom>
                    <a:noFill/>
                    <a:ln>
                      <a:noFill/>
                    </a:ln>
                  </pic:spPr>
                </pic:pic>
              </a:graphicData>
            </a:graphic>
          </wp:inline>
        </w:drawing>
      </w:r>
    </w:p>
    <w:p w14:paraId="408B96C0">
      <w:pPr>
        <w:widowControl/>
        <w:jc w:val="left"/>
      </w:pPr>
      <w:r>
        <w:drawing>
          <wp:inline distT="0" distB="0" distL="114300" distR="114300">
            <wp:extent cx="5340350" cy="7068820"/>
            <wp:effectExtent l="0" t="0" r="12700" b="17780"/>
            <wp:docPr id="4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8"/>
                    <pic:cNvPicPr>
                      <a:picLocks noChangeAspect="1"/>
                    </pic:cNvPicPr>
                  </pic:nvPicPr>
                  <pic:blipFill>
                    <a:blip r:embed="rId82"/>
                    <a:stretch>
                      <a:fillRect/>
                    </a:stretch>
                  </pic:blipFill>
                  <pic:spPr>
                    <a:xfrm>
                      <a:off x="0" y="0"/>
                      <a:ext cx="5340350" cy="7068820"/>
                    </a:xfrm>
                    <a:prstGeom prst="rect">
                      <a:avLst/>
                    </a:prstGeom>
                    <a:noFill/>
                    <a:ln>
                      <a:noFill/>
                    </a:ln>
                  </pic:spPr>
                </pic:pic>
              </a:graphicData>
            </a:graphic>
          </wp:inline>
        </w:drawing>
      </w:r>
      <w:r>
        <w:drawing>
          <wp:inline distT="0" distB="0" distL="114300" distR="114300">
            <wp:extent cx="5375910" cy="6957060"/>
            <wp:effectExtent l="0" t="0" r="15240" b="15240"/>
            <wp:docPr id="4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9"/>
                    <pic:cNvPicPr>
                      <a:picLocks noChangeAspect="1"/>
                    </pic:cNvPicPr>
                  </pic:nvPicPr>
                  <pic:blipFill>
                    <a:blip r:embed="rId83"/>
                    <a:stretch>
                      <a:fillRect/>
                    </a:stretch>
                  </pic:blipFill>
                  <pic:spPr>
                    <a:xfrm>
                      <a:off x="0" y="0"/>
                      <a:ext cx="5375910" cy="6957060"/>
                    </a:xfrm>
                    <a:prstGeom prst="rect">
                      <a:avLst/>
                    </a:prstGeom>
                    <a:noFill/>
                    <a:ln>
                      <a:noFill/>
                    </a:ln>
                  </pic:spPr>
                </pic:pic>
              </a:graphicData>
            </a:graphic>
          </wp:inline>
        </w:drawing>
      </w:r>
    </w:p>
    <w:p w14:paraId="45CB6629">
      <w:pPr>
        <w:pStyle w:val="76"/>
        <w:keepNext w:val="0"/>
        <w:keepLines w:val="0"/>
        <w:widowControl/>
        <w:suppressLineNumbers w:val="0"/>
        <w:shd w:val="clear" w:color="auto" w:fill="FFFFFF"/>
        <w:spacing w:line="360" w:lineRule="auto"/>
        <w:jc w:val="center"/>
        <w:rPr>
          <w:rFonts w:hint="eastAsia"/>
          <w:lang w:eastAsia="zh-CN"/>
        </w:rPr>
      </w:pPr>
    </w:p>
    <w:p w14:paraId="69204CCF">
      <w:pPr>
        <w:pStyle w:val="2"/>
        <w:spacing w:after="0"/>
        <w:ind w:left="0" w:leftChars="0" w:firstLine="0" w:firstLineChars="0"/>
      </w:pPr>
    </w:p>
    <w:p w14:paraId="5E40EA8A">
      <w:pPr>
        <w:pStyle w:val="2"/>
        <w:spacing w:after="0"/>
        <w:ind w:left="0" w:leftChars="0" w:firstLine="0" w:firstLineChars="0"/>
        <w:rPr>
          <w:rFonts w:hint="eastAsia"/>
          <w:b/>
          <w:bCs/>
          <w:sz w:val="24"/>
          <w:szCs w:val="32"/>
        </w:rPr>
      </w:pPr>
    </w:p>
    <w:p w14:paraId="5B273F54">
      <w:pPr>
        <w:pStyle w:val="76"/>
        <w:keepNext w:val="0"/>
        <w:keepLines w:val="0"/>
        <w:widowControl/>
        <w:suppressLineNumbers w:val="0"/>
        <w:shd w:val="clear" w:color="auto" w:fill="FFFFFF"/>
        <w:spacing w:line="360" w:lineRule="auto"/>
        <w:jc w:val="center"/>
        <w:rPr>
          <w:rFonts w:hint="eastAsia"/>
          <w:lang w:eastAsia="zh-CN"/>
        </w:rPr>
      </w:pPr>
    </w:p>
    <w:p w14:paraId="22FDEC5A">
      <w:pPr>
        <w:pStyle w:val="76"/>
        <w:keepNext w:val="0"/>
        <w:keepLines w:val="0"/>
        <w:widowControl/>
        <w:suppressLineNumbers w:val="0"/>
        <w:shd w:val="clear" w:color="auto" w:fill="FFFFFF"/>
        <w:spacing w:line="360" w:lineRule="auto"/>
        <w:jc w:val="center"/>
        <w:rPr>
          <w:rFonts w:hint="eastAsia"/>
          <w:lang w:eastAsia="zh-CN"/>
        </w:rPr>
        <w:sectPr>
          <w:pgSz w:w="11906" w:h="16838"/>
          <w:pgMar w:top="1440" w:right="1800" w:bottom="1440" w:left="1800" w:header="851" w:footer="992" w:gutter="0"/>
          <w:cols w:space="720" w:num="1"/>
          <w:docGrid w:type="lines" w:linePitch="312" w:charSpace="0"/>
        </w:sectPr>
      </w:pPr>
    </w:p>
    <w:p w14:paraId="7E7D973D">
      <w:pPr>
        <w:jc w:val="left"/>
        <w:rPr>
          <w:rFonts w:hint="eastAsia"/>
          <w:lang w:eastAsia="zh-CN"/>
        </w:rPr>
        <w:sectPr>
          <w:pgSz w:w="11906" w:h="16838"/>
          <w:pgMar w:top="1440" w:right="1800" w:bottom="1440" w:left="1800" w:header="851" w:footer="992" w:gutter="0"/>
          <w:cols w:space="720" w:num="1"/>
          <w:docGrid w:type="lines" w:linePitch="312" w:charSpace="0"/>
        </w:sectPr>
      </w:pPr>
      <w:r>
        <w:rPr>
          <w:rFonts w:hint="eastAsia" w:ascii="宋体" w:hAnsi="宋体"/>
          <w:b/>
          <w:sz w:val="24"/>
          <w:szCs w:val="24"/>
          <w:lang w:val="en-US" w:eastAsia="zh-CN"/>
        </w:rPr>
        <w:t>附件9：现有项目监测报告</w:t>
      </w:r>
      <w:r>
        <w:rPr>
          <w:rFonts w:hint="eastAsia"/>
          <w:lang w:eastAsia="zh-CN"/>
        </w:rPr>
        <w:drawing>
          <wp:inline distT="0" distB="0" distL="114300" distR="114300">
            <wp:extent cx="6985000" cy="4953000"/>
            <wp:effectExtent l="0" t="0" r="0" b="6350"/>
            <wp:docPr id="47" name="图片 50" descr="1b206b4a9635a96a56951585e4cefc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50" descr="1b206b4a9635a96a56951585e4cefc1e"/>
                    <pic:cNvPicPr>
                      <a:picLocks noChangeAspect="1"/>
                    </pic:cNvPicPr>
                  </pic:nvPicPr>
                  <pic:blipFill>
                    <a:blip r:embed="rId84"/>
                    <a:stretch>
                      <a:fillRect/>
                    </a:stretch>
                  </pic:blipFill>
                  <pic:spPr>
                    <a:xfrm rot="-5400000">
                      <a:off x="0" y="0"/>
                      <a:ext cx="6985000" cy="4953000"/>
                    </a:xfrm>
                    <a:prstGeom prst="rect">
                      <a:avLst/>
                    </a:prstGeom>
                    <a:noFill/>
                    <a:ln>
                      <a:noFill/>
                    </a:ln>
                  </pic:spPr>
                </pic:pic>
              </a:graphicData>
            </a:graphic>
          </wp:inline>
        </w:drawing>
      </w:r>
      <w:r>
        <w:rPr>
          <w:rFonts w:hint="eastAsia"/>
          <w:lang w:eastAsia="zh-CN"/>
        </w:rPr>
        <w:drawing>
          <wp:inline distT="0" distB="0" distL="114300" distR="114300">
            <wp:extent cx="5262880" cy="8270875"/>
            <wp:effectExtent l="0" t="0" r="13970" b="15875"/>
            <wp:docPr id="49" name="图片 51" descr="8051600a3fbd072c610545fa7678c2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51" descr="8051600a3fbd072c610545fa7678c2b4"/>
                    <pic:cNvPicPr>
                      <a:picLocks noChangeAspect="1"/>
                    </pic:cNvPicPr>
                  </pic:nvPicPr>
                  <pic:blipFill>
                    <a:blip r:embed="rId85"/>
                    <a:stretch>
                      <a:fillRect/>
                    </a:stretch>
                  </pic:blipFill>
                  <pic:spPr>
                    <a:xfrm>
                      <a:off x="0" y="0"/>
                      <a:ext cx="5262880" cy="8270875"/>
                    </a:xfrm>
                    <a:prstGeom prst="rect">
                      <a:avLst/>
                    </a:prstGeom>
                    <a:noFill/>
                    <a:ln>
                      <a:noFill/>
                    </a:ln>
                  </pic:spPr>
                </pic:pic>
              </a:graphicData>
            </a:graphic>
          </wp:inline>
        </w:drawing>
      </w:r>
      <w:r>
        <w:rPr>
          <w:rFonts w:hint="eastAsia"/>
          <w:lang w:eastAsia="zh-CN"/>
        </w:rPr>
        <w:drawing>
          <wp:inline distT="0" distB="0" distL="114300" distR="114300">
            <wp:extent cx="8303260" cy="5054600"/>
            <wp:effectExtent l="0" t="0" r="12700" b="2540"/>
            <wp:docPr id="51" name="图片 52" descr="3c99b6b607aea454e8db99b82290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2" descr="3c99b6b607aea454e8db99b822903709"/>
                    <pic:cNvPicPr>
                      <a:picLocks noChangeAspect="1"/>
                    </pic:cNvPicPr>
                  </pic:nvPicPr>
                  <pic:blipFill>
                    <a:blip r:embed="rId86"/>
                    <a:stretch>
                      <a:fillRect/>
                    </a:stretch>
                  </pic:blipFill>
                  <pic:spPr>
                    <a:xfrm rot="-5400000">
                      <a:off x="0" y="0"/>
                      <a:ext cx="8303260" cy="5054600"/>
                    </a:xfrm>
                    <a:prstGeom prst="rect">
                      <a:avLst/>
                    </a:prstGeom>
                    <a:noFill/>
                    <a:ln>
                      <a:noFill/>
                    </a:ln>
                  </pic:spPr>
                </pic:pic>
              </a:graphicData>
            </a:graphic>
          </wp:inline>
        </w:drawing>
      </w:r>
      <w:r>
        <w:rPr>
          <w:rFonts w:hint="eastAsia"/>
          <w:lang w:eastAsia="zh-CN"/>
        </w:rPr>
        <w:drawing>
          <wp:inline distT="0" distB="0" distL="114300" distR="114300">
            <wp:extent cx="8314690" cy="5029835"/>
            <wp:effectExtent l="0" t="0" r="18415" b="10160"/>
            <wp:docPr id="52" name="图片 53" descr="59790eff9bcd20ddc56d7bdda907dd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3" descr="59790eff9bcd20ddc56d7bdda907dd2c"/>
                    <pic:cNvPicPr>
                      <a:picLocks noChangeAspect="1"/>
                    </pic:cNvPicPr>
                  </pic:nvPicPr>
                  <pic:blipFill>
                    <a:blip r:embed="rId87"/>
                    <a:stretch>
                      <a:fillRect/>
                    </a:stretch>
                  </pic:blipFill>
                  <pic:spPr>
                    <a:xfrm rot="-5400000">
                      <a:off x="0" y="0"/>
                      <a:ext cx="8314690" cy="5029835"/>
                    </a:xfrm>
                    <a:prstGeom prst="rect">
                      <a:avLst/>
                    </a:prstGeom>
                    <a:noFill/>
                    <a:ln>
                      <a:noFill/>
                    </a:ln>
                  </pic:spPr>
                </pic:pic>
              </a:graphicData>
            </a:graphic>
          </wp:inline>
        </w:drawing>
      </w:r>
      <w:r>
        <w:rPr>
          <w:rFonts w:hint="eastAsia"/>
          <w:lang w:eastAsia="zh-CN"/>
        </w:rPr>
        <w:drawing>
          <wp:inline distT="0" distB="0" distL="114300" distR="114300">
            <wp:extent cx="8119745" cy="4947920"/>
            <wp:effectExtent l="0" t="0" r="5080" b="14605"/>
            <wp:docPr id="53" name="图片 54" descr="f67228472b198cfd4c111f4d9f238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4" descr="f67228472b198cfd4c111f4d9f238616"/>
                    <pic:cNvPicPr>
                      <a:picLocks noChangeAspect="1"/>
                    </pic:cNvPicPr>
                  </pic:nvPicPr>
                  <pic:blipFill>
                    <a:blip r:embed="rId88"/>
                    <a:stretch>
                      <a:fillRect/>
                    </a:stretch>
                  </pic:blipFill>
                  <pic:spPr>
                    <a:xfrm rot="-5400000">
                      <a:off x="0" y="0"/>
                      <a:ext cx="8119745" cy="4947920"/>
                    </a:xfrm>
                    <a:prstGeom prst="rect">
                      <a:avLst/>
                    </a:prstGeom>
                    <a:noFill/>
                    <a:ln>
                      <a:noFill/>
                    </a:ln>
                  </pic:spPr>
                </pic:pic>
              </a:graphicData>
            </a:graphic>
          </wp:inline>
        </w:drawing>
      </w:r>
      <w:r>
        <w:rPr>
          <w:rFonts w:hint="eastAsia"/>
          <w:lang w:eastAsia="zh-CN"/>
        </w:rPr>
        <w:drawing>
          <wp:inline distT="0" distB="0" distL="114300" distR="114300">
            <wp:extent cx="5262880" cy="8846820"/>
            <wp:effectExtent l="0" t="0" r="13970" b="11430"/>
            <wp:docPr id="55" name="图片 55" descr="48d322bda7eaafac028c66917b94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48d322bda7eaafac028c66917b941634"/>
                    <pic:cNvPicPr>
                      <a:picLocks noChangeAspect="1"/>
                    </pic:cNvPicPr>
                  </pic:nvPicPr>
                  <pic:blipFill>
                    <a:blip r:embed="rId89"/>
                    <a:stretch>
                      <a:fillRect/>
                    </a:stretch>
                  </pic:blipFill>
                  <pic:spPr>
                    <a:xfrm>
                      <a:off x="0" y="0"/>
                      <a:ext cx="5262880" cy="8846820"/>
                    </a:xfrm>
                    <a:prstGeom prst="rect">
                      <a:avLst/>
                    </a:prstGeom>
                    <a:noFill/>
                    <a:ln>
                      <a:noFill/>
                    </a:ln>
                  </pic:spPr>
                </pic:pic>
              </a:graphicData>
            </a:graphic>
          </wp:inline>
        </w:drawing>
      </w:r>
      <w:r>
        <w:rPr>
          <w:rFonts w:hint="eastAsia"/>
          <w:lang w:eastAsia="zh-CN"/>
        </w:rPr>
        <w:drawing>
          <wp:inline distT="0" distB="0" distL="114300" distR="114300">
            <wp:extent cx="5266690" cy="8595995"/>
            <wp:effectExtent l="0" t="0" r="10160" b="14605"/>
            <wp:docPr id="56" name="图片 56" descr="cfeb54b8286ef7e0c29393591394b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feb54b8286ef7e0c29393591394b613"/>
                    <pic:cNvPicPr>
                      <a:picLocks noChangeAspect="1"/>
                    </pic:cNvPicPr>
                  </pic:nvPicPr>
                  <pic:blipFill>
                    <a:blip r:embed="rId90"/>
                    <a:stretch>
                      <a:fillRect/>
                    </a:stretch>
                  </pic:blipFill>
                  <pic:spPr>
                    <a:xfrm>
                      <a:off x="0" y="0"/>
                      <a:ext cx="5266690" cy="8595995"/>
                    </a:xfrm>
                    <a:prstGeom prst="rect">
                      <a:avLst/>
                    </a:prstGeom>
                    <a:noFill/>
                    <a:ln>
                      <a:noFill/>
                    </a:ln>
                  </pic:spPr>
                </pic:pic>
              </a:graphicData>
            </a:graphic>
          </wp:inline>
        </w:drawing>
      </w:r>
      <w:r>
        <w:rPr>
          <w:rFonts w:hint="eastAsia"/>
          <w:lang w:eastAsia="zh-CN"/>
        </w:rPr>
        <w:drawing>
          <wp:inline distT="0" distB="0" distL="114300" distR="114300">
            <wp:extent cx="5262880" cy="8566785"/>
            <wp:effectExtent l="0" t="0" r="13970" b="5715"/>
            <wp:docPr id="60" name="图片 57" descr="9115b589471f70c866dfc22cf159bf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7" descr="9115b589471f70c866dfc22cf159bfac"/>
                    <pic:cNvPicPr>
                      <a:picLocks noChangeAspect="1"/>
                    </pic:cNvPicPr>
                  </pic:nvPicPr>
                  <pic:blipFill>
                    <a:blip r:embed="rId91"/>
                    <a:stretch>
                      <a:fillRect/>
                    </a:stretch>
                  </pic:blipFill>
                  <pic:spPr>
                    <a:xfrm>
                      <a:off x="0" y="0"/>
                      <a:ext cx="5262880" cy="8566785"/>
                    </a:xfrm>
                    <a:prstGeom prst="rect">
                      <a:avLst/>
                    </a:prstGeom>
                    <a:noFill/>
                    <a:ln>
                      <a:noFill/>
                    </a:ln>
                  </pic:spPr>
                </pic:pic>
              </a:graphicData>
            </a:graphic>
          </wp:inline>
        </w:drawing>
      </w:r>
      <w:r>
        <w:rPr>
          <w:rFonts w:hint="eastAsia"/>
          <w:lang w:eastAsia="zh-CN"/>
        </w:rPr>
        <w:drawing>
          <wp:inline distT="0" distB="0" distL="114300" distR="114300">
            <wp:extent cx="5266690" cy="8994775"/>
            <wp:effectExtent l="0" t="0" r="10160" b="15875"/>
            <wp:docPr id="61" name="图片 58" descr="6923b3912d2a87f6cd51bfe68812e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8" descr="6923b3912d2a87f6cd51bfe68812e663"/>
                    <pic:cNvPicPr>
                      <a:picLocks noChangeAspect="1"/>
                    </pic:cNvPicPr>
                  </pic:nvPicPr>
                  <pic:blipFill>
                    <a:blip r:embed="rId92"/>
                    <a:stretch>
                      <a:fillRect/>
                    </a:stretch>
                  </pic:blipFill>
                  <pic:spPr>
                    <a:xfrm>
                      <a:off x="0" y="0"/>
                      <a:ext cx="5266690" cy="8994775"/>
                    </a:xfrm>
                    <a:prstGeom prst="rect">
                      <a:avLst/>
                    </a:prstGeom>
                    <a:noFill/>
                    <a:ln>
                      <a:noFill/>
                    </a:ln>
                  </pic:spPr>
                </pic:pic>
              </a:graphicData>
            </a:graphic>
          </wp:inline>
        </w:drawing>
      </w:r>
    </w:p>
    <w:p w14:paraId="79A2B1B1">
      <w:pPr>
        <w:jc w:val="both"/>
        <w:rPr>
          <w:rFonts w:hint="default" w:ascii="宋体" w:hAnsi="宋体"/>
          <w:b/>
          <w:sz w:val="24"/>
          <w:szCs w:val="24"/>
          <w:lang w:val="en-US" w:eastAsia="zh-CN"/>
        </w:rPr>
      </w:pPr>
      <w:r>
        <w:rPr>
          <w:rFonts w:hint="eastAsia" w:ascii="宋体" w:hAnsi="宋体"/>
          <w:b/>
          <w:sz w:val="24"/>
          <w:szCs w:val="24"/>
          <w:lang w:val="en-US" w:eastAsia="zh-CN"/>
        </w:rPr>
        <w:t>附件10：工程师踏勘照片</w:t>
      </w:r>
    </w:p>
    <w:tbl>
      <w:tblPr>
        <w:tblStyle w:val="8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986"/>
      </w:tblGrid>
      <w:tr w14:paraId="5F4A3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60" w:hRule="atLeast"/>
        </w:trPr>
        <w:tc>
          <w:tcPr>
            <w:tcW w:w="7980" w:type="dxa"/>
            <w:noWrap w:val="0"/>
            <w:vAlign w:val="top"/>
          </w:tcPr>
          <w:p w14:paraId="67DEBD4C">
            <w:pPr>
              <w:pStyle w:val="76"/>
              <w:keepNext w:val="0"/>
              <w:keepLines w:val="0"/>
              <w:widowControl/>
              <w:suppressLineNumbers w:val="0"/>
              <w:spacing w:line="360" w:lineRule="auto"/>
              <w:jc w:val="center"/>
              <w:rPr>
                <w:rFonts w:hint="eastAsia"/>
                <w:vertAlign w:val="baseline"/>
                <w:lang w:eastAsia="zh-CN"/>
              </w:rPr>
            </w:pPr>
            <w:r>
              <w:rPr>
                <w:rFonts w:hint="eastAsia"/>
                <w:vertAlign w:val="baseline"/>
                <w:lang w:eastAsia="zh-CN"/>
              </w:rPr>
              <w:drawing>
                <wp:inline distT="0" distB="0" distL="114300" distR="114300">
                  <wp:extent cx="4921885" cy="6553200"/>
                  <wp:effectExtent l="0" t="0" r="12065" b="0"/>
                  <wp:docPr id="59" name="图片 59" descr="72a6fc889be9d08079510a552f8cec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72a6fc889be9d08079510a552f8cec99"/>
                          <pic:cNvPicPr>
                            <a:picLocks noChangeAspect="1"/>
                          </pic:cNvPicPr>
                        </pic:nvPicPr>
                        <pic:blipFill>
                          <a:blip r:embed="rId93"/>
                          <a:stretch>
                            <a:fillRect/>
                          </a:stretch>
                        </pic:blipFill>
                        <pic:spPr>
                          <a:xfrm>
                            <a:off x="0" y="0"/>
                            <a:ext cx="4921885" cy="6553200"/>
                          </a:xfrm>
                          <a:prstGeom prst="rect">
                            <a:avLst/>
                          </a:prstGeom>
                          <a:noFill/>
                          <a:ln>
                            <a:noFill/>
                          </a:ln>
                        </pic:spPr>
                      </pic:pic>
                    </a:graphicData>
                  </a:graphic>
                </wp:inline>
              </w:drawing>
            </w:r>
          </w:p>
        </w:tc>
      </w:tr>
      <w:tr w14:paraId="7398E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5" w:hRule="atLeast"/>
        </w:trPr>
        <w:tc>
          <w:tcPr>
            <w:tcW w:w="7980" w:type="dxa"/>
            <w:noWrap w:val="0"/>
            <w:vAlign w:val="center"/>
          </w:tcPr>
          <w:p w14:paraId="7F8FB291">
            <w:pPr>
              <w:pStyle w:val="76"/>
              <w:keepNext w:val="0"/>
              <w:keepLines w:val="0"/>
              <w:widowControl/>
              <w:suppressLineNumbers w:val="0"/>
              <w:spacing w:line="360" w:lineRule="auto"/>
              <w:jc w:val="center"/>
              <w:rPr>
                <w:rFonts w:hint="eastAsia"/>
                <w:vertAlign w:val="baseline"/>
                <w:lang w:eastAsia="zh-CN"/>
              </w:rPr>
            </w:pPr>
            <w:r>
              <w:rPr>
                <w:rFonts w:hint="eastAsia"/>
                <w:vertAlign w:val="baseline"/>
                <w:lang w:eastAsia="zh-CN"/>
              </w:rPr>
              <w:t>工程师现场踏勘照片</w:t>
            </w:r>
          </w:p>
        </w:tc>
      </w:tr>
    </w:tbl>
    <w:p w14:paraId="65AB6B1F">
      <w:pPr>
        <w:pStyle w:val="76"/>
        <w:keepNext w:val="0"/>
        <w:keepLines w:val="0"/>
        <w:widowControl/>
        <w:suppressLineNumbers w:val="0"/>
        <w:shd w:val="clear" w:color="auto" w:fill="FFFFFF"/>
        <w:spacing w:line="360" w:lineRule="auto"/>
        <w:jc w:val="center"/>
        <w:rPr>
          <w:rFonts w:hint="eastAsia"/>
          <w:lang w:eastAsia="zh-CN"/>
        </w:rPr>
        <w:sectPr>
          <w:pgSz w:w="11906" w:h="16838"/>
          <w:pgMar w:top="1701" w:right="1531" w:bottom="1701" w:left="1531" w:header="851" w:footer="1077" w:gutter="0"/>
          <w:pgNumType w:fmt="decimal"/>
          <w:cols w:space="720" w:num="1"/>
          <w:docGrid w:linePitch="312" w:charSpace="0"/>
        </w:sectPr>
      </w:pPr>
    </w:p>
    <w:p w14:paraId="6AD6B45A">
      <w:pPr>
        <w:pStyle w:val="76"/>
        <w:keepNext w:val="0"/>
        <w:keepLines w:val="0"/>
        <w:widowControl/>
        <w:suppressLineNumbers w:val="0"/>
        <w:shd w:val="clear" w:color="auto" w:fill="FFFFFF"/>
        <w:spacing w:line="360" w:lineRule="auto"/>
        <w:jc w:val="center"/>
        <w:sectPr>
          <w:pgSz w:w="16838" w:h="11906" w:orient="landscape"/>
          <w:pgMar w:top="1531" w:right="1701" w:bottom="1531" w:left="1701" w:header="851" w:footer="1077" w:gutter="0"/>
          <w:pgNumType w:fmt="decimal"/>
          <w:cols w:space="720" w:num="1"/>
          <w:docGrid w:linePitch="312" w:charSpace="0"/>
        </w:sectPr>
      </w:pPr>
      <w:r>
        <w:drawing>
          <wp:inline distT="0" distB="0" distL="114300" distR="114300">
            <wp:extent cx="8277225" cy="5728335"/>
            <wp:effectExtent l="0" t="0" r="9525" b="5715"/>
            <wp:docPr id="6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0"/>
                    <pic:cNvPicPr>
                      <a:picLocks noChangeAspect="1"/>
                    </pic:cNvPicPr>
                  </pic:nvPicPr>
                  <pic:blipFill>
                    <a:blip r:embed="rId94"/>
                    <a:stretch>
                      <a:fillRect/>
                    </a:stretch>
                  </pic:blipFill>
                  <pic:spPr>
                    <a:xfrm>
                      <a:off x="0" y="0"/>
                      <a:ext cx="8277225" cy="5728335"/>
                    </a:xfrm>
                    <a:prstGeom prst="rect">
                      <a:avLst/>
                    </a:prstGeom>
                    <a:noFill/>
                    <a:ln>
                      <a:noFill/>
                    </a:ln>
                  </pic:spPr>
                </pic:pic>
              </a:graphicData>
            </a:graphic>
          </wp:inline>
        </w:drawing>
      </w:r>
      <w:r>
        <w:drawing>
          <wp:inline distT="0" distB="0" distL="114300" distR="114300">
            <wp:extent cx="8529955" cy="5118100"/>
            <wp:effectExtent l="0" t="0" r="4445" b="6350"/>
            <wp:docPr id="63"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1"/>
                    <pic:cNvPicPr>
                      <a:picLocks noChangeAspect="1"/>
                    </pic:cNvPicPr>
                  </pic:nvPicPr>
                  <pic:blipFill>
                    <a:blip r:embed="rId95"/>
                    <a:stretch>
                      <a:fillRect/>
                    </a:stretch>
                  </pic:blipFill>
                  <pic:spPr>
                    <a:xfrm>
                      <a:off x="0" y="0"/>
                      <a:ext cx="8529955" cy="5118100"/>
                    </a:xfrm>
                    <a:prstGeom prst="rect">
                      <a:avLst/>
                    </a:prstGeom>
                    <a:noFill/>
                    <a:ln>
                      <a:noFill/>
                    </a:ln>
                  </pic:spPr>
                </pic:pic>
              </a:graphicData>
            </a:graphic>
          </wp:inline>
        </w:drawing>
      </w:r>
      <w:r>
        <w:drawing>
          <wp:inline distT="0" distB="0" distL="114300" distR="114300">
            <wp:extent cx="8524875" cy="4709795"/>
            <wp:effectExtent l="0" t="0" r="9525" b="14605"/>
            <wp:docPr id="6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2"/>
                    <pic:cNvPicPr>
                      <a:picLocks noChangeAspect="1"/>
                    </pic:cNvPicPr>
                  </pic:nvPicPr>
                  <pic:blipFill>
                    <a:blip r:embed="rId96"/>
                    <a:stretch>
                      <a:fillRect/>
                    </a:stretch>
                  </pic:blipFill>
                  <pic:spPr>
                    <a:xfrm>
                      <a:off x="0" y="0"/>
                      <a:ext cx="8524875" cy="4709795"/>
                    </a:xfrm>
                    <a:prstGeom prst="rect">
                      <a:avLst/>
                    </a:prstGeom>
                    <a:noFill/>
                    <a:ln>
                      <a:noFill/>
                    </a:ln>
                  </pic:spPr>
                </pic:pic>
              </a:graphicData>
            </a:graphic>
          </wp:inline>
        </w:drawing>
      </w:r>
    </w:p>
    <w:p w14:paraId="66DFF28D">
      <w:pPr>
        <w:pStyle w:val="76"/>
        <w:keepNext w:val="0"/>
        <w:keepLines w:val="0"/>
        <w:widowControl/>
        <w:suppressLineNumbers w:val="0"/>
        <w:shd w:val="clear" w:color="auto" w:fill="FFFFFF"/>
        <w:spacing w:line="360" w:lineRule="auto"/>
        <w:jc w:val="center"/>
        <w:rPr>
          <w:rFonts w:hint="eastAsia"/>
          <w:lang w:eastAsia="zh-CN"/>
        </w:rPr>
      </w:pPr>
      <w:r>
        <w:drawing>
          <wp:inline distT="0" distB="0" distL="114300" distR="114300">
            <wp:extent cx="5575935" cy="8526145"/>
            <wp:effectExtent l="0" t="0" r="5715" b="8255"/>
            <wp:docPr id="66"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4"/>
                    <pic:cNvPicPr>
                      <a:picLocks noChangeAspect="1"/>
                    </pic:cNvPicPr>
                  </pic:nvPicPr>
                  <pic:blipFill>
                    <a:blip r:embed="rId97"/>
                    <a:stretch>
                      <a:fillRect/>
                    </a:stretch>
                  </pic:blipFill>
                  <pic:spPr>
                    <a:xfrm>
                      <a:off x="0" y="0"/>
                      <a:ext cx="5575935" cy="8526145"/>
                    </a:xfrm>
                    <a:prstGeom prst="rect">
                      <a:avLst/>
                    </a:prstGeom>
                    <a:noFill/>
                    <a:ln>
                      <a:noFill/>
                    </a:ln>
                  </pic:spPr>
                </pic:pic>
              </a:graphicData>
            </a:graphic>
          </wp:inline>
        </w:drawing>
      </w:r>
    </w:p>
    <w:p w14:paraId="5D7574C3">
      <w:pPr>
        <w:pStyle w:val="76"/>
        <w:keepNext w:val="0"/>
        <w:keepLines w:val="0"/>
        <w:widowControl/>
        <w:suppressLineNumbers w:val="0"/>
        <w:shd w:val="clear" w:color="auto" w:fill="FFFFFF"/>
        <w:spacing w:line="360" w:lineRule="auto"/>
        <w:jc w:val="center"/>
        <w:sectPr>
          <w:pgSz w:w="11906" w:h="16838"/>
          <w:pgMar w:top="1701" w:right="1531" w:bottom="1701" w:left="1531" w:header="851" w:footer="1077" w:gutter="0"/>
          <w:pgNumType w:fmt="decimal"/>
          <w:cols w:space="720" w:num="1"/>
          <w:docGrid w:linePitch="312" w:charSpace="0"/>
        </w:sectPr>
      </w:pPr>
      <w:r>
        <w:drawing>
          <wp:inline distT="0" distB="0" distL="114300" distR="114300">
            <wp:extent cx="5519420" cy="8716010"/>
            <wp:effectExtent l="0" t="0" r="5080" b="8890"/>
            <wp:docPr id="68"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6"/>
                    <pic:cNvPicPr>
                      <a:picLocks noChangeAspect="1"/>
                    </pic:cNvPicPr>
                  </pic:nvPicPr>
                  <pic:blipFill>
                    <a:blip r:embed="rId98"/>
                    <a:stretch>
                      <a:fillRect/>
                    </a:stretch>
                  </pic:blipFill>
                  <pic:spPr>
                    <a:xfrm>
                      <a:off x="0" y="0"/>
                      <a:ext cx="5519420" cy="8716010"/>
                    </a:xfrm>
                    <a:prstGeom prst="rect">
                      <a:avLst/>
                    </a:prstGeom>
                    <a:noFill/>
                    <a:ln>
                      <a:noFill/>
                    </a:ln>
                  </pic:spPr>
                </pic:pic>
              </a:graphicData>
            </a:graphic>
          </wp:inline>
        </w:drawing>
      </w:r>
    </w:p>
    <w:p w14:paraId="60F3A695">
      <w:pPr>
        <w:pStyle w:val="76"/>
        <w:keepNext w:val="0"/>
        <w:keepLines w:val="0"/>
        <w:widowControl/>
        <w:suppressLineNumbers w:val="0"/>
        <w:shd w:val="clear" w:color="auto" w:fill="FFFFFF"/>
        <w:spacing w:line="360" w:lineRule="auto"/>
        <w:jc w:val="center"/>
        <w:rPr>
          <w:rFonts w:hint="eastAsia" w:eastAsia="宋体"/>
          <w:lang w:eastAsia="zh-CN"/>
        </w:rPr>
      </w:pPr>
      <w:r>
        <w:drawing>
          <wp:inline distT="0" distB="0" distL="114300" distR="114300">
            <wp:extent cx="8467090" cy="5715635"/>
            <wp:effectExtent l="0" t="0" r="10160" b="18415"/>
            <wp:docPr id="69"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7"/>
                    <pic:cNvPicPr>
                      <a:picLocks noChangeAspect="1"/>
                    </pic:cNvPicPr>
                  </pic:nvPicPr>
                  <pic:blipFill>
                    <a:blip r:embed="rId99"/>
                    <a:stretch>
                      <a:fillRect/>
                    </a:stretch>
                  </pic:blipFill>
                  <pic:spPr>
                    <a:xfrm>
                      <a:off x="0" y="0"/>
                      <a:ext cx="8467090" cy="5715635"/>
                    </a:xfrm>
                    <a:prstGeom prst="rect">
                      <a:avLst/>
                    </a:prstGeom>
                    <a:noFill/>
                    <a:ln>
                      <a:noFill/>
                    </a:ln>
                  </pic:spPr>
                </pic:pic>
              </a:graphicData>
            </a:graphic>
          </wp:inline>
        </w:drawing>
      </w:r>
      <w:r>
        <w:drawing>
          <wp:inline distT="0" distB="0" distL="114300" distR="114300">
            <wp:extent cx="8368665" cy="5610225"/>
            <wp:effectExtent l="0" t="0" r="13335" b="9525"/>
            <wp:docPr id="70"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8"/>
                    <pic:cNvPicPr>
                      <a:picLocks noChangeAspect="1"/>
                    </pic:cNvPicPr>
                  </pic:nvPicPr>
                  <pic:blipFill>
                    <a:blip r:embed="rId100"/>
                    <a:stretch>
                      <a:fillRect/>
                    </a:stretch>
                  </pic:blipFill>
                  <pic:spPr>
                    <a:xfrm>
                      <a:off x="0" y="0"/>
                      <a:ext cx="8368665" cy="5610225"/>
                    </a:xfrm>
                    <a:prstGeom prst="rect">
                      <a:avLst/>
                    </a:prstGeom>
                    <a:noFill/>
                    <a:ln>
                      <a:noFill/>
                    </a:ln>
                  </pic:spPr>
                </pic:pic>
              </a:graphicData>
            </a:graphic>
          </wp:inline>
        </w:drawing>
      </w:r>
    </w:p>
    <w:sectPr>
      <w:pgSz w:w="16838" w:h="11906" w:orient="landscape"/>
      <w:pgMar w:top="1531" w:right="1701" w:bottom="1531" w:left="1701" w:header="851" w:footer="1077"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panose1 w:val="02010609030101010101"/>
    <w:charset w:val="86"/>
    <w:family w:val="modern"/>
    <w:pitch w:val="default"/>
    <w:sig w:usb0="00000001" w:usb1="080E0000" w:usb2="00000000" w:usb3="00000000" w:csb0="00040000" w:csb1="00000000"/>
  </w:font>
  <w:font w:name="ˎ̥">
    <w:altName w:val="Times New Roman"/>
    <w:panose1 w:val="00000000000000000000"/>
    <w:charset w:val="00"/>
    <w:family w:val="roman"/>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微软雅黑">
    <w:panose1 w:val="020B0503020204020204"/>
    <w:charset w:val="86"/>
    <w:family w:val="swiss"/>
    <w:pitch w:val="default"/>
    <w:sig w:usb0="80000287" w:usb1="2ACF3C50" w:usb2="00000016" w:usb3="00000000" w:csb0="0004001F" w:csb1="00000000"/>
  </w:font>
  <w:font w:name="TimesNewRomanPS-ItalicMT">
    <w:altName w:val="Times New Roman"/>
    <w:panose1 w:val="00000000000000000000"/>
    <w:charset w:val="00"/>
    <w:family w:val="roman"/>
    <w:pitch w:val="default"/>
    <w:sig w:usb0="00000000" w:usb1="00000000" w:usb2="00000000" w:usb3="00000000" w:csb0="00040001" w:csb1="00000000"/>
  </w:font>
  <w:font w:name="Calibri Light">
    <w:panose1 w:val="020F0302020204030204"/>
    <w:charset w:val="00"/>
    <w:family w:val="swiss"/>
    <w:pitch w:val="default"/>
    <w:sig w:usb0="E4002EFF" w:usb1="C000247B" w:usb2="00000009" w:usb3="00000000" w:csb0="200001FF" w:csb1="00000000"/>
  </w:font>
  <w:font w:name="宋体-方正超大字符集">
    <w:altName w:val="宋体"/>
    <w:panose1 w:val="00000000000000000000"/>
    <w:charset w:val="86"/>
    <w:family w:val="script"/>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603F01FF" w:csb1="FFFF0000"/>
  </w:font>
  <w:font w:name="华文细黑">
    <w:altName w:val="微软雅黑"/>
    <w:panose1 w:val="02010600040101010101"/>
    <w:charset w:val="86"/>
    <w:family w:val="auto"/>
    <w:pitch w:val="default"/>
    <w:sig w:usb0="00000000" w:usb1="00000000" w:usb2="00000000" w:usb3="00000000" w:csb0="0004009F" w:csb1="DFD70000"/>
  </w:font>
  <w:font w:name="MS Mincho">
    <w:altName w:val="Yu Gothic UI"/>
    <w:panose1 w:val="02020609040205080304"/>
    <w:charset w:val="80"/>
    <w:family w:val="modern"/>
    <w:pitch w:val="default"/>
    <w:sig w:usb0="00000000" w:usb1="00000000" w:usb2="00000012" w:usb3="00000000" w:csb0="4002009F" w:csb1="DFD70000"/>
  </w:font>
  <w:font w:name="Yu Gothic UI">
    <w:panose1 w:val="020B0500000000000000"/>
    <w:charset w:val="80"/>
    <w:family w:val="auto"/>
    <w:pitch w:val="default"/>
    <w:sig w:usb0="E00002FF" w:usb1="2AC7FDFF" w:usb2="00000016" w:usb3="00000000" w:csb0="2002009F" w:csb1="00000000"/>
  </w:font>
  <w:font w:name="Verdana">
    <w:panose1 w:val="020B0604030504040204"/>
    <w:charset w:val="00"/>
    <w:family w:val="swiss"/>
    <w:pitch w:val="default"/>
    <w:sig w:usb0="A00006FF" w:usb1="4000205B" w:usb2="00000010" w:usb3="00000000" w:csb0="2000019F" w:csb1="00000000"/>
  </w:font>
  <w:font w:name="Tahoma">
    <w:panose1 w:val="020B0604030504040204"/>
    <w:charset w:val="00"/>
    <w:family w:val="swiss"/>
    <w:pitch w:val="default"/>
    <w:sig w:usb0="E1002EFF" w:usb1="C000605B" w:usb2="00000029" w:usb3="00000000" w:csb0="200101FF" w:csb1="20280000"/>
  </w:font>
  <w:font w:name="华文中宋">
    <w:altName w:val="宋体"/>
    <w:panose1 w:val="02010600040101010101"/>
    <w:charset w:val="86"/>
    <w:family w:val="auto"/>
    <w:pitch w:val="default"/>
    <w:sig w:usb0="00000000" w:usb1="00000000" w:usb2="00000000" w:usb3="00000000" w:csb0="0004009F" w:csb1="DFD70000"/>
  </w:font>
  <w:font w:name="”“Times New Roman”“">
    <w:altName w:val="宋体"/>
    <w:panose1 w:val="00000000000000000000"/>
    <w:charset w:val="86"/>
    <w:family w:val="roman"/>
    <w:pitch w:val="default"/>
    <w:sig w:usb0="00000000" w:usb1="00000000" w:usb2="00000010" w:usb3="00000000" w:csb0="00040000" w:csb1="00000000"/>
  </w:font>
  <w:font w:name="Sim Sun+ 2">
    <w:altName w:val="宋体"/>
    <w:panose1 w:val="00000000000000000000"/>
    <w:charset w:val="86"/>
    <w:family w:val="swiss"/>
    <w:pitch w:val="default"/>
    <w:sig w:usb0="00000000" w:usb1="00000000" w:usb2="00000010" w:usb3="00000000" w:csb0="00040000" w:csb1="00000000"/>
  </w:font>
  <w:font w:name="Courier">
    <w:panose1 w:val="02060409020205020404"/>
    <w:charset w:val="00"/>
    <w:family w:val="modern"/>
    <w:pitch w:val="default"/>
    <w:sig w:usb0="00000007" w:usb1="00000000" w:usb2="00000000" w:usb3="00000000" w:csb0="00000093" w:csb1="00000000"/>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Tms Rmn">
    <w:altName w:val="Segoe Print"/>
    <w:panose1 w:val="020206030405050203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汉鼎简书宋">
    <w:altName w:val="宋体"/>
    <w:panose1 w:val="00000000000000000000"/>
    <w:charset w:val="86"/>
    <w:family w:val="modern"/>
    <w:pitch w:val="default"/>
    <w:sig w:usb0="00000000" w:usb1="00000000" w:usb2="00000010" w:usb3="00000000" w:csb0="00040000" w:csb1="00000000"/>
  </w:font>
  <w:font w:name="方正宋三简体">
    <w:altName w:val="宋体"/>
    <w:panose1 w:val="00000000000000000000"/>
    <w:charset w:val="86"/>
    <w:family w:val="auto"/>
    <w:pitch w:val="default"/>
    <w:sig w:usb0="00000000" w:usb1="00000000" w:usb2="00000010" w:usb3="00000000" w:csb0="00040000" w:csb1="00000000"/>
  </w:font>
  <w:font w:name="方正仿宋_GBK">
    <w:altName w:val="宋体"/>
    <w:panose1 w:val="00000000000000000000"/>
    <w:charset w:val="86"/>
    <w:family w:val="script"/>
    <w:pitch w:val="default"/>
    <w:sig w:usb0="00000000" w:usb1="00000000" w:usb2="00000010" w:usb3="00000000" w:csb0="00040000" w:csb1="00000000"/>
  </w:font>
  <w:font w:name="Fang Song">
    <w:altName w:val="黑体"/>
    <w:panose1 w:val="00000000000000000000"/>
    <w:charset w:val="86"/>
    <w:family w:val="modern"/>
    <w:pitch w:val="default"/>
    <w:sig w:usb0="00000000" w:usb1="00000000" w:usb2="00000010" w:usb3="00000000" w:csb0="00040000" w:csb1="00000000"/>
  </w:font>
  <w:font w:name="TimesNewRomanPSMT">
    <w:altName w:val="Times New Roman"/>
    <w:panose1 w:val="00000000000000000000"/>
    <w:charset w:val="00"/>
    <w:family w:val="roman"/>
    <w:pitch w:val="default"/>
    <w:sig w:usb0="00000000" w:usb1="00000000" w:usb2="00000000" w:usb3="00000000" w:csb0="00000001" w:csb1="00000000"/>
  </w:font>
  <w:font w:name="Wingdings 2">
    <w:panose1 w:val="05020102010507070707"/>
    <w:charset w:val="02"/>
    <w:family w:val="roman"/>
    <w:pitch w:val="default"/>
    <w:sig w:usb0="00000000" w:usb1="00000000" w:usb2="00000000" w:usb3="00000000" w:csb0="80000000"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方正小标宋_GBK">
    <w:altName w:val="微软雅黑"/>
    <w:panose1 w:val="03000509000000000000"/>
    <w:charset w:val="86"/>
    <w:family w:val="script"/>
    <w:pitch w:val="default"/>
    <w:sig w:usb0="00000000" w:usb1="00000000" w:usb2="00000000" w:usb3="00000000" w:csb0="00040000" w:csb1="00000000"/>
  </w:font>
  <w:font w:name="KSOF8080F95D">
    <w:panose1 w:val="020B0503020204020204"/>
    <w:charset w:val="86"/>
    <w:family w:val="auto"/>
    <w:pitch w:val="default"/>
    <w:sig w:usb0="00000001" w:usb1="00000000"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20382D">
    <w:pPr>
      <w:pStyle w:val="53"/>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98DA3F">
                          <w:pPr>
                            <w:pStyle w:val="5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1498DA3F">
                    <w:pPr>
                      <w:pStyle w:val="5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5CDD47">
    <w:pPr>
      <w:pStyle w:val="53"/>
      <w:ind w:right="360" w:firstLine="36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098BDB2">
                          <w:pPr>
                            <w:pStyle w:val="53"/>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R3mO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GJYRoVv3z/dvnx&#10;6/LzK8EZBKpdmCNu5xAZm7e2QdsM5wGHiXdTep2+YETgB9b5Kq9oIuHp0mw6m43h4vANG+Bnj9ed&#10;D/GdsJokI6ce9WtlZadtiF3oEJKyGbuRSrU1VIbUOb15/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HeY5jICAABjBAAADgAAAAAAAAABACAAAAAfAQAAZHJzL2Uyb0RvYy54bWxQSwUG&#10;AAAAAAYABgBZAQAAwwUAAAAA&#10;">
              <v:fill on="f" focussize="0,0"/>
              <v:stroke on="f" weight="0.5pt"/>
              <v:imagedata o:title=""/>
              <o:lock v:ext="edit" aspectratio="f"/>
              <v:textbox inset="0mm,0mm,0mm,0mm" style="mso-fit-shape-to-text:t;">
                <w:txbxContent>
                  <w:p w14:paraId="4098BDB2">
                    <w:pPr>
                      <w:pStyle w:val="53"/>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900487">
    <w:pPr>
      <w:pStyle w:val="53"/>
      <w:ind w:right="360"/>
      <w:jc w:val="both"/>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FB63C3">
                          <w:pPr>
                            <w:pStyle w:val="53"/>
                          </w:pPr>
                          <w:r>
                            <w:fldChar w:fldCharType="begin"/>
                          </w:r>
                          <w:r>
                            <w:instrText xml:space="preserve"> PAGE  \* MERGEFORMAT </w:instrText>
                          </w:r>
                          <w:r>
                            <w:fldChar w:fldCharType="separate"/>
                          </w:r>
                          <w:r>
                            <w:t>33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bfDwky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lt8PCTICAABjBAAADgAAAAAAAAABACAAAAAfAQAAZHJzL2Uyb0RvYy54bWxQSwUG&#10;AAAAAAYABgBZAQAAwwUAAAAA&#10;">
              <v:fill on="f" focussize="0,0"/>
              <v:stroke on="f" weight="0.5pt"/>
              <v:imagedata o:title=""/>
              <o:lock v:ext="edit" aspectratio="f"/>
              <v:textbox inset="0mm,0mm,0mm,0mm" style="mso-fit-shape-to-text:t;">
                <w:txbxContent>
                  <w:p w14:paraId="54FB63C3">
                    <w:pPr>
                      <w:pStyle w:val="53"/>
                    </w:pPr>
                    <w:r>
                      <w:fldChar w:fldCharType="begin"/>
                    </w:r>
                    <w:r>
                      <w:instrText xml:space="preserve"> PAGE  \* MERGEFORMAT </w:instrText>
                    </w:r>
                    <w:r>
                      <w:fldChar w:fldCharType="separate"/>
                    </w:r>
                    <w:r>
                      <w:t>33</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C17B6A">
    <w:pPr>
      <w:pStyle w:val="53"/>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DC5539">
                          <w:pPr>
                            <w:pStyle w:val="53"/>
                          </w:pPr>
                          <w:r>
                            <w:fldChar w:fldCharType="begin"/>
                          </w:r>
                          <w:r>
                            <w:instrText xml:space="preserve"> PAGE  \* MERGEFORMAT </w:instrText>
                          </w:r>
                          <w:r>
                            <w:fldChar w:fldCharType="separate"/>
                          </w:r>
                          <w:r>
                            <w:t>65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hxuI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ESHG4jICAABjBAAADgAAAAAAAAABACAAAAAfAQAAZHJzL2Uyb0RvYy54bWxQSwUG&#10;AAAAAAYABgBZAQAAwwUAAAAA&#10;">
              <v:fill on="f" focussize="0,0"/>
              <v:stroke on="f" weight="0.5pt"/>
              <v:imagedata o:title=""/>
              <o:lock v:ext="edit" aspectratio="f"/>
              <v:textbox inset="0mm,0mm,0mm,0mm" style="mso-fit-shape-to-text:t;">
                <w:txbxContent>
                  <w:p w14:paraId="5EDC5539">
                    <w:pPr>
                      <w:pStyle w:val="53"/>
                    </w:pPr>
                    <w:r>
                      <w:fldChar w:fldCharType="begin"/>
                    </w:r>
                    <w:r>
                      <w:instrText xml:space="preserve"> PAGE  \* MERGEFORMAT </w:instrText>
                    </w:r>
                    <w:r>
                      <w:fldChar w:fldCharType="separate"/>
                    </w:r>
                    <w:r>
                      <w:t>65</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84C28">
    <w:pPr>
      <w:pStyle w:val="53"/>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70F8944"/>
    <w:multiLevelType w:val="singleLevel"/>
    <w:tmpl w:val="B70F8944"/>
    <w:lvl w:ilvl="0" w:tentative="0">
      <w:start w:val="1"/>
      <w:numFmt w:val="decimal"/>
      <w:lvlText w:val="%1."/>
      <w:lvlJc w:val="left"/>
      <w:pPr>
        <w:tabs>
          <w:tab w:val="left" w:pos="420"/>
        </w:tabs>
        <w:ind w:left="425" w:leftChars="0" w:hanging="425" w:firstLineChars="0"/>
      </w:pPr>
      <w:rPr>
        <w:rFonts w:hint="default"/>
      </w:rPr>
    </w:lvl>
  </w:abstractNum>
  <w:abstractNum w:abstractNumId="1">
    <w:nsid w:val="FFFFFF89"/>
    <w:multiLevelType w:val="singleLevel"/>
    <w:tmpl w:val="FFFFFF89"/>
    <w:lvl w:ilvl="0" w:tentative="0">
      <w:start w:val="1"/>
      <w:numFmt w:val="bullet"/>
      <w:pStyle w:val="25"/>
      <w:lvlText w:val=""/>
      <w:lvlJc w:val="left"/>
      <w:pPr>
        <w:tabs>
          <w:tab w:val="left" w:pos="360"/>
        </w:tabs>
        <w:ind w:left="360" w:hanging="360"/>
      </w:pPr>
      <w:rPr>
        <w:rFonts w:hint="default" w:ascii="Wingdings" w:hAnsi="Wingdings"/>
      </w:rPr>
    </w:lvl>
  </w:abstractNum>
  <w:abstractNum w:abstractNumId="2">
    <w:nsid w:val="00000001"/>
    <w:multiLevelType w:val="multilevel"/>
    <w:tmpl w:val="00000001"/>
    <w:lvl w:ilvl="0" w:tentative="0">
      <w:start w:val="1"/>
      <w:numFmt w:val="decimalEnclosedCircle"/>
      <w:pStyle w:val="326"/>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00000005"/>
    <w:multiLevelType w:val="multilevel"/>
    <w:tmpl w:val="00000005"/>
    <w:lvl w:ilvl="0" w:tentative="0">
      <w:start w:val="1"/>
      <w:numFmt w:val="decimalEnclosedCircle"/>
      <w:pStyle w:val="1206"/>
      <w:lvlText w:val="%1"/>
      <w:lvlJc w:val="left"/>
      <w:pPr>
        <w:ind w:left="360" w:hanging="360"/>
      </w:pPr>
      <w:rPr>
        <w:rFonts w:hint="default" w:ascii="宋体" w:hAnsi="宋体"/>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00000016"/>
    <w:multiLevelType w:val="multilevel"/>
    <w:tmpl w:val="00000016"/>
    <w:lvl w:ilvl="0" w:tentative="0">
      <w:start w:val="1"/>
      <w:numFmt w:val="decimal"/>
      <w:pStyle w:val="851"/>
      <w:lvlText w:val="%1."/>
      <w:lvlJc w:val="left"/>
      <w:pPr>
        <w:tabs>
          <w:tab w:val="left" w:pos="360"/>
        </w:tabs>
        <w:ind w:left="360" w:hanging="360"/>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5">
    <w:nsid w:val="01D31CB4"/>
    <w:multiLevelType w:val="multilevel"/>
    <w:tmpl w:val="01D31CB4"/>
    <w:lvl w:ilvl="0" w:tentative="0">
      <w:start w:val="1"/>
      <w:numFmt w:val="decimal"/>
      <w:pStyle w:val="1231"/>
      <w:lvlText w:val="表7.2 -%1"/>
      <w:lvlJc w:val="center"/>
      <w:pPr>
        <w:tabs>
          <w:tab w:val="left" w:pos="726"/>
        </w:tabs>
        <w:ind w:left="2"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6">
    <w:nsid w:val="02E7176C"/>
    <w:multiLevelType w:val="singleLevel"/>
    <w:tmpl w:val="02E7176C"/>
    <w:lvl w:ilvl="0" w:tentative="0">
      <w:start w:val="1"/>
      <w:numFmt w:val="bullet"/>
      <w:pStyle w:val="1154"/>
      <w:lvlText w:val=""/>
      <w:lvlJc w:val="left"/>
      <w:pPr>
        <w:tabs>
          <w:tab w:val="left" w:pos="504"/>
        </w:tabs>
        <w:ind w:left="72" w:firstLine="72"/>
      </w:pPr>
      <w:rPr>
        <w:rFonts w:hint="default" w:ascii="Wingdings" w:hAnsi="Wingdings"/>
        <w:spacing w:val="0"/>
        <w:w w:val="100"/>
        <w:kern w:val="0"/>
        <w:position w:val="0"/>
        <w:sz w:val="28"/>
      </w:rPr>
    </w:lvl>
  </w:abstractNum>
  <w:abstractNum w:abstractNumId="7">
    <w:nsid w:val="0BBD0933"/>
    <w:multiLevelType w:val="multilevel"/>
    <w:tmpl w:val="0BBD0933"/>
    <w:lvl w:ilvl="0" w:tentative="0">
      <w:start w:val="4"/>
      <w:numFmt w:val="decimal"/>
      <w:pStyle w:val="1278"/>
      <w:suff w:val="space"/>
      <w:lvlText w:val="%1"/>
      <w:lvlJc w:val="left"/>
      <w:pPr>
        <w:ind w:left="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0" w:firstLine="0"/>
      </w:pPr>
      <w:rPr>
        <w:rFonts w:hint="eastAsia" w:ascii="黑体" w:eastAsia="黑体"/>
        <w:b w:val="0"/>
        <w:bCs w:val="0"/>
        <w:i w:val="0"/>
        <w:iCs w:val="0"/>
        <w:color w:val="auto"/>
        <w:sz w:val="28"/>
        <w:szCs w:val="28"/>
      </w:rPr>
    </w:lvl>
    <w:lvl w:ilvl="2" w:tentative="0">
      <w:start w:val="1"/>
      <w:numFmt w:val="decimal"/>
      <w:suff w:val="space"/>
      <w:lvlText w:val="%1.%2.%3"/>
      <w:lvlJc w:val="left"/>
      <w:pPr>
        <w:ind w:left="0" w:firstLine="0"/>
      </w:pPr>
      <w:rPr>
        <w:rFonts w:hint="eastAsia" w:ascii="宋体" w:eastAsia="宋体"/>
        <w:b w:val="0"/>
        <w:bCs w:val="0"/>
        <w:i w:val="0"/>
        <w:iCs w:val="0"/>
        <w:color w:val="auto"/>
        <w:sz w:val="28"/>
        <w:szCs w:val="28"/>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suff w:val="space"/>
      <w:lvlText w:val="%5)"/>
      <w:lvlJc w:val="left"/>
      <w:pPr>
        <w:ind w:left="0" w:firstLine="567"/>
      </w:pPr>
      <w:rPr>
        <w:rFonts w:hint="eastAsia" w:ascii="宋体" w:hAnsi="Times New Roman" w:eastAsia="宋体"/>
        <w:b w:val="0"/>
        <w:bCs w:val="0"/>
        <w:i w:val="0"/>
        <w:iCs w:val="0"/>
        <w:sz w:val="28"/>
        <w:szCs w:val="28"/>
      </w:rPr>
    </w:lvl>
    <w:lvl w:ilvl="5" w:tentative="0">
      <w:start w:val="1"/>
      <w:numFmt w:val="decimal"/>
      <w:suff w:val="space"/>
      <w:lvlText w:val="(%6)"/>
      <w:lvlJc w:val="left"/>
      <w:pPr>
        <w:ind w:left="-102" w:firstLine="567"/>
      </w:pPr>
      <w:rPr>
        <w:rFonts w:hint="eastAsia" w:ascii="宋体" w:eastAsia="宋体"/>
        <w:b w:val="0"/>
        <w:bCs w:val="0"/>
        <w:i w:val="0"/>
        <w:iCs w:val="0"/>
        <w:sz w:val="28"/>
        <w:szCs w:val="28"/>
      </w:rPr>
    </w:lvl>
    <w:lvl w:ilvl="6" w:tentative="0">
      <w:start w:val="1"/>
      <w:numFmt w:val="decimal"/>
      <w:lvlText w:val="%1.%2.%3.%4.%5.%6.%7"/>
      <w:lvlJc w:val="left"/>
      <w:pPr>
        <w:tabs>
          <w:tab w:val="left" w:pos="396"/>
        </w:tabs>
        <w:ind w:left="396" w:hanging="1296"/>
      </w:pPr>
      <w:rPr>
        <w:rFonts w:hint="eastAsia"/>
      </w:rPr>
    </w:lvl>
    <w:lvl w:ilvl="7" w:tentative="0">
      <w:start w:val="1"/>
      <w:numFmt w:val="decimal"/>
      <w:lvlText w:val="%1.%2.%3.%4.%5.%6.%7.%8"/>
      <w:lvlJc w:val="left"/>
      <w:pPr>
        <w:tabs>
          <w:tab w:val="left" w:pos="540"/>
        </w:tabs>
        <w:ind w:left="540" w:hanging="1440"/>
      </w:pPr>
      <w:rPr>
        <w:rFonts w:hint="eastAsia"/>
      </w:rPr>
    </w:lvl>
    <w:lvl w:ilvl="8" w:tentative="0">
      <w:start w:val="1"/>
      <w:numFmt w:val="decimal"/>
      <w:lvlText w:val="%1.%2.%3.%4.%5.%6.%7.%8.%9"/>
      <w:lvlJc w:val="left"/>
      <w:pPr>
        <w:tabs>
          <w:tab w:val="left" w:pos="684"/>
        </w:tabs>
        <w:ind w:left="684" w:hanging="1584"/>
      </w:pPr>
      <w:rPr>
        <w:rFonts w:hint="eastAsia"/>
      </w:rPr>
    </w:lvl>
  </w:abstractNum>
  <w:abstractNum w:abstractNumId="8">
    <w:nsid w:val="16613F02"/>
    <w:multiLevelType w:val="multilevel"/>
    <w:tmpl w:val="16613F02"/>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9">
    <w:nsid w:val="1E9F78A5"/>
    <w:multiLevelType w:val="multilevel"/>
    <w:tmpl w:val="1E9F78A5"/>
    <w:lvl w:ilvl="0" w:tentative="0">
      <w:start w:val="1"/>
      <w:numFmt w:val="decimal"/>
      <w:pStyle w:val="898"/>
      <w:lvlText w:val="%1."/>
      <w:lvlJc w:val="left"/>
      <w:pPr>
        <w:tabs>
          <w:tab w:val="left" w:pos="420"/>
        </w:tabs>
        <w:ind w:left="420" w:hanging="420"/>
      </w:pPr>
      <w:rPr>
        <w:rFonts w:hint="eastAsia"/>
      </w:rPr>
    </w:lvl>
    <w:lvl w:ilvl="1" w:tentative="0">
      <w:start w:val="1"/>
      <w:numFmt w:val="decimal"/>
      <w:lvlText w:val="（%2）"/>
      <w:lvlJc w:val="left"/>
      <w:pPr>
        <w:tabs>
          <w:tab w:val="left" w:pos="1710"/>
        </w:tabs>
        <w:ind w:left="1710" w:hanging="1290"/>
      </w:pPr>
      <w:rPr>
        <w:rFonts w:hint="default"/>
        <w:b/>
      </w:r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0">
    <w:nsid w:val="37660A18"/>
    <w:multiLevelType w:val="multilevel"/>
    <w:tmpl w:val="37660A18"/>
    <w:lvl w:ilvl="0" w:tentative="0">
      <w:start w:val="1"/>
      <w:numFmt w:val="decimal"/>
      <w:pStyle w:val="1277"/>
      <w:lvlText w:val="%1"/>
      <w:lvlJc w:val="left"/>
      <w:pPr>
        <w:ind w:left="425" w:hanging="425"/>
      </w:pPr>
      <w:rPr>
        <w:rFonts w:hint="default" w:ascii="Times New Roman" w:hAnsi="Times New Roman" w:cs="Times New Roman"/>
      </w:rPr>
    </w:lvl>
    <w:lvl w:ilvl="1" w:tentative="0">
      <w:start w:val="1"/>
      <w:numFmt w:val="decimal"/>
      <w:pStyle w:val="1168"/>
      <w:lvlText w:val="%1.%2"/>
      <w:lvlJc w:val="left"/>
      <w:pPr>
        <w:ind w:left="992" w:hanging="567"/>
      </w:pPr>
    </w:lvl>
    <w:lvl w:ilvl="2" w:tentative="0">
      <w:start w:val="1"/>
      <w:numFmt w:val="decimal"/>
      <w:pStyle w:val="332"/>
      <w:lvlText w:val="%1.%2.%3"/>
      <w:lvlJc w:val="left"/>
      <w:pPr>
        <w:ind w:left="1418" w:hanging="567"/>
      </w:pPr>
    </w:lvl>
    <w:lvl w:ilvl="3" w:tentative="0">
      <w:start w:val="1"/>
      <w:numFmt w:val="decimal"/>
      <w:pStyle w:val="867"/>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11">
    <w:nsid w:val="37A04360"/>
    <w:multiLevelType w:val="multilevel"/>
    <w:tmpl w:val="37A04360"/>
    <w:lvl w:ilvl="0" w:tentative="0">
      <w:start w:val="1"/>
      <w:numFmt w:val="decimal"/>
      <w:pStyle w:val="686"/>
      <w:lvlText w:val="表1.11-%1"/>
      <w:lvlJc w:val="center"/>
      <w:pPr>
        <w:tabs>
          <w:tab w:val="left" w:pos="2444"/>
        </w:tabs>
        <w:ind w:left="1720" w:firstLine="4"/>
      </w:pPr>
      <w:rPr>
        <w:rFonts w:hint="default" w:ascii="Times New Roman" w:hAnsi="Times New Roman"/>
        <w:b/>
        <w:i w:val="0"/>
        <w:sz w:val="24"/>
        <w:lang w:val="en-US"/>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2">
    <w:nsid w:val="3A9076B2"/>
    <w:multiLevelType w:val="multilevel"/>
    <w:tmpl w:val="3A9076B2"/>
    <w:lvl w:ilvl="0" w:tentative="0">
      <w:start w:val="2"/>
      <w:numFmt w:val="decimal"/>
      <w:lvlText w:val="%1、"/>
      <w:lvlJc w:val="left"/>
      <w:pPr>
        <w:tabs>
          <w:tab w:val="left" w:pos="929"/>
        </w:tabs>
        <w:ind w:left="929" w:hanging="36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pStyle w:val="1014"/>
      <w:lvlText w:val="%4."/>
      <w:lvlJc w:val="left"/>
      <w:pPr>
        <w:tabs>
          <w:tab w:val="left" w:pos="2249"/>
        </w:tabs>
        <w:ind w:left="2249" w:hanging="42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3">
    <w:nsid w:val="44B17BF9"/>
    <w:multiLevelType w:val="multilevel"/>
    <w:tmpl w:val="44B17BF9"/>
    <w:lvl w:ilvl="0" w:tentative="0">
      <w:start w:val="1"/>
      <w:numFmt w:val="decimal"/>
      <w:suff w:val="nothing"/>
      <w:lvlText w:val="%1"/>
      <w:lvlJc w:val="left"/>
      <w:rPr>
        <w:rFonts w:hint="eastAsia" w:cs="Times New Roman"/>
      </w:rPr>
    </w:lvl>
    <w:lvl w:ilvl="1" w:tentative="0">
      <w:start w:val="1"/>
      <w:numFmt w:val="lowerLetter"/>
      <w:lvlText w:val="%2)"/>
      <w:lvlJc w:val="left"/>
      <w:pPr>
        <w:ind w:left="697" w:hanging="420"/>
      </w:pPr>
      <w:rPr>
        <w:rFonts w:cs="Times New Roman"/>
      </w:rPr>
    </w:lvl>
    <w:lvl w:ilvl="2" w:tentative="0">
      <w:start w:val="1"/>
      <w:numFmt w:val="lowerRoman"/>
      <w:lvlText w:val="%3."/>
      <w:lvlJc w:val="right"/>
      <w:pPr>
        <w:ind w:left="1117" w:hanging="420"/>
      </w:pPr>
      <w:rPr>
        <w:rFonts w:cs="Times New Roman"/>
      </w:rPr>
    </w:lvl>
    <w:lvl w:ilvl="3" w:tentative="0">
      <w:start w:val="1"/>
      <w:numFmt w:val="decimal"/>
      <w:lvlText w:val="%4."/>
      <w:lvlJc w:val="left"/>
      <w:pPr>
        <w:ind w:left="1537" w:hanging="420"/>
      </w:pPr>
      <w:rPr>
        <w:rFonts w:cs="Times New Roman"/>
      </w:rPr>
    </w:lvl>
    <w:lvl w:ilvl="4" w:tentative="0">
      <w:start w:val="1"/>
      <w:numFmt w:val="lowerLetter"/>
      <w:lvlText w:val="%5)"/>
      <w:lvlJc w:val="left"/>
      <w:pPr>
        <w:ind w:left="1957" w:hanging="420"/>
      </w:pPr>
      <w:rPr>
        <w:rFonts w:cs="Times New Roman"/>
      </w:rPr>
    </w:lvl>
    <w:lvl w:ilvl="5" w:tentative="0">
      <w:start w:val="1"/>
      <w:numFmt w:val="lowerRoman"/>
      <w:lvlText w:val="%6."/>
      <w:lvlJc w:val="right"/>
      <w:pPr>
        <w:ind w:left="2377" w:hanging="420"/>
      </w:pPr>
      <w:rPr>
        <w:rFonts w:cs="Times New Roman"/>
      </w:rPr>
    </w:lvl>
    <w:lvl w:ilvl="6" w:tentative="0">
      <w:start w:val="1"/>
      <w:numFmt w:val="decimal"/>
      <w:lvlText w:val="%7."/>
      <w:lvlJc w:val="left"/>
      <w:pPr>
        <w:ind w:left="2797" w:hanging="420"/>
      </w:pPr>
      <w:rPr>
        <w:rFonts w:cs="Times New Roman"/>
      </w:rPr>
    </w:lvl>
    <w:lvl w:ilvl="7" w:tentative="0">
      <w:start w:val="1"/>
      <w:numFmt w:val="lowerLetter"/>
      <w:lvlText w:val="%8)"/>
      <w:lvlJc w:val="left"/>
      <w:pPr>
        <w:ind w:left="3217" w:hanging="420"/>
      </w:pPr>
      <w:rPr>
        <w:rFonts w:cs="Times New Roman"/>
      </w:rPr>
    </w:lvl>
    <w:lvl w:ilvl="8" w:tentative="0">
      <w:start w:val="1"/>
      <w:numFmt w:val="lowerRoman"/>
      <w:lvlText w:val="%9."/>
      <w:lvlJc w:val="right"/>
      <w:pPr>
        <w:ind w:left="3637" w:hanging="420"/>
      </w:pPr>
      <w:rPr>
        <w:rFonts w:cs="Times New Roman"/>
      </w:rPr>
    </w:lvl>
  </w:abstractNum>
  <w:abstractNum w:abstractNumId="14">
    <w:nsid w:val="47071C76"/>
    <w:multiLevelType w:val="multilevel"/>
    <w:tmpl w:val="47071C76"/>
    <w:lvl w:ilvl="0" w:tentative="0">
      <w:start w:val="1"/>
      <w:numFmt w:val="decimal"/>
      <w:lvlText w:val="%1"/>
      <w:lvlJc w:val="left"/>
      <w:pPr>
        <w:tabs>
          <w:tab w:val="left" w:pos="360"/>
        </w:tabs>
        <w:ind w:left="0" w:firstLine="0"/>
      </w:pPr>
      <w:rPr>
        <w:rFonts w:hint="eastAsia" w:ascii="仿宋_GB2312" w:eastAsia="仿宋_GB2312"/>
        <w:b/>
        <w:i w:val="0"/>
        <w:sz w:val="32"/>
      </w:rPr>
    </w:lvl>
    <w:lvl w:ilvl="1" w:tentative="0">
      <w:start w:val="1"/>
      <w:numFmt w:val="decimal"/>
      <w:pStyle w:val="1165"/>
      <w:lvlText w:val="%1.%2"/>
      <w:lvlJc w:val="left"/>
      <w:pPr>
        <w:tabs>
          <w:tab w:val="left" w:pos="720"/>
        </w:tabs>
        <w:ind w:left="0" w:firstLine="0"/>
      </w:pPr>
      <w:rPr>
        <w:rFonts w:hint="eastAsia" w:ascii="仿宋_GB2312" w:eastAsia="仿宋_GB2312"/>
        <w:b/>
        <w:i w:val="0"/>
        <w:sz w:val="30"/>
      </w:rPr>
    </w:lvl>
    <w:lvl w:ilvl="2" w:tentative="0">
      <w:start w:val="1"/>
      <w:numFmt w:val="none"/>
      <w:lvlText w:val="1.%21"/>
      <w:lvlJc w:val="left"/>
      <w:pPr>
        <w:tabs>
          <w:tab w:val="left" w:pos="1080"/>
        </w:tabs>
        <w:ind w:left="0" w:firstLine="0"/>
      </w:pPr>
      <w:rPr>
        <w:rFonts w:hint="eastAsia" w:ascii="仿宋_GB2312" w:eastAsia="仿宋_GB2312"/>
        <w:b w:val="0"/>
        <w:i w:val="0"/>
        <w:sz w:val="28"/>
      </w:rPr>
    </w:lvl>
    <w:lvl w:ilvl="3" w:tentative="0">
      <w:start w:val="1"/>
      <w:numFmt w:val="decimal"/>
      <w:lvlRestart w:val="0"/>
      <w:isLgl/>
      <w:lvlText w:val="%1.%2.%3.%4"/>
      <w:lvlJc w:val="left"/>
      <w:pPr>
        <w:tabs>
          <w:tab w:val="left" w:pos="1440"/>
        </w:tabs>
        <w:ind w:left="0" w:firstLine="0"/>
      </w:pPr>
      <w:rPr>
        <w:rFonts w:hint="eastAsia" w:ascii="仿宋_GB2312" w:eastAsia="仿宋_GB2312"/>
        <w:b w:val="0"/>
        <w:i w:val="0"/>
        <w:sz w:val="28"/>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15">
    <w:nsid w:val="5089670E"/>
    <w:multiLevelType w:val="multilevel"/>
    <w:tmpl w:val="5089670E"/>
    <w:lvl w:ilvl="0" w:tentative="0">
      <w:start w:val="1"/>
      <w:numFmt w:val="decimal"/>
      <w:suff w:val="space"/>
      <w:lvlText w:val="%1"/>
      <w:lvlJc w:val="left"/>
      <w:pPr>
        <w:ind w:left="140" w:firstLine="0"/>
      </w:pPr>
      <w:rPr>
        <w:rFonts w:hint="eastAsia" w:ascii="黑体" w:eastAsia="黑体"/>
        <w:b w:val="0"/>
        <w:bCs w:val="0"/>
        <w:i w:val="0"/>
        <w:iCs w:val="0"/>
        <w:color w:val="auto"/>
        <w:sz w:val="28"/>
        <w:szCs w:val="28"/>
      </w:rPr>
    </w:lvl>
    <w:lvl w:ilvl="1" w:tentative="0">
      <w:start w:val="1"/>
      <w:numFmt w:val="decimal"/>
      <w:suff w:val="space"/>
      <w:lvlText w:val="%1.%2"/>
      <w:lvlJc w:val="left"/>
      <w:pPr>
        <w:ind w:left="4962" w:firstLine="0"/>
      </w:pPr>
      <w:rPr>
        <w:rFonts w:hint="eastAsia" w:ascii="黑体" w:eastAsia="黑体" w:cs="Times New Roman"/>
        <w:b w:val="0"/>
        <w:bCs w:val="0"/>
        <w:i w:val="0"/>
        <w:iCs w:val="0"/>
        <w:caps w:val="0"/>
        <w:smallCaps w:val="0"/>
        <w:strike w:val="0"/>
        <w:dstrike w:val="0"/>
        <w:vanish w:val="0"/>
        <w:color w:val="000000"/>
        <w:spacing w:val="0"/>
        <w:position w:val="0"/>
        <w:sz w:val="28"/>
        <w:szCs w:val="28"/>
        <w:u w:val="none"/>
        <w:vertAlign w:val="baseline"/>
      </w:rPr>
    </w:lvl>
    <w:lvl w:ilvl="2" w:tentative="0">
      <w:start w:val="1"/>
      <w:numFmt w:val="decimal"/>
      <w:suff w:val="space"/>
      <w:lvlText w:val="%1.%2.%3"/>
      <w:lvlJc w:val="left"/>
      <w:pPr>
        <w:ind w:left="700" w:firstLine="0"/>
      </w:pPr>
      <w:rPr>
        <w:rFonts w:hint="eastAsia" w:ascii="宋体" w:eastAsia="宋体"/>
        <w:b w:val="0"/>
        <w:bCs w:val="0"/>
        <w:i w:val="0"/>
        <w:iCs w:val="0"/>
        <w:caps w:val="0"/>
        <w:smallCaps w:val="0"/>
        <w:strike w:val="0"/>
        <w:color w:val="auto"/>
        <w:spacing w:val="0"/>
        <w:sz w:val="28"/>
        <w:szCs w:val="28"/>
        <w:u w:val="none"/>
      </w:rPr>
    </w:lvl>
    <w:lvl w:ilvl="3" w:tentative="0">
      <w:start w:val="1"/>
      <w:numFmt w:val="decimal"/>
      <w:suff w:val="space"/>
      <w:lvlText w:val="%1.%2.%3.%4"/>
      <w:lvlJc w:val="left"/>
      <w:pPr>
        <w:ind w:left="0" w:firstLine="0"/>
      </w:pPr>
      <w:rPr>
        <w:rFonts w:hint="eastAsia" w:ascii="宋体" w:hAnsi="Arial" w:eastAsia="宋体"/>
        <w:b w:val="0"/>
        <w:bCs w:val="0"/>
        <w:i w:val="0"/>
        <w:iCs w:val="0"/>
        <w:color w:val="auto"/>
        <w:sz w:val="28"/>
        <w:szCs w:val="28"/>
      </w:rPr>
    </w:lvl>
    <w:lvl w:ilvl="4" w:tentative="0">
      <w:start w:val="1"/>
      <w:numFmt w:val="decimal"/>
      <w:pStyle w:val="595"/>
      <w:suff w:val="space"/>
      <w:lvlText w:val="%5)"/>
      <w:lvlJc w:val="left"/>
      <w:pPr>
        <w:ind w:left="-567" w:firstLine="567"/>
      </w:pPr>
      <w:rPr>
        <w:rFonts w:hint="eastAsia" w:ascii="宋体" w:eastAsia="宋体"/>
        <w:b w:val="0"/>
        <w:i w:val="0"/>
        <w:sz w:val="28"/>
        <w:szCs w:val="28"/>
      </w:rPr>
    </w:lvl>
    <w:lvl w:ilvl="5" w:tentative="0">
      <w:start w:val="1"/>
      <w:numFmt w:val="decimal"/>
      <w:suff w:val="space"/>
      <w:lvlText w:val="(%6)"/>
      <w:lvlJc w:val="left"/>
      <w:pPr>
        <w:ind w:left="-427" w:firstLine="567"/>
      </w:pPr>
      <w:rPr>
        <w:rFonts w:hint="eastAsia" w:ascii="宋体" w:eastAsia="宋体"/>
        <w:b w:val="0"/>
        <w:bCs w:val="0"/>
        <w:i w:val="0"/>
        <w:iCs w:val="0"/>
        <w:sz w:val="28"/>
        <w:szCs w:val="28"/>
      </w:rPr>
    </w:lvl>
    <w:lvl w:ilvl="6" w:tentative="0">
      <w:start w:val="1"/>
      <w:numFmt w:val="decimal"/>
      <w:lvlText w:val="%1.%2.%3.%4.%5.%6.%7"/>
      <w:lvlJc w:val="left"/>
      <w:pPr>
        <w:tabs>
          <w:tab w:val="left" w:pos="936"/>
        </w:tabs>
        <w:ind w:left="936" w:hanging="1296"/>
      </w:pPr>
      <w:rPr>
        <w:rFonts w:hint="eastAsia"/>
      </w:rPr>
    </w:lvl>
    <w:lvl w:ilvl="7" w:tentative="0">
      <w:start w:val="1"/>
      <w:numFmt w:val="decimal"/>
      <w:lvlText w:val="%1.%2.%3.%4.%5.%6.%7.%8"/>
      <w:lvlJc w:val="left"/>
      <w:pPr>
        <w:tabs>
          <w:tab w:val="left" w:pos="1080"/>
        </w:tabs>
        <w:ind w:left="1080" w:hanging="1440"/>
      </w:pPr>
      <w:rPr>
        <w:rFonts w:hint="eastAsia"/>
      </w:rPr>
    </w:lvl>
    <w:lvl w:ilvl="8" w:tentative="0">
      <w:start w:val="1"/>
      <w:numFmt w:val="decimal"/>
      <w:lvlText w:val="%1.%2.%3.%4.%5.%6.%7.%8.%9"/>
      <w:lvlJc w:val="left"/>
      <w:pPr>
        <w:tabs>
          <w:tab w:val="left" w:pos="1224"/>
        </w:tabs>
        <w:ind w:left="1224" w:hanging="1584"/>
      </w:pPr>
      <w:rPr>
        <w:rFonts w:hint="eastAsia"/>
      </w:rPr>
    </w:lvl>
  </w:abstractNum>
  <w:abstractNum w:abstractNumId="16">
    <w:nsid w:val="557C2AF5"/>
    <w:multiLevelType w:val="multilevel"/>
    <w:tmpl w:val="557C2AF5"/>
    <w:lvl w:ilvl="0" w:tentative="0">
      <w:start w:val="1"/>
      <w:numFmt w:val="decimal"/>
      <w:pStyle w:val="636"/>
      <w:suff w:val="nothing"/>
      <w:lvlText w:val="图%1　"/>
      <w:lvlJc w:val="left"/>
      <w:pPr>
        <w:ind w:left="0" w:firstLine="0"/>
      </w:pPr>
      <w:rPr>
        <w:rFonts w:hint="eastAsia" w:ascii="黑体" w:hAnsi="Times New Roman" w:eastAsia="黑体"/>
        <w:b w:val="0"/>
        <w:i w:val="0"/>
        <w:sz w:val="21"/>
      </w:rPr>
    </w:lvl>
    <w:lvl w:ilvl="1" w:tentative="0">
      <w:start w:val="1"/>
      <w:numFmt w:val="decimal"/>
      <w:suff w:val="nothing"/>
      <w:lvlText w:val="%1%2　"/>
      <w:lvlJc w:val="left"/>
      <w:pPr>
        <w:ind w:left="0" w:firstLine="0"/>
      </w:pPr>
      <w:rPr>
        <w:rFonts w:hint="default" w:ascii="Times New Roman" w:hAnsi="Times New Roman" w:eastAsia="黑体"/>
        <w:b w:val="0"/>
        <w:i w:val="0"/>
        <w:sz w:val="21"/>
      </w:rPr>
    </w:lvl>
    <w:lvl w:ilvl="2" w:tentative="0">
      <w:start w:val="1"/>
      <w:numFmt w:val="decimal"/>
      <w:suff w:val="nothing"/>
      <w:lvlText w:val="%1%2.%3　"/>
      <w:lvlJc w:val="left"/>
      <w:pPr>
        <w:ind w:left="0" w:firstLine="0"/>
      </w:pPr>
      <w:rPr>
        <w:rFonts w:hint="default" w:ascii="Times New Roman" w:hAnsi="Times New Roman" w:eastAsia="黑体"/>
        <w:b w:val="0"/>
        <w:i w:val="0"/>
        <w:sz w:val="21"/>
      </w:rPr>
    </w:lvl>
    <w:lvl w:ilvl="3" w:tentative="0">
      <w:start w:val="1"/>
      <w:numFmt w:val="decimal"/>
      <w:suff w:val="nothing"/>
      <w:lvlText w:val="%1%2.%3.%4　"/>
      <w:lvlJc w:val="left"/>
      <w:pPr>
        <w:ind w:left="0" w:firstLine="0"/>
      </w:pPr>
      <w:rPr>
        <w:rFonts w:hint="default" w:ascii="Times New Roman" w:hAnsi="Times New Roman" w:eastAsia="黑体"/>
        <w:b w:val="0"/>
        <w:i w:val="0"/>
        <w:sz w:val="21"/>
      </w:rPr>
    </w:lvl>
    <w:lvl w:ilvl="4" w:tentative="0">
      <w:start w:val="1"/>
      <w:numFmt w:val="decimal"/>
      <w:suff w:val="nothing"/>
      <w:lvlText w:val="%1%2.%3.%4.%5　"/>
      <w:lvlJc w:val="left"/>
      <w:pPr>
        <w:ind w:left="0" w:firstLine="0"/>
      </w:pPr>
      <w:rPr>
        <w:rFonts w:hint="default" w:ascii="Times New Roman" w:hAnsi="Times New Roman" w:eastAsia="黑体"/>
        <w:b w:val="0"/>
        <w:i w:val="0"/>
        <w:sz w:val="21"/>
      </w:rPr>
    </w:lvl>
    <w:lvl w:ilvl="5" w:tentative="0">
      <w:start w:val="1"/>
      <w:numFmt w:val="decimal"/>
      <w:suff w:val="nothing"/>
      <w:lvlText w:val="%1%2.%3.%4.%5.%6　"/>
      <w:lvlJc w:val="left"/>
      <w:pPr>
        <w:ind w:left="0" w:firstLine="0"/>
      </w:pPr>
      <w:rPr>
        <w:rFonts w:hint="default" w:ascii="Times New Roman" w:hAnsi="Times New Roman" w:eastAsia="黑体"/>
        <w:b w:val="0"/>
        <w:i w:val="0"/>
        <w:sz w:val="21"/>
      </w:rPr>
    </w:lvl>
    <w:lvl w:ilvl="6" w:tentative="0">
      <w:start w:val="1"/>
      <w:numFmt w:val="decimal"/>
      <w:suff w:val="nothing"/>
      <w:lvlText w:val="%1%2.%3.%4.%5.%6.%7　"/>
      <w:lvlJc w:val="left"/>
      <w:pPr>
        <w:ind w:left="0" w:firstLine="0"/>
      </w:pPr>
      <w:rPr>
        <w:rFonts w:hint="default" w:ascii="Times New Roman"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17">
    <w:nsid w:val="646260FA"/>
    <w:multiLevelType w:val="multilevel"/>
    <w:tmpl w:val="646260FA"/>
    <w:lvl w:ilvl="0" w:tentative="0">
      <w:start w:val="1"/>
      <w:numFmt w:val="decimal"/>
      <w:pStyle w:val="966"/>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8">
    <w:nsid w:val="66715951"/>
    <w:multiLevelType w:val="multilevel"/>
    <w:tmpl w:val="66715951"/>
    <w:lvl w:ilvl="0" w:tentative="0">
      <w:start w:val="1"/>
      <w:numFmt w:val="decimal"/>
      <w:suff w:val="nothing"/>
      <w:lvlText w:val="%1"/>
      <w:lvlJc w:val="left"/>
      <w:pPr>
        <w:ind w:left="420" w:hanging="420"/>
      </w:pPr>
      <w:rPr>
        <w:rFonts w:hint="eastAsia" w:cs="Times New Roman"/>
      </w:rPr>
    </w:lvl>
    <w:lvl w:ilvl="1" w:tentative="0">
      <w:start w:val="1"/>
      <w:numFmt w:val="lowerLetter"/>
      <w:lvlText w:val="%2)"/>
      <w:lvlJc w:val="left"/>
      <w:pPr>
        <w:ind w:left="840" w:hanging="420"/>
      </w:pPr>
      <w:rPr>
        <w:rFonts w:cs="Times New Roman"/>
      </w:rPr>
    </w:lvl>
    <w:lvl w:ilvl="2" w:tentative="0">
      <w:start w:val="1"/>
      <w:numFmt w:val="lowerRoman"/>
      <w:lvlText w:val="%3."/>
      <w:lvlJc w:val="right"/>
      <w:pPr>
        <w:ind w:left="1260" w:hanging="420"/>
      </w:pPr>
      <w:rPr>
        <w:rFonts w:cs="Times New Roman"/>
      </w:rPr>
    </w:lvl>
    <w:lvl w:ilvl="3" w:tentative="0">
      <w:start w:val="1"/>
      <w:numFmt w:val="decimal"/>
      <w:lvlText w:val="%4."/>
      <w:lvlJc w:val="left"/>
      <w:pPr>
        <w:ind w:left="1680" w:hanging="420"/>
      </w:pPr>
      <w:rPr>
        <w:rFonts w:cs="Times New Roman"/>
      </w:rPr>
    </w:lvl>
    <w:lvl w:ilvl="4" w:tentative="0">
      <w:start w:val="1"/>
      <w:numFmt w:val="lowerLetter"/>
      <w:lvlText w:val="%5)"/>
      <w:lvlJc w:val="left"/>
      <w:pPr>
        <w:ind w:left="2100" w:hanging="420"/>
      </w:pPr>
      <w:rPr>
        <w:rFonts w:cs="Times New Roman"/>
      </w:rPr>
    </w:lvl>
    <w:lvl w:ilvl="5" w:tentative="0">
      <w:start w:val="1"/>
      <w:numFmt w:val="lowerRoman"/>
      <w:lvlText w:val="%6."/>
      <w:lvlJc w:val="right"/>
      <w:pPr>
        <w:ind w:left="2520" w:hanging="420"/>
      </w:pPr>
      <w:rPr>
        <w:rFonts w:cs="Times New Roman"/>
      </w:rPr>
    </w:lvl>
    <w:lvl w:ilvl="6" w:tentative="0">
      <w:start w:val="1"/>
      <w:numFmt w:val="decimal"/>
      <w:lvlText w:val="%7."/>
      <w:lvlJc w:val="left"/>
      <w:pPr>
        <w:ind w:left="2940" w:hanging="420"/>
      </w:pPr>
      <w:rPr>
        <w:rFonts w:cs="Times New Roman"/>
      </w:rPr>
    </w:lvl>
    <w:lvl w:ilvl="7" w:tentative="0">
      <w:start w:val="1"/>
      <w:numFmt w:val="lowerLetter"/>
      <w:lvlText w:val="%8)"/>
      <w:lvlJc w:val="left"/>
      <w:pPr>
        <w:ind w:left="3360" w:hanging="420"/>
      </w:pPr>
      <w:rPr>
        <w:rFonts w:cs="Times New Roman"/>
      </w:rPr>
    </w:lvl>
    <w:lvl w:ilvl="8" w:tentative="0">
      <w:start w:val="1"/>
      <w:numFmt w:val="lowerRoman"/>
      <w:lvlText w:val="%9."/>
      <w:lvlJc w:val="right"/>
      <w:pPr>
        <w:ind w:left="3780" w:hanging="420"/>
      </w:pPr>
      <w:rPr>
        <w:rFonts w:cs="Times New Roman"/>
      </w:rPr>
    </w:lvl>
  </w:abstractNum>
  <w:abstractNum w:abstractNumId="19">
    <w:nsid w:val="6C4129A0"/>
    <w:multiLevelType w:val="singleLevel"/>
    <w:tmpl w:val="6C4129A0"/>
    <w:lvl w:ilvl="0" w:tentative="0">
      <w:start w:val="1"/>
      <w:numFmt w:val="decimal"/>
      <w:lvlText w:val="%1."/>
      <w:lvlJc w:val="left"/>
      <w:pPr>
        <w:ind w:left="425" w:hanging="425"/>
      </w:pPr>
      <w:rPr>
        <w:rFonts w:hint="default"/>
      </w:rPr>
    </w:lvl>
  </w:abstractNum>
  <w:abstractNum w:abstractNumId="20">
    <w:nsid w:val="766D7B15"/>
    <w:multiLevelType w:val="multilevel"/>
    <w:tmpl w:val="766D7B15"/>
    <w:lvl w:ilvl="0" w:tentative="0">
      <w:start w:val="1"/>
      <w:numFmt w:val="decimal"/>
      <w:pStyle w:val="288"/>
      <w:lvlText w:val="%1"/>
      <w:lvlJc w:val="left"/>
      <w:pPr>
        <w:tabs>
          <w:tab w:val="left" w:pos="425"/>
        </w:tabs>
        <w:ind w:left="425" w:hanging="425"/>
      </w:pPr>
      <w:rPr>
        <w:rFonts w:hint="eastAsia"/>
      </w:rPr>
    </w:lvl>
    <w:lvl w:ilvl="1" w:tentative="0">
      <w:start w:val="1"/>
      <w:numFmt w:val="decimal"/>
      <w:lvlText w:val="%1.%2"/>
      <w:lvlJc w:val="left"/>
      <w:pPr>
        <w:tabs>
          <w:tab w:val="left" w:pos="1865"/>
        </w:tabs>
        <w:ind w:left="992" w:hanging="567"/>
      </w:pPr>
      <w:rPr>
        <w:rFonts w:hint="eastAsia"/>
      </w:rPr>
    </w:lvl>
    <w:lvl w:ilvl="2" w:tentative="0">
      <w:start w:val="1"/>
      <w:numFmt w:val="decimal"/>
      <w:lvlText w:val="%1.%2.%3"/>
      <w:lvlJc w:val="left"/>
      <w:pPr>
        <w:tabs>
          <w:tab w:val="left" w:pos="3011"/>
        </w:tabs>
        <w:ind w:left="1418" w:hanging="567"/>
      </w:pPr>
      <w:rPr>
        <w:rFonts w:hint="eastAsia"/>
      </w:rPr>
    </w:lvl>
    <w:lvl w:ilvl="3" w:tentative="0">
      <w:start w:val="1"/>
      <w:numFmt w:val="decimal"/>
      <w:lvlText w:val="%1.%2.%3.%4"/>
      <w:lvlJc w:val="left"/>
      <w:pPr>
        <w:tabs>
          <w:tab w:val="left" w:pos="4156"/>
        </w:tabs>
        <w:ind w:left="1984" w:hanging="708"/>
      </w:pPr>
      <w:rPr>
        <w:rFonts w:hint="eastAsia"/>
      </w:rPr>
    </w:lvl>
    <w:lvl w:ilvl="4" w:tentative="0">
      <w:start w:val="1"/>
      <w:numFmt w:val="decimal"/>
      <w:lvlText w:val="%1.%2.%3.%4.%5"/>
      <w:lvlJc w:val="left"/>
      <w:pPr>
        <w:tabs>
          <w:tab w:val="left" w:pos="5301"/>
        </w:tabs>
        <w:ind w:left="2551" w:hanging="850"/>
      </w:pPr>
      <w:rPr>
        <w:rFonts w:hint="eastAsia"/>
      </w:rPr>
    </w:lvl>
    <w:lvl w:ilvl="5" w:tentative="0">
      <w:start w:val="1"/>
      <w:numFmt w:val="decimal"/>
      <w:lvlText w:val="%1.%2.%3.%4.%5.%6"/>
      <w:lvlJc w:val="left"/>
      <w:pPr>
        <w:tabs>
          <w:tab w:val="left" w:pos="6446"/>
        </w:tabs>
        <w:ind w:left="3260" w:hanging="1134"/>
      </w:pPr>
      <w:rPr>
        <w:rFonts w:hint="eastAsia"/>
      </w:rPr>
    </w:lvl>
    <w:lvl w:ilvl="6" w:tentative="0">
      <w:start w:val="1"/>
      <w:numFmt w:val="decimal"/>
      <w:lvlText w:val="%1.%2.%3.%4.%5.%6.%7"/>
      <w:lvlJc w:val="left"/>
      <w:pPr>
        <w:tabs>
          <w:tab w:val="left" w:pos="7591"/>
        </w:tabs>
        <w:ind w:left="3827" w:hanging="1276"/>
      </w:pPr>
      <w:rPr>
        <w:rFonts w:hint="eastAsia"/>
      </w:rPr>
    </w:lvl>
    <w:lvl w:ilvl="7" w:tentative="0">
      <w:start w:val="1"/>
      <w:numFmt w:val="decimal"/>
      <w:lvlText w:val="%1.%2.%3.%4.%5.%6.%7.%8"/>
      <w:lvlJc w:val="left"/>
      <w:pPr>
        <w:tabs>
          <w:tab w:val="left" w:pos="8736"/>
        </w:tabs>
        <w:ind w:left="4394" w:hanging="1418"/>
      </w:pPr>
      <w:rPr>
        <w:rFonts w:hint="eastAsia"/>
      </w:rPr>
    </w:lvl>
    <w:lvl w:ilvl="8" w:tentative="0">
      <w:start w:val="1"/>
      <w:numFmt w:val="decimal"/>
      <w:lvlText w:val="%1.%2.%3.%4.%5.%6.%7.%8.%9"/>
      <w:lvlJc w:val="left"/>
      <w:pPr>
        <w:tabs>
          <w:tab w:val="left" w:pos="10242"/>
        </w:tabs>
        <w:ind w:left="5102" w:hanging="1700"/>
      </w:pPr>
      <w:rPr>
        <w:rFonts w:hint="eastAsia"/>
      </w:rPr>
    </w:lvl>
  </w:abstractNum>
  <w:abstractNum w:abstractNumId="21">
    <w:nsid w:val="7B606C55"/>
    <w:multiLevelType w:val="multilevel"/>
    <w:tmpl w:val="7B606C55"/>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1"/>
  </w:num>
  <w:num w:numId="2">
    <w:abstractNumId w:val="20"/>
  </w:num>
  <w:num w:numId="3">
    <w:abstractNumId w:val="2"/>
  </w:num>
  <w:num w:numId="4">
    <w:abstractNumId w:val="10"/>
  </w:num>
  <w:num w:numId="5">
    <w:abstractNumId w:val="15"/>
  </w:num>
  <w:num w:numId="6">
    <w:abstractNumId w:val="16"/>
  </w:num>
  <w:num w:numId="7">
    <w:abstractNumId w:val="11"/>
  </w:num>
  <w:num w:numId="8">
    <w:abstractNumId w:val="4"/>
  </w:num>
  <w:num w:numId="9">
    <w:abstractNumId w:val="9"/>
  </w:num>
  <w:num w:numId="10">
    <w:abstractNumId w:val="17"/>
  </w:num>
  <w:num w:numId="11">
    <w:abstractNumId w:val="1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6"/>
  </w:num>
  <w:num w:numId="13">
    <w:abstractNumId w:val="14"/>
  </w:num>
  <w:num w:numId="14">
    <w:abstractNumId w:val="3"/>
  </w:num>
  <w:num w:numId="15">
    <w:abstractNumId w:val="5"/>
  </w:num>
  <w:num w:numId="16">
    <w:abstractNumId w:val="7"/>
  </w:num>
  <w:num w:numId="17">
    <w:abstractNumId w:val="18"/>
  </w:num>
  <w:num w:numId="18">
    <w:abstractNumId w:val="8"/>
  </w:num>
  <w:num w:numId="19">
    <w:abstractNumId w:val="0"/>
  </w:num>
  <w:num w:numId="20">
    <w:abstractNumId w:val="19"/>
  </w:num>
  <w:num w:numId="21">
    <w:abstractNumId w:val="21"/>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evenAndOddHeaders w:val="1"/>
  <w:displayHorizontalDrawingGridEvery w:val="1"/>
  <w:displayVerticalDrawingGridEvery w:val="1"/>
  <w:noPunctuationKerning w:val="1"/>
  <w:characterSpacingControl w:val="doNotCompress"/>
  <w:noLineBreaksAfter w:lang="zh-CN" w:val="([{·‘“〈《「『【〔〖（．［｛￡￥"/>
  <w:noLineBreaksBefore w:lang="zh-CN" w:val="!),.:;?]}¨·ˇˉ―‖’”…∶、。〃々〉》」』】〕〗！＂＇），．：；？］｀｜｝～￠"/>
  <w:compat>
    <w:ulTrailSpace/>
    <w:doNotExpandShiftReturn/>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Y4OGMxNWE5YjdmOTExMTJlZDQyZDdiNzdhMzVhMzAifQ=="/>
  </w:docVars>
  <w:rsids>
    <w:rsidRoot w:val="00172A27"/>
    <w:rsid w:val="00002589"/>
    <w:rsid w:val="000035A2"/>
    <w:rsid w:val="00003DF0"/>
    <w:rsid w:val="000055E6"/>
    <w:rsid w:val="0000564F"/>
    <w:rsid w:val="000060B3"/>
    <w:rsid w:val="000069AE"/>
    <w:rsid w:val="00006FBF"/>
    <w:rsid w:val="00007CD0"/>
    <w:rsid w:val="00010986"/>
    <w:rsid w:val="00014574"/>
    <w:rsid w:val="00014AF0"/>
    <w:rsid w:val="00016298"/>
    <w:rsid w:val="00016C4D"/>
    <w:rsid w:val="0001762C"/>
    <w:rsid w:val="00025B61"/>
    <w:rsid w:val="00031913"/>
    <w:rsid w:val="00034071"/>
    <w:rsid w:val="00034098"/>
    <w:rsid w:val="000343A4"/>
    <w:rsid w:val="00041A3C"/>
    <w:rsid w:val="00042F19"/>
    <w:rsid w:val="00043081"/>
    <w:rsid w:val="0004364B"/>
    <w:rsid w:val="000468DB"/>
    <w:rsid w:val="00050F17"/>
    <w:rsid w:val="00054F1D"/>
    <w:rsid w:val="00057C67"/>
    <w:rsid w:val="00061B1F"/>
    <w:rsid w:val="00061EB2"/>
    <w:rsid w:val="00062CF9"/>
    <w:rsid w:val="000630D7"/>
    <w:rsid w:val="00066831"/>
    <w:rsid w:val="00066DC8"/>
    <w:rsid w:val="00067205"/>
    <w:rsid w:val="00070292"/>
    <w:rsid w:val="000706A2"/>
    <w:rsid w:val="00070C7E"/>
    <w:rsid w:val="00071AB9"/>
    <w:rsid w:val="00071B94"/>
    <w:rsid w:val="000733C4"/>
    <w:rsid w:val="00074783"/>
    <w:rsid w:val="00076D47"/>
    <w:rsid w:val="0008070B"/>
    <w:rsid w:val="000810AC"/>
    <w:rsid w:val="00081A02"/>
    <w:rsid w:val="00082231"/>
    <w:rsid w:val="00082364"/>
    <w:rsid w:val="000835C2"/>
    <w:rsid w:val="000835F4"/>
    <w:rsid w:val="00085022"/>
    <w:rsid w:val="000851C5"/>
    <w:rsid w:val="000901FE"/>
    <w:rsid w:val="000904AF"/>
    <w:rsid w:val="00092834"/>
    <w:rsid w:val="00092D38"/>
    <w:rsid w:val="0009377B"/>
    <w:rsid w:val="00093910"/>
    <w:rsid w:val="000956D2"/>
    <w:rsid w:val="00097967"/>
    <w:rsid w:val="000A03C7"/>
    <w:rsid w:val="000A0848"/>
    <w:rsid w:val="000A1480"/>
    <w:rsid w:val="000A20C9"/>
    <w:rsid w:val="000A265A"/>
    <w:rsid w:val="000A5422"/>
    <w:rsid w:val="000A7A44"/>
    <w:rsid w:val="000A7D45"/>
    <w:rsid w:val="000B058F"/>
    <w:rsid w:val="000B11C2"/>
    <w:rsid w:val="000B1C40"/>
    <w:rsid w:val="000B4467"/>
    <w:rsid w:val="000B4DB9"/>
    <w:rsid w:val="000C0328"/>
    <w:rsid w:val="000C09AC"/>
    <w:rsid w:val="000C1A6F"/>
    <w:rsid w:val="000C31CA"/>
    <w:rsid w:val="000C3482"/>
    <w:rsid w:val="000C3C3C"/>
    <w:rsid w:val="000C3F8C"/>
    <w:rsid w:val="000C6BC9"/>
    <w:rsid w:val="000C767F"/>
    <w:rsid w:val="000C7E7A"/>
    <w:rsid w:val="000D11D6"/>
    <w:rsid w:val="000D2BB3"/>
    <w:rsid w:val="000D4200"/>
    <w:rsid w:val="000D45ED"/>
    <w:rsid w:val="000D5A44"/>
    <w:rsid w:val="000D5F3C"/>
    <w:rsid w:val="000E14CD"/>
    <w:rsid w:val="000E3ED2"/>
    <w:rsid w:val="000E6D10"/>
    <w:rsid w:val="000E7B81"/>
    <w:rsid w:val="000F11D5"/>
    <w:rsid w:val="000F3738"/>
    <w:rsid w:val="000F469A"/>
    <w:rsid w:val="000F51C3"/>
    <w:rsid w:val="000F6572"/>
    <w:rsid w:val="000F79DF"/>
    <w:rsid w:val="00100296"/>
    <w:rsid w:val="00100FDD"/>
    <w:rsid w:val="00104497"/>
    <w:rsid w:val="001045EC"/>
    <w:rsid w:val="00106FC5"/>
    <w:rsid w:val="001079BE"/>
    <w:rsid w:val="00114F6E"/>
    <w:rsid w:val="00120431"/>
    <w:rsid w:val="00121FCD"/>
    <w:rsid w:val="00124362"/>
    <w:rsid w:val="001250FE"/>
    <w:rsid w:val="00125332"/>
    <w:rsid w:val="00126237"/>
    <w:rsid w:val="00127CBE"/>
    <w:rsid w:val="00130F40"/>
    <w:rsid w:val="00131C9E"/>
    <w:rsid w:val="00131F42"/>
    <w:rsid w:val="001357F1"/>
    <w:rsid w:val="00135A3C"/>
    <w:rsid w:val="001364DA"/>
    <w:rsid w:val="00136A6C"/>
    <w:rsid w:val="001378FE"/>
    <w:rsid w:val="00140FA8"/>
    <w:rsid w:val="00141F3F"/>
    <w:rsid w:val="001425EA"/>
    <w:rsid w:val="001428ED"/>
    <w:rsid w:val="00142E31"/>
    <w:rsid w:val="00142FEB"/>
    <w:rsid w:val="00143A2D"/>
    <w:rsid w:val="00144B6D"/>
    <w:rsid w:val="00145A41"/>
    <w:rsid w:val="001506EE"/>
    <w:rsid w:val="00151675"/>
    <w:rsid w:val="00157435"/>
    <w:rsid w:val="001574E9"/>
    <w:rsid w:val="001604C1"/>
    <w:rsid w:val="00162D90"/>
    <w:rsid w:val="001631FB"/>
    <w:rsid w:val="001640CC"/>
    <w:rsid w:val="00165D9A"/>
    <w:rsid w:val="00172A27"/>
    <w:rsid w:val="00174459"/>
    <w:rsid w:val="00174601"/>
    <w:rsid w:val="0017504D"/>
    <w:rsid w:val="00175C54"/>
    <w:rsid w:val="00175DAA"/>
    <w:rsid w:val="0017671A"/>
    <w:rsid w:val="00177422"/>
    <w:rsid w:val="00177DC1"/>
    <w:rsid w:val="00182C14"/>
    <w:rsid w:val="00183A88"/>
    <w:rsid w:val="0018418C"/>
    <w:rsid w:val="00184590"/>
    <w:rsid w:val="00185566"/>
    <w:rsid w:val="001870D1"/>
    <w:rsid w:val="00187190"/>
    <w:rsid w:val="0018781E"/>
    <w:rsid w:val="00192460"/>
    <w:rsid w:val="0019262D"/>
    <w:rsid w:val="00194B39"/>
    <w:rsid w:val="00194C2D"/>
    <w:rsid w:val="00194F0F"/>
    <w:rsid w:val="00195BE8"/>
    <w:rsid w:val="001A004B"/>
    <w:rsid w:val="001A1AAC"/>
    <w:rsid w:val="001A1B35"/>
    <w:rsid w:val="001A3B4D"/>
    <w:rsid w:val="001A4025"/>
    <w:rsid w:val="001A48A2"/>
    <w:rsid w:val="001A6F61"/>
    <w:rsid w:val="001B24B0"/>
    <w:rsid w:val="001B3E5E"/>
    <w:rsid w:val="001B4C8C"/>
    <w:rsid w:val="001B5BBB"/>
    <w:rsid w:val="001B72B8"/>
    <w:rsid w:val="001C0F3C"/>
    <w:rsid w:val="001C1F22"/>
    <w:rsid w:val="001C4E4E"/>
    <w:rsid w:val="001C5C85"/>
    <w:rsid w:val="001C6132"/>
    <w:rsid w:val="001C6772"/>
    <w:rsid w:val="001C69B3"/>
    <w:rsid w:val="001D057D"/>
    <w:rsid w:val="001D0961"/>
    <w:rsid w:val="001D0BCF"/>
    <w:rsid w:val="001D0C2A"/>
    <w:rsid w:val="001D0E1F"/>
    <w:rsid w:val="001D19FE"/>
    <w:rsid w:val="001D3425"/>
    <w:rsid w:val="001D3496"/>
    <w:rsid w:val="001D5595"/>
    <w:rsid w:val="001D5EB1"/>
    <w:rsid w:val="001D7874"/>
    <w:rsid w:val="001D7F22"/>
    <w:rsid w:val="001E100F"/>
    <w:rsid w:val="001E21D6"/>
    <w:rsid w:val="001E3A81"/>
    <w:rsid w:val="001E4929"/>
    <w:rsid w:val="001E4A86"/>
    <w:rsid w:val="001E683C"/>
    <w:rsid w:val="001F0DD6"/>
    <w:rsid w:val="001F0F17"/>
    <w:rsid w:val="001F2DFC"/>
    <w:rsid w:val="001F3347"/>
    <w:rsid w:val="001F5BDC"/>
    <w:rsid w:val="001F69E4"/>
    <w:rsid w:val="00202E1A"/>
    <w:rsid w:val="00204101"/>
    <w:rsid w:val="002101F0"/>
    <w:rsid w:val="002115BA"/>
    <w:rsid w:val="00211DFB"/>
    <w:rsid w:val="002125B4"/>
    <w:rsid w:val="00212C4C"/>
    <w:rsid w:val="002155B8"/>
    <w:rsid w:val="00215DB5"/>
    <w:rsid w:val="0022014A"/>
    <w:rsid w:val="0022094E"/>
    <w:rsid w:val="00220DF1"/>
    <w:rsid w:val="002210E2"/>
    <w:rsid w:val="00221154"/>
    <w:rsid w:val="00224839"/>
    <w:rsid w:val="002249B2"/>
    <w:rsid w:val="00226574"/>
    <w:rsid w:val="0022659E"/>
    <w:rsid w:val="002278D0"/>
    <w:rsid w:val="002278EC"/>
    <w:rsid w:val="00231A41"/>
    <w:rsid w:val="0023280E"/>
    <w:rsid w:val="00233005"/>
    <w:rsid w:val="00233D88"/>
    <w:rsid w:val="002343EC"/>
    <w:rsid w:val="00234D4E"/>
    <w:rsid w:val="002365FF"/>
    <w:rsid w:val="0023726D"/>
    <w:rsid w:val="002377D1"/>
    <w:rsid w:val="00240190"/>
    <w:rsid w:val="0024055C"/>
    <w:rsid w:val="00240B30"/>
    <w:rsid w:val="002467F1"/>
    <w:rsid w:val="002506BC"/>
    <w:rsid w:val="002506E7"/>
    <w:rsid w:val="00252AD3"/>
    <w:rsid w:val="00253CD2"/>
    <w:rsid w:val="00253F2C"/>
    <w:rsid w:val="00254345"/>
    <w:rsid w:val="00255871"/>
    <w:rsid w:val="002603CE"/>
    <w:rsid w:val="00263FAB"/>
    <w:rsid w:val="002642F9"/>
    <w:rsid w:val="00264557"/>
    <w:rsid w:val="00265398"/>
    <w:rsid w:val="00273026"/>
    <w:rsid w:val="0027364A"/>
    <w:rsid w:val="002741F2"/>
    <w:rsid w:val="00274222"/>
    <w:rsid w:val="0027458C"/>
    <w:rsid w:val="002752D0"/>
    <w:rsid w:val="002805AB"/>
    <w:rsid w:val="00282534"/>
    <w:rsid w:val="002831F2"/>
    <w:rsid w:val="00284204"/>
    <w:rsid w:val="00287C49"/>
    <w:rsid w:val="00290561"/>
    <w:rsid w:val="00291773"/>
    <w:rsid w:val="00294441"/>
    <w:rsid w:val="00297BCE"/>
    <w:rsid w:val="002A168C"/>
    <w:rsid w:val="002A1F1C"/>
    <w:rsid w:val="002A3DC7"/>
    <w:rsid w:val="002A4A9E"/>
    <w:rsid w:val="002A57A3"/>
    <w:rsid w:val="002A5F78"/>
    <w:rsid w:val="002A7329"/>
    <w:rsid w:val="002B18BB"/>
    <w:rsid w:val="002B1A80"/>
    <w:rsid w:val="002B3243"/>
    <w:rsid w:val="002B49E2"/>
    <w:rsid w:val="002B7B00"/>
    <w:rsid w:val="002B7C44"/>
    <w:rsid w:val="002B7E77"/>
    <w:rsid w:val="002C1C6E"/>
    <w:rsid w:val="002C2B17"/>
    <w:rsid w:val="002C2FA6"/>
    <w:rsid w:val="002C60B1"/>
    <w:rsid w:val="002C6243"/>
    <w:rsid w:val="002D3D85"/>
    <w:rsid w:val="002D3DD0"/>
    <w:rsid w:val="002D6881"/>
    <w:rsid w:val="002D7DB7"/>
    <w:rsid w:val="002E0A7F"/>
    <w:rsid w:val="002E0B3B"/>
    <w:rsid w:val="002E15EF"/>
    <w:rsid w:val="002E1EA6"/>
    <w:rsid w:val="002E1F3A"/>
    <w:rsid w:val="002E25EF"/>
    <w:rsid w:val="002E298A"/>
    <w:rsid w:val="002E375C"/>
    <w:rsid w:val="002E3A0E"/>
    <w:rsid w:val="002E3D82"/>
    <w:rsid w:val="002F0FAE"/>
    <w:rsid w:val="002F2912"/>
    <w:rsid w:val="002F3517"/>
    <w:rsid w:val="002F6387"/>
    <w:rsid w:val="002F6D50"/>
    <w:rsid w:val="00301978"/>
    <w:rsid w:val="00301F1F"/>
    <w:rsid w:val="00302DDF"/>
    <w:rsid w:val="00302E31"/>
    <w:rsid w:val="0030332C"/>
    <w:rsid w:val="00303736"/>
    <w:rsid w:val="00304FD9"/>
    <w:rsid w:val="003051C2"/>
    <w:rsid w:val="00305467"/>
    <w:rsid w:val="00306F6C"/>
    <w:rsid w:val="00307CFA"/>
    <w:rsid w:val="00310218"/>
    <w:rsid w:val="00312296"/>
    <w:rsid w:val="00312891"/>
    <w:rsid w:val="00314D3B"/>
    <w:rsid w:val="00314F0E"/>
    <w:rsid w:val="003155D0"/>
    <w:rsid w:val="00316929"/>
    <w:rsid w:val="00316B2F"/>
    <w:rsid w:val="0032008D"/>
    <w:rsid w:val="0032058C"/>
    <w:rsid w:val="003211E1"/>
    <w:rsid w:val="00321D8E"/>
    <w:rsid w:val="00325928"/>
    <w:rsid w:val="00325DE0"/>
    <w:rsid w:val="003319DE"/>
    <w:rsid w:val="00332863"/>
    <w:rsid w:val="003349D0"/>
    <w:rsid w:val="003352FE"/>
    <w:rsid w:val="0033684D"/>
    <w:rsid w:val="00337B42"/>
    <w:rsid w:val="00340096"/>
    <w:rsid w:val="00341B42"/>
    <w:rsid w:val="0034348F"/>
    <w:rsid w:val="00343E4C"/>
    <w:rsid w:val="003461E0"/>
    <w:rsid w:val="00347CA0"/>
    <w:rsid w:val="00354CEE"/>
    <w:rsid w:val="003563AE"/>
    <w:rsid w:val="00356653"/>
    <w:rsid w:val="00356958"/>
    <w:rsid w:val="0035743F"/>
    <w:rsid w:val="00357BE2"/>
    <w:rsid w:val="0036170C"/>
    <w:rsid w:val="00361D0A"/>
    <w:rsid w:val="00363E54"/>
    <w:rsid w:val="0036585E"/>
    <w:rsid w:val="00366E0F"/>
    <w:rsid w:val="00366E75"/>
    <w:rsid w:val="00366F1E"/>
    <w:rsid w:val="00367B2E"/>
    <w:rsid w:val="003762AD"/>
    <w:rsid w:val="00377510"/>
    <w:rsid w:val="003813A8"/>
    <w:rsid w:val="00381A72"/>
    <w:rsid w:val="00381AD3"/>
    <w:rsid w:val="0038205F"/>
    <w:rsid w:val="0038258E"/>
    <w:rsid w:val="0038392B"/>
    <w:rsid w:val="00384676"/>
    <w:rsid w:val="00390857"/>
    <w:rsid w:val="00392BCE"/>
    <w:rsid w:val="00392D24"/>
    <w:rsid w:val="0039337C"/>
    <w:rsid w:val="003953C9"/>
    <w:rsid w:val="00395E15"/>
    <w:rsid w:val="00397890"/>
    <w:rsid w:val="003A0F1D"/>
    <w:rsid w:val="003A1F83"/>
    <w:rsid w:val="003A46AE"/>
    <w:rsid w:val="003A4BF3"/>
    <w:rsid w:val="003A5905"/>
    <w:rsid w:val="003B1812"/>
    <w:rsid w:val="003B420D"/>
    <w:rsid w:val="003B5253"/>
    <w:rsid w:val="003B53F8"/>
    <w:rsid w:val="003B5571"/>
    <w:rsid w:val="003B7AE8"/>
    <w:rsid w:val="003B7E62"/>
    <w:rsid w:val="003C0F5A"/>
    <w:rsid w:val="003C1A77"/>
    <w:rsid w:val="003C475F"/>
    <w:rsid w:val="003C4A38"/>
    <w:rsid w:val="003C51D2"/>
    <w:rsid w:val="003C6A9B"/>
    <w:rsid w:val="003C6C16"/>
    <w:rsid w:val="003D113D"/>
    <w:rsid w:val="003D2656"/>
    <w:rsid w:val="003D3D2D"/>
    <w:rsid w:val="003D4562"/>
    <w:rsid w:val="003D4935"/>
    <w:rsid w:val="003D5B07"/>
    <w:rsid w:val="003D5E0E"/>
    <w:rsid w:val="003D66CB"/>
    <w:rsid w:val="003D6FDA"/>
    <w:rsid w:val="003D794D"/>
    <w:rsid w:val="003D7FB3"/>
    <w:rsid w:val="003E0446"/>
    <w:rsid w:val="003E2630"/>
    <w:rsid w:val="003E2FAB"/>
    <w:rsid w:val="003E3058"/>
    <w:rsid w:val="003E4B7C"/>
    <w:rsid w:val="003E550C"/>
    <w:rsid w:val="003E65D7"/>
    <w:rsid w:val="003E76A9"/>
    <w:rsid w:val="003E7777"/>
    <w:rsid w:val="003F0809"/>
    <w:rsid w:val="003F14DD"/>
    <w:rsid w:val="003F2259"/>
    <w:rsid w:val="003F33DD"/>
    <w:rsid w:val="003F36BE"/>
    <w:rsid w:val="003F448B"/>
    <w:rsid w:val="003F4501"/>
    <w:rsid w:val="003F6A8C"/>
    <w:rsid w:val="003F755C"/>
    <w:rsid w:val="003F778D"/>
    <w:rsid w:val="003F7D25"/>
    <w:rsid w:val="00406F01"/>
    <w:rsid w:val="00407B0F"/>
    <w:rsid w:val="00412C5D"/>
    <w:rsid w:val="00413436"/>
    <w:rsid w:val="00414248"/>
    <w:rsid w:val="00414830"/>
    <w:rsid w:val="004148E2"/>
    <w:rsid w:val="00415604"/>
    <w:rsid w:val="0041619A"/>
    <w:rsid w:val="00416D50"/>
    <w:rsid w:val="00416FD5"/>
    <w:rsid w:val="00417772"/>
    <w:rsid w:val="00420E6A"/>
    <w:rsid w:val="004219F9"/>
    <w:rsid w:val="00425A9E"/>
    <w:rsid w:val="00426D6B"/>
    <w:rsid w:val="0043115C"/>
    <w:rsid w:val="004316E8"/>
    <w:rsid w:val="00431E6C"/>
    <w:rsid w:val="004322BD"/>
    <w:rsid w:val="00432B5C"/>
    <w:rsid w:val="00432B6B"/>
    <w:rsid w:val="00433C4E"/>
    <w:rsid w:val="00433CE7"/>
    <w:rsid w:val="00435175"/>
    <w:rsid w:val="004378E5"/>
    <w:rsid w:val="00440AEE"/>
    <w:rsid w:val="00441404"/>
    <w:rsid w:val="00442F41"/>
    <w:rsid w:val="00444228"/>
    <w:rsid w:val="00444240"/>
    <w:rsid w:val="004442BD"/>
    <w:rsid w:val="004507D6"/>
    <w:rsid w:val="004524CB"/>
    <w:rsid w:val="00452738"/>
    <w:rsid w:val="00456091"/>
    <w:rsid w:val="0046004D"/>
    <w:rsid w:val="00464594"/>
    <w:rsid w:val="00466321"/>
    <w:rsid w:val="0046679F"/>
    <w:rsid w:val="00467CBE"/>
    <w:rsid w:val="00470236"/>
    <w:rsid w:val="00471180"/>
    <w:rsid w:val="004723A7"/>
    <w:rsid w:val="004741DA"/>
    <w:rsid w:val="0047773D"/>
    <w:rsid w:val="00477BC3"/>
    <w:rsid w:val="004807C7"/>
    <w:rsid w:val="0048230B"/>
    <w:rsid w:val="0048259B"/>
    <w:rsid w:val="00484B9B"/>
    <w:rsid w:val="004855F6"/>
    <w:rsid w:val="0048661E"/>
    <w:rsid w:val="0048770F"/>
    <w:rsid w:val="0049000E"/>
    <w:rsid w:val="00492DA2"/>
    <w:rsid w:val="00493262"/>
    <w:rsid w:val="00494670"/>
    <w:rsid w:val="00495457"/>
    <w:rsid w:val="00495D23"/>
    <w:rsid w:val="004A1BCC"/>
    <w:rsid w:val="004A2AAC"/>
    <w:rsid w:val="004A3823"/>
    <w:rsid w:val="004A4B89"/>
    <w:rsid w:val="004A6D4F"/>
    <w:rsid w:val="004A7152"/>
    <w:rsid w:val="004A72DE"/>
    <w:rsid w:val="004B2A5A"/>
    <w:rsid w:val="004B62B7"/>
    <w:rsid w:val="004C5910"/>
    <w:rsid w:val="004C59EE"/>
    <w:rsid w:val="004C5CA4"/>
    <w:rsid w:val="004C7902"/>
    <w:rsid w:val="004D118B"/>
    <w:rsid w:val="004D2A10"/>
    <w:rsid w:val="004E08A6"/>
    <w:rsid w:val="004E1971"/>
    <w:rsid w:val="004E23AC"/>
    <w:rsid w:val="004E2A69"/>
    <w:rsid w:val="004E55B5"/>
    <w:rsid w:val="004E63C9"/>
    <w:rsid w:val="004E6946"/>
    <w:rsid w:val="004F1AD8"/>
    <w:rsid w:val="004F2BC0"/>
    <w:rsid w:val="004F39A7"/>
    <w:rsid w:val="004F615A"/>
    <w:rsid w:val="004F6BDC"/>
    <w:rsid w:val="005000A4"/>
    <w:rsid w:val="005000E3"/>
    <w:rsid w:val="00500552"/>
    <w:rsid w:val="005039CB"/>
    <w:rsid w:val="00503BB2"/>
    <w:rsid w:val="0050558F"/>
    <w:rsid w:val="005058C3"/>
    <w:rsid w:val="00505C0F"/>
    <w:rsid w:val="00506286"/>
    <w:rsid w:val="00506FE3"/>
    <w:rsid w:val="00507F3A"/>
    <w:rsid w:val="00510488"/>
    <w:rsid w:val="00510813"/>
    <w:rsid w:val="00510B08"/>
    <w:rsid w:val="00510F86"/>
    <w:rsid w:val="00511184"/>
    <w:rsid w:val="005116DD"/>
    <w:rsid w:val="00511803"/>
    <w:rsid w:val="00511990"/>
    <w:rsid w:val="00511DE0"/>
    <w:rsid w:val="00512EA4"/>
    <w:rsid w:val="0051457C"/>
    <w:rsid w:val="00514870"/>
    <w:rsid w:val="00514B9B"/>
    <w:rsid w:val="005176AF"/>
    <w:rsid w:val="0051777A"/>
    <w:rsid w:val="00517F02"/>
    <w:rsid w:val="00520292"/>
    <w:rsid w:val="00524303"/>
    <w:rsid w:val="005258A2"/>
    <w:rsid w:val="0053194B"/>
    <w:rsid w:val="00536B9E"/>
    <w:rsid w:val="00537EA3"/>
    <w:rsid w:val="005400F1"/>
    <w:rsid w:val="005401AE"/>
    <w:rsid w:val="00541332"/>
    <w:rsid w:val="00542E07"/>
    <w:rsid w:val="00545424"/>
    <w:rsid w:val="00551A38"/>
    <w:rsid w:val="00554A7B"/>
    <w:rsid w:val="0055572C"/>
    <w:rsid w:val="005573CB"/>
    <w:rsid w:val="0056106A"/>
    <w:rsid w:val="00561550"/>
    <w:rsid w:val="005620FB"/>
    <w:rsid w:val="0056378B"/>
    <w:rsid w:val="005656C6"/>
    <w:rsid w:val="00566D35"/>
    <w:rsid w:val="005720AE"/>
    <w:rsid w:val="005725E7"/>
    <w:rsid w:val="00576DBA"/>
    <w:rsid w:val="00582585"/>
    <w:rsid w:val="00582C01"/>
    <w:rsid w:val="005843A0"/>
    <w:rsid w:val="00593A2B"/>
    <w:rsid w:val="00594D77"/>
    <w:rsid w:val="00594E42"/>
    <w:rsid w:val="005969E4"/>
    <w:rsid w:val="005A06B7"/>
    <w:rsid w:val="005A0E3F"/>
    <w:rsid w:val="005A1759"/>
    <w:rsid w:val="005A2574"/>
    <w:rsid w:val="005A68A7"/>
    <w:rsid w:val="005A71AD"/>
    <w:rsid w:val="005A7A21"/>
    <w:rsid w:val="005B2817"/>
    <w:rsid w:val="005B51D3"/>
    <w:rsid w:val="005B574A"/>
    <w:rsid w:val="005B5B1A"/>
    <w:rsid w:val="005B5CF7"/>
    <w:rsid w:val="005B6BDD"/>
    <w:rsid w:val="005C1454"/>
    <w:rsid w:val="005C1D96"/>
    <w:rsid w:val="005C2848"/>
    <w:rsid w:val="005C75EB"/>
    <w:rsid w:val="005D2EDE"/>
    <w:rsid w:val="005D2F06"/>
    <w:rsid w:val="005D36AB"/>
    <w:rsid w:val="005D6CFE"/>
    <w:rsid w:val="005D77E3"/>
    <w:rsid w:val="005E1A34"/>
    <w:rsid w:val="005E1F69"/>
    <w:rsid w:val="005E27D7"/>
    <w:rsid w:val="005E29B5"/>
    <w:rsid w:val="005E39F6"/>
    <w:rsid w:val="005E55A8"/>
    <w:rsid w:val="005F312C"/>
    <w:rsid w:val="005F44BA"/>
    <w:rsid w:val="005F5AFB"/>
    <w:rsid w:val="006021A6"/>
    <w:rsid w:val="00602368"/>
    <w:rsid w:val="00604025"/>
    <w:rsid w:val="00605FA6"/>
    <w:rsid w:val="006100E8"/>
    <w:rsid w:val="00612192"/>
    <w:rsid w:val="00614897"/>
    <w:rsid w:val="00617CC3"/>
    <w:rsid w:val="00625240"/>
    <w:rsid w:val="00625A17"/>
    <w:rsid w:val="00626631"/>
    <w:rsid w:val="00626FBE"/>
    <w:rsid w:val="00627A70"/>
    <w:rsid w:val="00631FAF"/>
    <w:rsid w:val="00632AA2"/>
    <w:rsid w:val="00634D7B"/>
    <w:rsid w:val="006377A6"/>
    <w:rsid w:val="00637A3D"/>
    <w:rsid w:val="00637AB4"/>
    <w:rsid w:val="006411EF"/>
    <w:rsid w:val="00646778"/>
    <w:rsid w:val="00651E53"/>
    <w:rsid w:val="00653CC9"/>
    <w:rsid w:val="006544CA"/>
    <w:rsid w:val="00656BD3"/>
    <w:rsid w:val="00656EFC"/>
    <w:rsid w:val="00661B18"/>
    <w:rsid w:val="00663822"/>
    <w:rsid w:val="00664039"/>
    <w:rsid w:val="00664DE7"/>
    <w:rsid w:val="006651B9"/>
    <w:rsid w:val="00665795"/>
    <w:rsid w:val="0066793E"/>
    <w:rsid w:val="006726F8"/>
    <w:rsid w:val="00672826"/>
    <w:rsid w:val="00673DE2"/>
    <w:rsid w:val="006748B8"/>
    <w:rsid w:val="00674B9E"/>
    <w:rsid w:val="0067512F"/>
    <w:rsid w:val="00676052"/>
    <w:rsid w:val="0067757F"/>
    <w:rsid w:val="006775C3"/>
    <w:rsid w:val="00680742"/>
    <w:rsid w:val="00684078"/>
    <w:rsid w:val="00684A51"/>
    <w:rsid w:val="00684AD4"/>
    <w:rsid w:val="006862E4"/>
    <w:rsid w:val="006872DE"/>
    <w:rsid w:val="00687B7A"/>
    <w:rsid w:val="006902F2"/>
    <w:rsid w:val="00692356"/>
    <w:rsid w:val="006927A1"/>
    <w:rsid w:val="0069290A"/>
    <w:rsid w:val="006969BB"/>
    <w:rsid w:val="0069775A"/>
    <w:rsid w:val="00697813"/>
    <w:rsid w:val="00697926"/>
    <w:rsid w:val="006A06F8"/>
    <w:rsid w:val="006A1D9B"/>
    <w:rsid w:val="006A3EE8"/>
    <w:rsid w:val="006A438D"/>
    <w:rsid w:val="006A72BF"/>
    <w:rsid w:val="006B03F2"/>
    <w:rsid w:val="006B1213"/>
    <w:rsid w:val="006B24FF"/>
    <w:rsid w:val="006B37DC"/>
    <w:rsid w:val="006B4F68"/>
    <w:rsid w:val="006B6AC1"/>
    <w:rsid w:val="006B7113"/>
    <w:rsid w:val="006C0592"/>
    <w:rsid w:val="006C0813"/>
    <w:rsid w:val="006C21B6"/>
    <w:rsid w:val="006C272E"/>
    <w:rsid w:val="006C5479"/>
    <w:rsid w:val="006D13B5"/>
    <w:rsid w:val="006D1D54"/>
    <w:rsid w:val="006D5A27"/>
    <w:rsid w:val="006E12FF"/>
    <w:rsid w:val="006E196C"/>
    <w:rsid w:val="006E42C0"/>
    <w:rsid w:val="006E607E"/>
    <w:rsid w:val="006E690A"/>
    <w:rsid w:val="006F1AC8"/>
    <w:rsid w:val="006F6E68"/>
    <w:rsid w:val="006F7B83"/>
    <w:rsid w:val="006F7E41"/>
    <w:rsid w:val="007008C8"/>
    <w:rsid w:val="00700E55"/>
    <w:rsid w:val="00701372"/>
    <w:rsid w:val="00701C47"/>
    <w:rsid w:val="00703DC3"/>
    <w:rsid w:val="00703E1A"/>
    <w:rsid w:val="00705C29"/>
    <w:rsid w:val="00705D7F"/>
    <w:rsid w:val="00706C5D"/>
    <w:rsid w:val="007119ED"/>
    <w:rsid w:val="00724A82"/>
    <w:rsid w:val="0072630F"/>
    <w:rsid w:val="00726BBF"/>
    <w:rsid w:val="00732922"/>
    <w:rsid w:val="00732F99"/>
    <w:rsid w:val="0073383D"/>
    <w:rsid w:val="0073704F"/>
    <w:rsid w:val="00740B6A"/>
    <w:rsid w:val="007427F9"/>
    <w:rsid w:val="00744178"/>
    <w:rsid w:val="007462A3"/>
    <w:rsid w:val="00746357"/>
    <w:rsid w:val="00746F1F"/>
    <w:rsid w:val="00750651"/>
    <w:rsid w:val="0075154C"/>
    <w:rsid w:val="0075162E"/>
    <w:rsid w:val="00752005"/>
    <w:rsid w:val="00753494"/>
    <w:rsid w:val="00754034"/>
    <w:rsid w:val="00754DCC"/>
    <w:rsid w:val="00756556"/>
    <w:rsid w:val="007577DE"/>
    <w:rsid w:val="00760D26"/>
    <w:rsid w:val="007618C4"/>
    <w:rsid w:val="007652E6"/>
    <w:rsid w:val="00766C94"/>
    <w:rsid w:val="00767750"/>
    <w:rsid w:val="00767980"/>
    <w:rsid w:val="00770B19"/>
    <w:rsid w:val="00770DF0"/>
    <w:rsid w:val="007734A6"/>
    <w:rsid w:val="0077463F"/>
    <w:rsid w:val="007751FA"/>
    <w:rsid w:val="00775565"/>
    <w:rsid w:val="007769DA"/>
    <w:rsid w:val="007806A7"/>
    <w:rsid w:val="00780A0F"/>
    <w:rsid w:val="00781982"/>
    <w:rsid w:val="007836EA"/>
    <w:rsid w:val="00783A69"/>
    <w:rsid w:val="00784CDA"/>
    <w:rsid w:val="007871E0"/>
    <w:rsid w:val="007906C4"/>
    <w:rsid w:val="00791A43"/>
    <w:rsid w:val="00791C86"/>
    <w:rsid w:val="007940EA"/>
    <w:rsid w:val="0079431D"/>
    <w:rsid w:val="007967E8"/>
    <w:rsid w:val="00797A0D"/>
    <w:rsid w:val="007A1EB0"/>
    <w:rsid w:val="007A2170"/>
    <w:rsid w:val="007A22BF"/>
    <w:rsid w:val="007A3323"/>
    <w:rsid w:val="007A40F6"/>
    <w:rsid w:val="007B07DF"/>
    <w:rsid w:val="007B093F"/>
    <w:rsid w:val="007B2E79"/>
    <w:rsid w:val="007B31ED"/>
    <w:rsid w:val="007B43DB"/>
    <w:rsid w:val="007B528A"/>
    <w:rsid w:val="007B72B8"/>
    <w:rsid w:val="007B7A58"/>
    <w:rsid w:val="007C21B5"/>
    <w:rsid w:val="007C2D4F"/>
    <w:rsid w:val="007D2316"/>
    <w:rsid w:val="007D67FA"/>
    <w:rsid w:val="007E243D"/>
    <w:rsid w:val="007E31FF"/>
    <w:rsid w:val="007E3EE2"/>
    <w:rsid w:val="007E3FC6"/>
    <w:rsid w:val="007E4BD2"/>
    <w:rsid w:val="007E522C"/>
    <w:rsid w:val="007F1CDF"/>
    <w:rsid w:val="007F5919"/>
    <w:rsid w:val="007F5F20"/>
    <w:rsid w:val="007F7DB4"/>
    <w:rsid w:val="00801393"/>
    <w:rsid w:val="00802B03"/>
    <w:rsid w:val="00802F88"/>
    <w:rsid w:val="00803139"/>
    <w:rsid w:val="00803CB9"/>
    <w:rsid w:val="0081203E"/>
    <w:rsid w:val="0081293E"/>
    <w:rsid w:val="0081357C"/>
    <w:rsid w:val="00815465"/>
    <w:rsid w:val="00815DD8"/>
    <w:rsid w:val="00817E9A"/>
    <w:rsid w:val="00823053"/>
    <w:rsid w:val="00824DA0"/>
    <w:rsid w:val="0082778F"/>
    <w:rsid w:val="008278AC"/>
    <w:rsid w:val="008306BD"/>
    <w:rsid w:val="00831A80"/>
    <w:rsid w:val="00831D99"/>
    <w:rsid w:val="00833743"/>
    <w:rsid w:val="008340A4"/>
    <w:rsid w:val="00841137"/>
    <w:rsid w:val="00841994"/>
    <w:rsid w:val="00844864"/>
    <w:rsid w:val="00847158"/>
    <w:rsid w:val="008475A9"/>
    <w:rsid w:val="0084798A"/>
    <w:rsid w:val="00850518"/>
    <w:rsid w:val="008519B6"/>
    <w:rsid w:val="00851E59"/>
    <w:rsid w:val="00852065"/>
    <w:rsid w:val="0085240B"/>
    <w:rsid w:val="00853A06"/>
    <w:rsid w:val="00855E23"/>
    <w:rsid w:val="00856799"/>
    <w:rsid w:val="00857337"/>
    <w:rsid w:val="00862301"/>
    <w:rsid w:val="00866396"/>
    <w:rsid w:val="00866506"/>
    <w:rsid w:val="00870174"/>
    <w:rsid w:val="00870883"/>
    <w:rsid w:val="0087135F"/>
    <w:rsid w:val="00872D94"/>
    <w:rsid w:val="00873988"/>
    <w:rsid w:val="00873B38"/>
    <w:rsid w:val="00873E43"/>
    <w:rsid w:val="00876944"/>
    <w:rsid w:val="00877E36"/>
    <w:rsid w:val="00877ED7"/>
    <w:rsid w:val="00880364"/>
    <w:rsid w:val="00884567"/>
    <w:rsid w:val="008858C2"/>
    <w:rsid w:val="00885AD0"/>
    <w:rsid w:val="00886B9B"/>
    <w:rsid w:val="00887462"/>
    <w:rsid w:val="00891592"/>
    <w:rsid w:val="00891E9E"/>
    <w:rsid w:val="0089547D"/>
    <w:rsid w:val="00897735"/>
    <w:rsid w:val="008A2F68"/>
    <w:rsid w:val="008A3947"/>
    <w:rsid w:val="008A573F"/>
    <w:rsid w:val="008A589B"/>
    <w:rsid w:val="008A5DDB"/>
    <w:rsid w:val="008A7A44"/>
    <w:rsid w:val="008B24E5"/>
    <w:rsid w:val="008B4E2D"/>
    <w:rsid w:val="008B4FA6"/>
    <w:rsid w:val="008B5282"/>
    <w:rsid w:val="008B5C94"/>
    <w:rsid w:val="008B63AA"/>
    <w:rsid w:val="008B6646"/>
    <w:rsid w:val="008B7290"/>
    <w:rsid w:val="008B72A6"/>
    <w:rsid w:val="008B787A"/>
    <w:rsid w:val="008B7C17"/>
    <w:rsid w:val="008C2D01"/>
    <w:rsid w:val="008C40E6"/>
    <w:rsid w:val="008D0302"/>
    <w:rsid w:val="008D038C"/>
    <w:rsid w:val="008D03E6"/>
    <w:rsid w:val="008D0A6C"/>
    <w:rsid w:val="008D0F7A"/>
    <w:rsid w:val="008D25EB"/>
    <w:rsid w:val="008D3C06"/>
    <w:rsid w:val="008D52D9"/>
    <w:rsid w:val="008D68E4"/>
    <w:rsid w:val="008D6FC1"/>
    <w:rsid w:val="008D72F1"/>
    <w:rsid w:val="008E0506"/>
    <w:rsid w:val="008E0B50"/>
    <w:rsid w:val="008E0CFF"/>
    <w:rsid w:val="008E1774"/>
    <w:rsid w:val="008E2BC9"/>
    <w:rsid w:val="008E389A"/>
    <w:rsid w:val="008E4E49"/>
    <w:rsid w:val="008E5D6B"/>
    <w:rsid w:val="008E641C"/>
    <w:rsid w:val="008E643D"/>
    <w:rsid w:val="008E6BA1"/>
    <w:rsid w:val="008E76F0"/>
    <w:rsid w:val="008E7E95"/>
    <w:rsid w:val="008F15FE"/>
    <w:rsid w:val="008F2144"/>
    <w:rsid w:val="008F2D29"/>
    <w:rsid w:val="008F35C2"/>
    <w:rsid w:val="008F37F9"/>
    <w:rsid w:val="008F4649"/>
    <w:rsid w:val="008F5187"/>
    <w:rsid w:val="008F60D8"/>
    <w:rsid w:val="008F6CCE"/>
    <w:rsid w:val="008F7B73"/>
    <w:rsid w:val="009002DB"/>
    <w:rsid w:val="00902727"/>
    <w:rsid w:val="00903050"/>
    <w:rsid w:val="0090312B"/>
    <w:rsid w:val="00903C44"/>
    <w:rsid w:val="00904232"/>
    <w:rsid w:val="00910736"/>
    <w:rsid w:val="00915748"/>
    <w:rsid w:val="0091736D"/>
    <w:rsid w:val="009212DF"/>
    <w:rsid w:val="009218A3"/>
    <w:rsid w:val="00925C07"/>
    <w:rsid w:val="0093037A"/>
    <w:rsid w:val="009317D9"/>
    <w:rsid w:val="00932239"/>
    <w:rsid w:val="00941400"/>
    <w:rsid w:val="0094154D"/>
    <w:rsid w:val="0094186B"/>
    <w:rsid w:val="00943111"/>
    <w:rsid w:val="009438FB"/>
    <w:rsid w:val="0095155F"/>
    <w:rsid w:val="009521B9"/>
    <w:rsid w:val="00953C5C"/>
    <w:rsid w:val="00954429"/>
    <w:rsid w:val="00955321"/>
    <w:rsid w:val="009555DD"/>
    <w:rsid w:val="009562FF"/>
    <w:rsid w:val="009563CE"/>
    <w:rsid w:val="00956A52"/>
    <w:rsid w:val="00962796"/>
    <w:rsid w:val="009651F4"/>
    <w:rsid w:val="00966969"/>
    <w:rsid w:val="00972646"/>
    <w:rsid w:val="0097577F"/>
    <w:rsid w:val="00975E46"/>
    <w:rsid w:val="00976045"/>
    <w:rsid w:val="00976328"/>
    <w:rsid w:val="009763B2"/>
    <w:rsid w:val="009767CA"/>
    <w:rsid w:val="0097680D"/>
    <w:rsid w:val="009808FC"/>
    <w:rsid w:val="00980C3F"/>
    <w:rsid w:val="00980DF8"/>
    <w:rsid w:val="009813BA"/>
    <w:rsid w:val="00981A0E"/>
    <w:rsid w:val="00981D4C"/>
    <w:rsid w:val="00982438"/>
    <w:rsid w:val="00982E89"/>
    <w:rsid w:val="0098404C"/>
    <w:rsid w:val="009846E6"/>
    <w:rsid w:val="00985283"/>
    <w:rsid w:val="00985548"/>
    <w:rsid w:val="00985767"/>
    <w:rsid w:val="00986438"/>
    <w:rsid w:val="00987073"/>
    <w:rsid w:val="00987458"/>
    <w:rsid w:val="00987E22"/>
    <w:rsid w:val="00990634"/>
    <w:rsid w:val="00991E43"/>
    <w:rsid w:val="00995992"/>
    <w:rsid w:val="009966F7"/>
    <w:rsid w:val="009A03E5"/>
    <w:rsid w:val="009A0F3B"/>
    <w:rsid w:val="009A1BB4"/>
    <w:rsid w:val="009A2628"/>
    <w:rsid w:val="009A3200"/>
    <w:rsid w:val="009A4930"/>
    <w:rsid w:val="009A618E"/>
    <w:rsid w:val="009B04B9"/>
    <w:rsid w:val="009B0897"/>
    <w:rsid w:val="009B0CEC"/>
    <w:rsid w:val="009B42A7"/>
    <w:rsid w:val="009B4B6E"/>
    <w:rsid w:val="009B7571"/>
    <w:rsid w:val="009B7BD9"/>
    <w:rsid w:val="009C180A"/>
    <w:rsid w:val="009C196D"/>
    <w:rsid w:val="009C27DC"/>
    <w:rsid w:val="009C2F3C"/>
    <w:rsid w:val="009C5784"/>
    <w:rsid w:val="009C6BE7"/>
    <w:rsid w:val="009C7B29"/>
    <w:rsid w:val="009C7DD5"/>
    <w:rsid w:val="009D3368"/>
    <w:rsid w:val="009D5A1C"/>
    <w:rsid w:val="009D63DA"/>
    <w:rsid w:val="009D69FB"/>
    <w:rsid w:val="009E0587"/>
    <w:rsid w:val="009E0651"/>
    <w:rsid w:val="009E0850"/>
    <w:rsid w:val="009E08D7"/>
    <w:rsid w:val="009E227D"/>
    <w:rsid w:val="009E39AD"/>
    <w:rsid w:val="009E43A3"/>
    <w:rsid w:val="009E5019"/>
    <w:rsid w:val="009E55AB"/>
    <w:rsid w:val="009F0442"/>
    <w:rsid w:val="009F0AF6"/>
    <w:rsid w:val="009F43CE"/>
    <w:rsid w:val="009F4EC9"/>
    <w:rsid w:val="009F4EFF"/>
    <w:rsid w:val="009F5151"/>
    <w:rsid w:val="00A0044F"/>
    <w:rsid w:val="00A00F81"/>
    <w:rsid w:val="00A04F1B"/>
    <w:rsid w:val="00A0501B"/>
    <w:rsid w:val="00A11633"/>
    <w:rsid w:val="00A13132"/>
    <w:rsid w:val="00A14947"/>
    <w:rsid w:val="00A17461"/>
    <w:rsid w:val="00A22340"/>
    <w:rsid w:val="00A2259C"/>
    <w:rsid w:val="00A24335"/>
    <w:rsid w:val="00A247FC"/>
    <w:rsid w:val="00A2542C"/>
    <w:rsid w:val="00A26E42"/>
    <w:rsid w:val="00A2719A"/>
    <w:rsid w:val="00A30BAD"/>
    <w:rsid w:val="00A31151"/>
    <w:rsid w:val="00A32A83"/>
    <w:rsid w:val="00A3457F"/>
    <w:rsid w:val="00A368DB"/>
    <w:rsid w:val="00A423AA"/>
    <w:rsid w:val="00A46FA6"/>
    <w:rsid w:val="00A47645"/>
    <w:rsid w:val="00A52358"/>
    <w:rsid w:val="00A53B63"/>
    <w:rsid w:val="00A53EC3"/>
    <w:rsid w:val="00A53EC6"/>
    <w:rsid w:val="00A54DA5"/>
    <w:rsid w:val="00A55C0F"/>
    <w:rsid w:val="00A568C5"/>
    <w:rsid w:val="00A615B2"/>
    <w:rsid w:val="00A645D5"/>
    <w:rsid w:val="00A66C7C"/>
    <w:rsid w:val="00A67B61"/>
    <w:rsid w:val="00A7207F"/>
    <w:rsid w:val="00A72565"/>
    <w:rsid w:val="00A839BB"/>
    <w:rsid w:val="00A8713F"/>
    <w:rsid w:val="00A87AC1"/>
    <w:rsid w:val="00A90805"/>
    <w:rsid w:val="00A90BA1"/>
    <w:rsid w:val="00A92CD7"/>
    <w:rsid w:val="00A92CEB"/>
    <w:rsid w:val="00A93BCC"/>
    <w:rsid w:val="00A97A9A"/>
    <w:rsid w:val="00AA0671"/>
    <w:rsid w:val="00AA0B0C"/>
    <w:rsid w:val="00AA20BB"/>
    <w:rsid w:val="00AA2531"/>
    <w:rsid w:val="00AA3214"/>
    <w:rsid w:val="00AA4782"/>
    <w:rsid w:val="00AA57AE"/>
    <w:rsid w:val="00AA5DCC"/>
    <w:rsid w:val="00AA7347"/>
    <w:rsid w:val="00AA75F1"/>
    <w:rsid w:val="00AB045C"/>
    <w:rsid w:val="00AB1E09"/>
    <w:rsid w:val="00AB1F80"/>
    <w:rsid w:val="00AB28C7"/>
    <w:rsid w:val="00AB454D"/>
    <w:rsid w:val="00AB49D8"/>
    <w:rsid w:val="00AB5330"/>
    <w:rsid w:val="00AB6EBD"/>
    <w:rsid w:val="00AB7747"/>
    <w:rsid w:val="00AC14CE"/>
    <w:rsid w:val="00AC182E"/>
    <w:rsid w:val="00AC2A56"/>
    <w:rsid w:val="00AC390C"/>
    <w:rsid w:val="00AC6B0C"/>
    <w:rsid w:val="00AC6EE1"/>
    <w:rsid w:val="00AC7196"/>
    <w:rsid w:val="00AC791F"/>
    <w:rsid w:val="00AC7CF7"/>
    <w:rsid w:val="00AD0511"/>
    <w:rsid w:val="00AD055E"/>
    <w:rsid w:val="00AD28B2"/>
    <w:rsid w:val="00AD4469"/>
    <w:rsid w:val="00AD47A7"/>
    <w:rsid w:val="00AD47AC"/>
    <w:rsid w:val="00AE24FA"/>
    <w:rsid w:val="00AE2F2D"/>
    <w:rsid w:val="00AE3194"/>
    <w:rsid w:val="00AE3D5E"/>
    <w:rsid w:val="00AE3E37"/>
    <w:rsid w:val="00AE3F62"/>
    <w:rsid w:val="00AE44F9"/>
    <w:rsid w:val="00AE4604"/>
    <w:rsid w:val="00AE6C02"/>
    <w:rsid w:val="00AE7859"/>
    <w:rsid w:val="00AF0BCB"/>
    <w:rsid w:val="00AF0CBF"/>
    <w:rsid w:val="00AF257F"/>
    <w:rsid w:val="00AF33CF"/>
    <w:rsid w:val="00AF464A"/>
    <w:rsid w:val="00AF4C91"/>
    <w:rsid w:val="00AF4D50"/>
    <w:rsid w:val="00AF6179"/>
    <w:rsid w:val="00AF731C"/>
    <w:rsid w:val="00AF7B33"/>
    <w:rsid w:val="00B006D1"/>
    <w:rsid w:val="00B00D97"/>
    <w:rsid w:val="00B00E60"/>
    <w:rsid w:val="00B03504"/>
    <w:rsid w:val="00B04105"/>
    <w:rsid w:val="00B0620B"/>
    <w:rsid w:val="00B12256"/>
    <w:rsid w:val="00B12953"/>
    <w:rsid w:val="00B1295A"/>
    <w:rsid w:val="00B13196"/>
    <w:rsid w:val="00B17160"/>
    <w:rsid w:val="00B17B45"/>
    <w:rsid w:val="00B17D1E"/>
    <w:rsid w:val="00B207A8"/>
    <w:rsid w:val="00B20A45"/>
    <w:rsid w:val="00B2154A"/>
    <w:rsid w:val="00B22C5C"/>
    <w:rsid w:val="00B23E56"/>
    <w:rsid w:val="00B242E4"/>
    <w:rsid w:val="00B24F30"/>
    <w:rsid w:val="00B268B9"/>
    <w:rsid w:val="00B269B1"/>
    <w:rsid w:val="00B269BD"/>
    <w:rsid w:val="00B31ABF"/>
    <w:rsid w:val="00B32C50"/>
    <w:rsid w:val="00B33BE3"/>
    <w:rsid w:val="00B341A1"/>
    <w:rsid w:val="00B34FA4"/>
    <w:rsid w:val="00B35C93"/>
    <w:rsid w:val="00B40FD8"/>
    <w:rsid w:val="00B41FC8"/>
    <w:rsid w:val="00B43BC1"/>
    <w:rsid w:val="00B45BE5"/>
    <w:rsid w:val="00B501DF"/>
    <w:rsid w:val="00B53B5D"/>
    <w:rsid w:val="00B57EF6"/>
    <w:rsid w:val="00B6055E"/>
    <w:rsid w:val="00B6317D"/>
    <w:rsid w:val="00B64669"/>
    <w:rsid w:val="00B64E77"/>
    <w:rsid w:val="00B657AF"/>
    <w:rsid w:val="00B6662B"/>
    <w:rsid w:val="00B6680E"/>
    <w:rsid w:val="00B7047C"/>
    <w:rsid w:val="00B72670"/>
    <w:rsid w:val="00B73444"/>
    <w:rsid w:val="00B751B3"/>
    <w:rsid w:val="00B760CC"/>
    <w:rsid w:val="00B76F8C"/>
    <w:rsid w:val="00B7723F"/>
    <w:rsid w:val="00B80534"/>
    <w:rsid w:val="00B82AB5"/>
    <w:rsid w:val="00B82D47"/>
    <w:rsid w:val="00B8412C"/>
    <w:rsid w:val="00B8433C"/>
    <w:rsid w:val="00B87491"/>
    <w:rsid w:val="00B940F7"/>
    <w:rsid w:val="00B97C2B"/>
    <w:rsid w:val="00BA0ED8"/>
    <w:rsid w:val="00BA29E9"/>
    <w:rsid w:val="00BA3617"/>
    <w:rsid w:val="00BA7142"/>
    <w:rsid w:val="00BA7380"/>
    <w:rsid w:val="00BA74FA"/>
    <w:rsid w:val="00BB237C"/>
    <w:rsid w:val="00BB2681"/>
    <w:rsid w:val="00BB3A60"/>
    <w:rsid w:val="00BB41A3"/>
    <w:rsid w:val="00BB6604"/>
    <w:rsid w:val="00BC0043"/>
    <w:rsid w:val="00BC17BB"/>
    <w:rsid w:val="00BC32DC"/>
    <w:rsid w:val="00BC35B6"/>
    <w:rsid w:val="00BD0BF1"/>
    <w:rsid w:val="00BD1556"/>
    <w:rsid w:val="00BD15CF"/>
    <w:rsid w:val="00BD1B51"/>
    <w:rsid w:val="00BD2D38"/>
    <w:rsid w:val="00BD4206"/>
    <w:rsid w:val="00BD4596"/>
    <w:rsid w:val="00BD5221"/>
    <w:rsid w:val="00BD5D70"/>
    <w:rsid w:val="00BD64A6"/>
    <w:rsid w:val="00BD64FD"/>
    <w:rsid w:val="00BD7A2B"/>
    <w:rsid w:val="00BE1405"/>
    <w:rsid w:val="00BE2C9A"/>
    <w:rsid w:val="00BE312D"/>
    <w:rsid w:val="00BE58ED"/>
    <w:rsid w:val="00BF1054"/>
    <w:rsid w:val="00BF1C20"/>
    <w:rsid w:val="00BF381B"/>
    <w:rsid w:val="00BF709E"/>
    <w:rsid w:val="00BF716C"/>
    <w:rsid w:val="00C00061"/>
    <w:rsid w:val="00C017A4"/>
    <w:rsid w:val="00C01C9E"/>
    <w:rsid w:val="00C06BD6"/>
    <w:rsid w:val="00C10578"/>
    <w:rsid w:val="00C135BC"/>
    <w:rsid w:val="00C13C3E"/>
    <w:rsid w:val="00C15554"/>
    <w:rsid w:val="00C15C95"/>
    <w:rsid w:val="00C20012"/>
    <w:rsid w:val="00C202CA"/>
    <w:rsid w:val="00C202CB"/>
    <w:rsid w:val="00C2075F"/>
    <w:rsid w:val="00C21B47"/>
    <w:rsid w:val="00C22A2E"/>
    <w:rsid w:val="00C25503"/>
    <w:rsid w:val="00C2596A"/>
    <w:rsid w:val="00C27537"/>
    <w:rsid w:val="00C3042D"/>
    <w:rsid w:val="00C323FA"/>
    <w:rsid w:val="00C328FE"/>
    <w:rsid w:val="00C33507"/>
    <w:rsid w:val="00C33BFB"/>
    <w:rsid w:val="00C424E7"/>
    <w:rsid w:val="00C43791"/>
    <w:rsid w:val="00C43A36"/>
    <w:rsid w:val="00C43BEA"/>
    <w:rsid w:val="00C4409D"/>
    <w:rsid w:val="00C44E72"/>
    <w:rsid w:val="00C45A06"/>
    <w:rsid w:val="00C464B5"/>
    <w:rsid w:val="00C47E5B"/>
    <w:rsid w:val="00C50A74"/>
    <w:rsid w:val="00C52752"/>
    <w:rsid w:val="00C544CC"/>
    <w:rsid w:val="00C54D0B"/>
    <w:rsid w:val="00C55E3D"/>
    <w:rsid w:val="00C60300"/>
    <w:rsid w:val="00C60EA1"/>
    <w:rsid w:val="00C6170F"/>
    <w:rsid w:val="00C61E4B"/>
    <w:rsid w:val="00C64353"/>
    <w:rsid w:val="00C64BFF"/>
    <w:rsid w:val="00C65169"/>
    <w:rsid w:val="00C6721F"/>
    <w:rsid w:val="00C701AB"/>
    <w:rsid w:val="00C704E9"/>
    <w:rsid w:val="00C71764"/>
    <w:rsid w:val="00C74614"/>
    <w:rsid w:val="00C7467F"/>
    <w:rsid w:val="00C75095"/>
    <w:rsid w:val="00C75B0C"/>
    <w:rsid w:val="00C75BE6"/>
    <w:rsid w:val="00C763C9"/>
    <w:rsid w:val="00C80057"/>
    <w:rsid w:val="00C82232"/>
    <w:rsid w:val="00C822B3"/>
    <w:rsid w:val="00C82913"/>
    <w:rsid w:val="00C8386E"/>
    <w:rsid w:val="00C838A7"/>
    <w:rsid w:val="00C872F4"/>
    <w:rsid w:val="00C877C2"/>
    <w:rsid w:val="00C878A2"/>
    <w:rsid w:val="00C90BD6"/>
    <w:rsid w:val="00C924B0"/>
    <w:rsid w:val="00C95951"/>
    <w:rsid w:val="00C972B1"/>
    <w:rsid w:val="00CA2CCE"/>
    <w:rsid w:val="00CA3227"/>
    <w:rsid w:val="00CA43FD"/>
    <w:rsid w:val="00CA51FA"/>
    <w:rsid w:val="00CA5D66"/>
    <w:rsid w:val="00CA6678"/>
    <w:rsid w:val="00CA786E"/>
    <w:rsid w:val="00CA7EF8"/>
    <w:rsid w:val="00CB0355"/>
    <w:rsid w:val="00CB2DEF"/>
    <w:rsid w:val="00CB5D3B"/>
    <w:rsid w:val="00CC11D2"/>
    <w:rsid w:val="00CC1C8A"/>
    <w:rsid w:val="00CC2332"/>
    <w:rsid w:val="00CC25DB"/>
    <w:rsid w:val="00CC489B"/>
    <w:rsid w:val="00CC57C4"/>
    <w:rsid w:val="00CC5BE3"/>
    <w:rsid w:val="00CC7588"/>
    <w:rsid w:val="00CD1FE5"/>
    <w:rsid w:val="00CD2BCD"/>
    <w:rsid w:val="00CD2C15"/>
    <w:rsid w:val="00CD3A4C"/>
    <w:rsid w:val="00CD4CCF"/>
    <w:rsid w:val="00CD538F"/>
    <w:rsid w:val="00CD6D0D"/>
    <w:rsid w:val="00CD7776"/>
    <w:rsid w:val="00CD7ED1"/>
    <w:rsid w:val="00CD7ED6"/>
    <w:rsid w:val="00CE10E9"/>
    <w:rsid w:val="00CE163C"/>
    <w:rsid w:val="00CE2910"/>
    <w:rsid w:val="00CE2A16"/>
    <w:rsid w:val="00CE3AAB"/>
    <w:rsid w:val="00CE5393"/>
    <w:rsid w:val="00CE694C"/>
    <w:rsid w:val="00CF0F41"/>
    <w:rsid w:val="00CF3123"/>
    <w:rsid w:val="00CF36BE"/>
    <w:rsid w:val="00CF56E3"/>
    <w:rsid w:val="00CF6000"/>
    <w:rsid w:val="00D003F3"/>
    <w:rsid w:val="00D0179B"/>
    <w:rsid w:val="00D033AF"/>
    <w:rsid w:val="00D0364F"/>
    <w:rsid w:val="00D03AA5"/>
    <w:rsid w:val="00D0402C"/>
    <w:rsid w:val="00D056DC"/>
    <w:rsid w:val="00D06834"/>
    <w:rsid w:val="00D06EED"/>
    <w:rsid w:val="00D10483"/>
    <w:rsid w:val="00D10AC6"/>
    <w:rsid w:val="00D111F1"/>
    <w:rsid w:val="00D16F06"/>
    <w:rsid w:val="00D17D08"/>
    <w:rsid w:val="00D2250A"/>
    <w:rsid w:val="00D23B7B"/>
    <w:rsid w:val="00D24183"/>
    <w:rsid w:val="00D251B3"/>
    <w:rsid w:val="00D256C2"/>
    <w:rsid w:val="00D308ED"/>
    <w:rsid w:val="00D3477B"/>
    <w:rsid w:val="00D34EB1"/>
    <w:rsid w:val="00D36D86"/>
    <w:rsid w:val="00D423A9"/>
    <w:rsid w:val="00D428AA"/>
    <w:rsid w:val="00D4697B"/>
    <w:rsid w:val="00D503F2"/>
    <w:rsid w:val="00D50A34"/>
    <w:rsid w:val="00D53EFA"/>
    <w:rsid w:val="00D5544C"/>
    <w:rsid w:val="00D56E6D"/>
    <w:rsid w:val="00D6087A"/>
    <w:rsid w:val="00D618BE"/>
    <w:rsid w:val="00D66EB1"/>
    <w:rsid w:val="00D677FC"/>
    <w:rsid w:val="00D67CE6"/>
    <w:rsid w:val="00D7259C"/>
    <w:rsid w:val="00D73CA8"/>
    <w:rsid w:val="00D74F18"/>
    <w:rsid w:val="00D77E33"/>
    <w:rsid w:val="00D81DA1"/>
    <w:rsid w:val="00D83B25"/>
    <w:rsid w:val="00D86C43"/>
    <w:rsid w:val="00D87DF9"/>
    <w:rsid w:val="00D9231C"/>
    <w:rsid w:val="00D92443"/>
    <w:rsid w:val="00D927E7"/>
    <w:rsid w:val="00D93D02"/>
    <w:rsid w:val="00D940C0"/>
    <w:rsid w:val="00D94A7C"/>
    <w:rsid w:val="00D95896"/>
    <w:rsid w:val="00D975DF"/>
    <w:rsid w:val="00DA03E4"/>
    <w:rsid w:val="00DA1E89"/>
    <w:rsid w:val="00DA2EE7"/>
    <w:rsid w:val="00DA68DE"/>
    <w:rsid w:val="00DA7FE5"/>
    <w:rsid w:val="00DB0085"/>
    <w:rsid w:val="00DB1B50"/>
    <w:rsid w:val="00DB2100"/>
    <w:rsid w:val="00DB237A"/>
    <w:rsid w:val="00DB2983"/>
    <w:rsid w:val="00DB3857"/>
    <w:rsid w:val="00DC1257"/>
    <w:rsid w:val="00DC37EC"/>
    <w:rsid w:val="00DC3CD4"/>
    <w:rsid w:val="00DC3DC0"/>
    <w:rsid w:val="00DC5B2B"/>
    <w:rsid w:val="00DC676E"/>
    <w:rsid w:val="00DD318D"/>
    <w:rsid w:val="00DD3AFD"/>
    <w:rsid w:val="00DD47C6"/>
    <w:rsid w:val="00DD6335"/>
    <w:rsid w:val="00DD6368"/>
    <w:rsid w:val="00DD648B"/>
    <w:rsid w:val="00DE0847"/>
    <w:rsid w:val="00DE14FA"/>
    <w:rsid w:val="00DE4F52"/>
    <w:rsid w:val="00DE6865"/>
    <w:rsid w:val="00DE773F"/>
    <w:rsid w:val="00DE7D45"/>
    <w:rsid w:val="00DF093E"/>
    <w:rsid w:val="00DF291D"/>
    <w:rsid w:val="00DF29F5"/>
    <w:rsid w:val="00DF2E12"/>
    <w:rsid w:val="00DF3F28"/>
    <w:rsid w:val="00DF514A"/>
    <w:rsid w:val="00DF6690"/>
    <w:rsid w:val="00DF6804"/>
    <w:rsid w:val="00E000DC"/>
    <w:rsid w:val="00E01798"/>
    <w:rsid w:val="00E0358D"/>
    <w:rsid w:val="00E04323"/>
    <w:rsid w:val="00E04D74"/>
    <w:rsid w:val="00E070A2"/>
    <w:rsid w:val="00E07915"/>
    <w:rsid w:val="00E13B47"/>
    <w:rsid w:val="00E17F0A"/>
    <w:rsid w:val="00E21C38"/>
    <w:rsid w:val="00E23B9C"/>
    <w:rsid w:val="00E2644F"/>
    <w:rsid w:val="00E2656A"/>
    <w:rsid w:val="00E3316B"/>
    <w:rsid w:val="00E33BEE"/>
    <w:rsid w:val="00E35E9A"/>
    <w:rsid w:val="00E35F8D"/>
    <w:rsid w:val="00E377FC"/>
    <w:rsid w:val="00E4015C"/>
    <w:rsid w:val="00E40F77"/>
    <w:rsid w:val="00E412D0"/>
    <w:rsid w:val="00E42934"/>
    <w:rsid w:val="00E44D3D"/>
    <w:rsid w:val="00E46754"/>
    <w:rsid w:val="00E50F9E"/>
    <w:rsid w:val="00E5122A"/>
    <w:rsid w:val="00E51327"/>
    <w:rsid w:val="00E53B7C"/>
    <w:rsid w:val="00E5438E"/>
    <w:rsid w:val="00E56322"/>
    <w:rsid w:val="00E57AE0"/>
    <w:rsid w:val="00E57F89"/>
    <w:rsid w:val="00E605EB"/>
    <w:rsid w:val="00E60982"/>
    <w:rsid w:val="00E62C62"/>
    <w:rsid w:val="00E63453"/>
    <w:rsid w:val="00E652B2"/>
    <w:rsid w:val="00E654C1"/>
    <w:rsid w:val="00E65D97"/>
    <w:rsid w:val="00E67662"/>
    <w:rsid w:val="00E71F02"/>
    <w:rsid w:val="00E725F3"/>
    <w:rsid w:val="00E72A5A"/>
    <w:rsid w:val="00E73354"/>
    <w:rsid w:val="00E74187"/>
    <w:rsid w:val="00E74537"/>
    <w:rsid w:val="00E75537"/>
    <w:rsid w:val="00E7594D"/>
    <w:rsid w:val="00E803B1"/>
    <w:rsid w:val="00E8256A"/>
    <w:rsid w:val="00E82ACB"/>
    <w:rsid w:val="00E8383A"/>
    <w:rsid w:val="00E83D66"/>
    <w:rsid w:val="00E84A49"/>
    <w:rsid w:val="00E8752F"/>
    <w:rsid w:val="00E9242D"/>
    <w:rsid w:val="00E927B2"/>
    <w:rsid w:val="00E9304E"/>
    <w:rsid w:val="00E93F84"/>
    <w:rsid w:val="00E940FD"/>
    <w:rsid w:val="00EA011D"/>
    <w:rsid w:val="00EA0DA4"/>
    <w:rsid w:val="00EA1332"/>
    <w:rsid w:val="00EA3F4C"/>
    <w:rsid w:val="00EA4258"/>
    <w:rsid w:val="00EB0411"/>
    <w:rsid w:val="00EB26AC"/>
    <w:rsid w:val="00EB50EF"/>
    <w:rsid w:val="00EB5255"/>
    <w:rsid w:val="00EB5C47"/>
    <w:rsid w:val="00EB6FC0"/>
    <w:rsid w:val="00EB756C"/>
    <w:rsid w:val="00EB780D"/>
    <w:rsid w:val="00EB7FDD"/>
    <w:rsid w:val="00EC44D8"/>
    <w:rsid w:val="00EC4B6F"/>
    <w:rsid w:val="00EC5C48"/>
    <w:rsid w:val="00EC5F16"/>
    <w:rsid w:val="00ED0639"/>
    <w:rsid w:val="00ED0ED0"/>
    <w:rsid w:val="00ED2062"/>
    <w:rsid w:val="00ED41F7"/>
    <w:rsid w:val="00ED59C7"/>
    <w:rsid w:val="00EE60DD"/>
    <w:rsid w:val="00EF18E7"/>
    <w:rsid w:val="00EF3021"/>
    <w:rsid w:val="00EF4755"/>
    <w:rsid w:val="00EF583C"/>
    <w:rsid w:val="00EF7135"/>
    <w:rsid w:val="00F001FD"/>
    <w:rsid w:val="00F027DB"/>
    <w:rsid w:val="00F02F34"/>
    <w:rsid w:val="00F04899"/>
    <w:rsid w:val="00F057A3"/>
    <w:rsid w:val="00F05E1E"/>
    <w:rsid w:val="00F05F7C"/>
    <w:rsid w:val="00F14A7A"/>
    <w:rsid w:val="00F2037E"/>
    <w:rsid w:val="00F22985"/>
    <w:rsid w:val="00F23E1C"/>
    <w:rsid w:val="00F27874"/>
    <w:rsid w:val="00F326D3"/>
    <w:rsid w:val="00F3383E"/>
    <w:rsid w:val="00F3556B"/>
    <w:rsid w:val="00F36141"/>
    <w:rsid w:val="00F3633A"/>
    <w:rsid w:val="00F3668E"/>
    <w:rsid w:val="00F36FCD"/>
    <w:rsid w:val="00F37073"/>
    <w:rsid w:val="00F37622"/>
    <w:rsid w:val="00F446F6"/>
    <w:rsid w:val="00F44BFC"/>
    <w:rsid w:val="00F465A7"/>
    <w:rsid w:val="00F50B7C"/>
    <w:rsid w:val="00F550E6"/>
    <w:rsid w:val="00F56017"/>
    <w:rsid w:val="00F56EB5"/>
    <w:rsid w:val="00F57684"/>
    <w:rsid w:val="00F57DB7"/>
    <w:rsid w:val="00F61C6D"/>
    <w:rsid w:val="00F64EE0"/>
    <w:rsid w:val="00F66EAD"/>
    <w:rsid w:val="00F675A1"/>
    <w:rsid w:val="00F7160E"/>
    <w:rsid w:val="00F72565"/>
    <w:rsid w:val="00F728B2"/>
    <w:rsid w:val="00F74345"/>
    <w:rsid w:val="00F74624"/>
    <w:rsid w:val="00F75466"/>
    <w:rsid w:val="00F77C52"/>
    <w:rsid w:val="00F804C1"/>
    <w:rsid w:val="00F80A0A"/>
    <w:rsid w:val="00F825D6"/>
    <w:rsid w:val="00F82B19"/>
    <w:rsid w:val="00F84779"/>
    <w:rsid w:val="00F86B90"/>
    <w:rsid w:val="00F9212D"/>
    <w:rsid w:val="00F92658"/>
    <w:rsid w:val="00F965DA"/>
    <w:rsid w:val="00F96709"/>
    <w:rsid w:val="00F9744C"/>
    <w:rsid w:val="00FA04C8"/>
    <w:rsid w:val="00FA406A"/>
    <w:rsid w:val="00FA6112"/>
    <w:rsid w:val="00FB1A3F"/>
    <w:rsid w:val="00FB32CA"/>
    <w:rsid w:val="00FB3795"/>
    <w:rsid w:val="00FB503A"/>
    <w:rsid w:val="00FB516C"/>
    <w:rsid w:val="00FB5B40"/>
    <w:rsid w:val="00FC1E7A"/>
    <w:rsid w:val="00FC3B9A"/>
    <w:rsid w:val="00FC47F0"/>
    <w:rsid w:val="00FC6ADD"/>
    <w:rsid w:val="00FD0236"/>
    <w:rsid w:val="00FD18F4"/>
    <w:rsid w:val="00FD54DB"/>
    <w:rsid w:val="00FD619F"/>
    <w:rsid w:val="00FD7D4D"/>
    <w:rsid w:val="00FE0885"/>
    <w:rsid w:val="00FE0BA5"/>
    <w:rsid w:val="00FE6760"/>
    <w:rsid w:val="00FE68B4"/>
    <w:rsid w:val="00FE6A7E"/>
    <w:rsid w:val="00FF103A"/>
    <w:rsid w:val="00FF10F6"/>
    <w:rsid w:val="00FF40C6"/>
    <w:rsid w:val="00FF4454"/>
    <w:rsid w:val="01131771"/>
    <w:rsid w:val="01290F7E"/>
    <w:rsid w:val="013637D1"/>
    <w:rsid w:val="01527EDF"/>
    <w:rsid w:val="015D1E09"/>
    <w:rsid w:val="017F4C7E"/>
    <w:rsid w:val="01891B53"/>
    <w:rsid w:val="01985FCB"/>
    <w:rsid w:val="01AC75F0"/>
    <w:rsid w:val="01FB40D3"/>
    <w:rsid w:val="022352DD"/>
    <w:rsid w:val="024F3E0A"/>
    <w:rsid w:val="02697903"/>
    <w:rsid w:val="02C167B0"/>
    <w:rsid w:val="02CE12C7"/>
    <w:rsid w:val="02EC1FDE"/>
    <w:rsid w:val="02F16316"/>
    <w:rsid w:val="02F96569"/>
    <w:rsid w:val="030B7986"/>
    <w:rsid w:val="036F2169"/>
    <w:rsid w:val="03C16FD8"/>
    <w:rsid w:val="03D77EE3"/>
    <w:rsid w:val="03DF0436"/>
    <w:rsid w:val="03EA7B21"/>
    <w:rsid w:val="04290887"/>
    <w:rsid w:val="04D379E7"/>
    <w:rsid w:val="05027E6C"/>
    <w:rsid w:val="05474BB5"/>
    <w:rsid w:val="05523EE5"/>
    <w:rsid w:val="05C235C9"/>
    <w:rsid w:val="05DB3FDB"/>
    <w:rsid w:val="05F83EAE"/>
    <w:rsid w:val="060379FA"/>
    <w:rsid w:val="062220DC"/>
    <w:rsid w:val="062E4083"/>
    <w:rsid w:val="063E7D85"/>
    <w:rsid w:val="06D33870"/>
    <w:rsid w:val="06DF1460"/>
    <w:rsid w:val="07293586"/>
    <w:rsid w:val="07295285"/>
    <w:rsid w:val="073917D4"/>
    <w:rsid w:val="0754675F"/>
    <w:rsid w:val="07636392"/>
    <w:rsid w:val="07770C56"/>
    <w:rsid w:val="079E79DA"/>
    <w:rsid w:val="07C57F88"/>
    <w:rsid w:val="07F438B2"/>
    <w:rsid w:val="08104767"/>
    <w:rsid w:val="08134822"/>
    <w:rsid w:val="08376A5C"/>
    <w:rsid w:val="0838450F"/>
    <w:rsid w:val="08964E72"/>
    <w:rsid w:val="08DF64BB"/>
    <w:rsid w:val="08E06CF9"/>
    <w:rsid w:val="08F155BC"/>
    <w:rsid w:val="0907134B"/>
    <w:rsid w:val="092217DD"/>
    <w:rsid w:val="093166E9"/>
    <w:rsid w:val="093A1985"/>
    <w:rsid w:val="093A7294"/>
    <w:rsid w:val="094C3466"/>
    <w:rsid w:val="095D768E"/>
    <w:rsid w:val="09AA120E"/>
    <w:rsid w:val="0A006C63"/>
    <w:rsid w:val="0A05247C"/>
    <w:rsid w:val="0A0867D9"/>
    <w:rsid w:val="0A245887"/>
    <w:rsid w:val="0A263993"/>
    <w:rsid w:val="0A287A2F"/>
    <w:rsid w:val="0A2D3AC2"/>
    <w:rsid w:val="0A3E46F9"/>
    <w:rsid w:val="0A4C5883"/>
    <w:rsid w:val="0A607C46"/>
    <w:rsid w:val="0A775E1F"/>
    <w:rsid w:val="0A99080F"/>
    <w:rsid w:val="0AA755DF"/>
    <w:rsid w:val="0AE0655C"/>
    <w:rsid w:val="0AE6191F"/>
    <w:rsid w:val="0B120D44"/>
    <w:rsid w:val="0B2C3BE5"/>
    <w:rsid w:val="0B99503A"/>
    <w:rsid w:val="0BA650B0"/>
    <w:rsid w:val="0BD27BF6"/>
    <w:rsid w:val="0C3B3C7D"/>
    <w:rsid w:val="0C6C7ADF"/>
    <w:rsid w:val="0C727688"/>
    <w:rsid w:val="0C7F1309"/>
    <w:rsid w:val="0C8064A1"/>
    <w:rsid w:val="0C8465E6"/>
    <w:rsid w:val="0C992E66"/>
    <w:rsid w:val="0CAB2EAE"/>
    <w:rsid w:val="0CFA1B57"/>
    <w:rsid w:val="0D117E17"/>
    <w:rsid w:val="0D621C7D"/>
    <w:rsid w:val="0D65197F"/>
    <w:rsid w:val="0D7C7B74"/>
    <w:rsid w:val="0D88050D"/>
    <w:rsid w:val="0D9B1733"/>
    <w:rsid w:val="0DCB704F"/>
    <w:rsid w:val="0E4E6478"/>
    <w:rsid w:val="0E5054DE"/>
    <w:rsid w:val="0E73034D"/>
    <w:rsid w:val="0E7A1E53"/>
    <w:rsid w:val="0E9E6F6E"/>
    <w:rsid w:val="0EA87391"/>
    <w:rsid w:val="0EC17E0E"/>
    <w:rsid w:val="0EE04D7C"/>
    <w:rsid w:val="0F13775A"/>
    <w:rsid w:val="0F2643D8"/>
    <w:rsid w:val="0F2D5AA7"/>
    <w:rsid w:val="0F3240DF"/>
    <w:rsid w:val="0F3550C8"/>
    <w:rsid w:val="0F386966"/>
    <w:rsid w:val="0F5F45FE"/>
    <w:rsid w:val="0F60280E"/>
    <w:rsid w:val="0F7B788F"/>
    <w:rsid w:val="0F9A112B"/>
    <w:rsid w:val="0F9C0108"/>
    <w:rsid w:val="0FA062BA"/>
    <w:rsid w:val="0FA51A26"/>
    <w:rsid w:val="0FBA6FD7"/>
    <w:rsid w:val="0FDC7731"/>
    <w:rsid w:val="102B2027"/>
    <w:rsid w:val="106D2F64"/>
    <w:rsid w:val="10844DD5"/>
    <w:rsid w:val="108574CB"/>
    <w:rsid w:val="10A26BE6"/>
    <w:rsid w:val="10B63710"/>
    <w:rsid w:val="10BA1208"/>
    <w:rsid w:val="10F10820"/>
    <w:rsid w:val="10FE598E"/>
    <w:rsid w:val="111C2F7A"/>
    <w:rsid w:val="113C74D4"/>
    <w:rsid w:val="114F1CDB"/>
    <w:rsid w:val="11533EE2"/>
    <w:rsid w:val="11621A79"/>
    <w:rsid w:val="11665CA1"/>
    <w:rsid w:val="11835941"/>
    <w:rsid w:val="11A772BA"/>
    <w:rsid w:val="11CD6857"/>
    <w:rsid w:val="120E4BA9"/>
    <w:rsid w:val="125F15C4"/>
    <w:rsid w:val="128E1AE3"/>
    <w:rsid w:val="12AF4F2F"/>
    <w:rsid w:val="12B97E2D"/>
    <w:rsid w:val="13182D37"/>
    <w:rsid w:val="131878F8"/>
    <w:rsid w:val="13217712"/>
    <w:rsid w:val="13286A04"/>
    <w:rsid w:val="13337B71"/>
    <w:rsid w:val="138C54D3"/>
    <w:rsid w:val="13951726"/>
    <w:rsid w:val="139D38DB"/>
    <w:rsid w:val="13B95B4F"/>
    <w:rsid w:val="13CB5D21"/>
    <w:rsid w:val="13E76BAD"/>
    <w:rsid w:val="142D100F"/>
    <w:rsid w:val="1438485B"/>
    <w:rsid w:val="14396509"/>
    <w:rsid w:val="147F6DE6"/>
    <w:rsid w:val="148D7E6F"/>
    <w:rsid w:val="14DD2C3C"/>
    <w:rsid w:val="14EB396E"/>
    <w:rsid w:val="152710DE"/>
    <w:rsid w:val="15437E13"/>
    <w:rsid w:val="15480AE3"/>
    <w:rsid w:val="15512516"/>
    <w:rsid w:val="158D17FE"/>
    <w:rsid w:val="158D2B12"/>
    <w:rsid w:val="15EE6A63"/>
    <w:rsid w:val="16087E1D"/>
    <w:rsid w:val="160C7C21"/>
    <w:rsid w:val="16134661"/>
    <w:rsid w:val="16C03316"/>
    <w:rsid w:val="16E45CEE"/>
    <w:rsid w:val="17497BD2"/>
    <w:rsid w:val="174D5ED1"/>
    <w:rsid w:val="17701D14"/>
    <w:rsid w:val="17735226"/>
    <w:rsid w:val="177469AA"/>
    <w:rsid w:val="178A26E7"/>
    <w:rsid w:val="17E56F60"/>
    <w:rsid w:val="17E66E5F"/>
    <w:rsid w:val="17E7717C"/>
    <w:rsid w:val="1840063A"/>
    <w:rsid w:val="1849492E"/>
    <w:rsid w:val="186F4456"/>
    <w:rsid w:val="189C1C81"/>
    <w:rsid w:val="189F624C"/>
    <w:rsid w:val="18AA234F"/>
    <w:rsid w:val="18BB4448"/>
    <w:rsid w:val="18BC23B6"/>
    <w:rsid w:val="18C96DBB"/>
    <w:rsid w:val="1966549E"/>
    <w:rsid w:val="197C38F4"/>
    <w:rsid w:val="198A6011"/>
    <w:rsid w:val="19C57049"/>
    <w:rsid w:val="19D46C03"/>
    <w:rsid w:val="19D83220"/>
    <w:rsid w:val="1A1342F8"/>
    <w:rsid w:val="1A18186E"/>
    <w:rsid w:val="1A1C66C0"/>
    <w:rsid w:val="1A371F47"/>
    <w:rsid w:val="1A3D7454"/>
    <w:rsid w:val="1A42393B"/>
    <w:rsid w:val="1A9B6BCF"/>
    <w:rsid w:val="1AAD45DE"/>
    <w:rsid w:val="1B046F80"/>
    <w:rsid w:val="1B1F577F"/>
    <w:rsid w:val="1B292471"/>
    <w:rsid w:val="1B3267B5"/>
    <w:rsid w:val="1B40161D"/>
    <w:rsid w:val="1B441859"/>
    <w:rsid w:val="1B6606B1"/>
    <w:rsid w:val="1B6F3F5F"/>
    <w:rsid w:val="1B825096"/>
    <w:rsid w:val="1BB26287"/>
    <w:rsid w:val="1BF65BDF"/>
    <w:rsid w:val="1BFB5A6A"/>
    <w:rsid w:val="1C183DA8"/>
    <w:rsid w:val="1C2C7808"/>
    <w:rsid w:val="1C5A237F"/>
    <w:rsid w:val="1C5E7925"/>
    <w:rsid w:val="1C964CCC"/>
    <w:rsid w:val="1C9A71FE"/>
    <w:rsid w:val="1CD65C5D"/>
    <w:rsid w:val="1CFD070F"/>
    <w:rsid w:val="1CFE203E"/>
    <w:rsid w:val="1D1075D0"/>
    <w:rsid w:val="1D3F7112"/>
    <w:rsid w:val="1D506D2A"/>
    <w:rsid w:val="1D54148D"/>
    <w:rsid w:val="1D56268C"/>
    <w:rsid w:val="1D5F6196"/>
    <w:rsid w:val="1D6132A5"/>
    <w:rsid w:val="1D677725"/>
    <w:rsid w:val="1D707442"/>
    <w:rsid w:val="1D8E56D5"/>
    <w:rsid w:val="1E067C30"/>
    <w:rsid w:val="1E0C3498"/>
    <w:rsid w:val="1E206F43"/>
    <w:rsid w:val="1E247477"/>
    <w:rsid w:val="1E7A43DA"/>
    <w:rsid w:val="1E7B133C"/>
    <w:rsid w:val="1E9B2DD4"/>
    <w:rsid w:val="1EB5581B"/>
    <w:rsid w:val="1F132604"/>
    <w:rsid w:val="1F2611F4"/>
    <w:rsid w:val="1F2A7280"/>
    <w:rsid w:val="1F452AE1"/>
    <w:rsid w:val="1F576995"/>
    <w:rsid w:val="1F9811E7"/>
    <w:rsid w:val="1FBA0E9B"/>
    <w:rsid w:val="1FE7539E"/>
    <w:rsid w:val="202E2ACF"/>
    <w:rsid w:val="205E1FA5"/>
    <w:rsid w:val="20671BE0"/>
    <w:rsid w:val="206C46C2"/>
    <w:rsid w:val="20963CB8"/>
    <w:rsid w:val="20A81A1B"/>
    <w:rsid w:val="20B07FB6"/>
    <w:rsid w:val="20B646FB"/>
    <w:rsid w:val="20DE2914"/>
    <w:rsid w:val="21071709"/>
    <w:rsid w:val="2107263D"/>
    <w:rsid w:val="213B74B1"/>
    <w:rsid w:val="214320A3"/>
    <w:rsid w:val="215A2310"/>
    <w:rsid w:val="21A8797C"/>
    <w:rsid w:val="21CA6954"/>
    <w:rsid w:val="21CE77C5"/>
    <w:rsid w:val="21D56325"/>
    <w:rsid w:val="21DE318A"/>
    <w:rsid w:val="21E14C3C"/>
    <w:rsid w:val="21EF5B80"/>
    <w:rsid w:val="22151776"/>
    <w:rsid w:val="22222456"/>
    <w:rsid w:val="22290FE5"/>
    <w:rsid w:val="22433200"/>
    <w:rsid w:val="22576990"/>
    <w:rsid w:val="226E036B"/>
    <w:rsid w:val="22726533"/>
    <w:rsid w:val="22902CA4"/>
    <w:rsid w:val="22F47480"/>
    <w:rsid w:val="23645BCD"/>
    <w:rsid w:val="237044C9"/>
    <w:rsid w:val="239A1546"/>
    <w:rsid w:val="23DE1C48"/>
    <w:rsid w:val="240210CD"/>
    <w:rsid w:val="24134E54"/>
    <w:rsid w:val="24447577"/>
    <w:rsid w:val="245C4A4D"/>
    <w:rsid w:val="24857039"/>
    <w:rsid w:val="24975FA1"/>
    <w:rsid w:val="24BF09F7"/>
    <w:rsid w:val="24DB0068"/>
    <w:rsid w:val="24F30A06"/>
    <w:rsid w:val="252B559C"/>
    <w:rsid w:val="252D53FE"/>
    <w:rsid w:val="259C64DA"/>
    <w:rsid w:val="25DD396C"/>
    <w:rsid w:val="25EC2D81"/>
    <w:rsid w:val="25EF28D1"/>
    <w:rsid w:val="25F45BE1"/>
    <w:rsid w:val="26031A26"/>
    <w:rsid w:val="263A2B6C"/>
    <w:rsid w:val="26516E72"/>
    <w:rsid w:val="26527EB6"/>
    <w:rsid w:val="26666435"/>
    <w:rsid w:val="268B2A9D"/>
    <w:rsid w:val="26AF70B6"/>
    <w:rsid w:val="27333506"/>
    <w:rsid w:val="2762606A"/>
    <w:rsid w:val="277057A2"/>
    <w:rsid w:val="27735D42"/>
    <w:rsid w:val="27AE656C"/>
    <w:rsid w:val="27D30E88"/>
    <w:rsid w:val="28045F82"/>
    <w:rsid w:val="286839C1"/>
    <w:rsid w:val="28757E8C"/>
    <w:rsid w:val="288D7243"/>
    <w:rsid w:val="28B371A5"/>
    <w:rsid w:val="28B44E58"/>
    <w:rsid w:val="28C12F19"/>
    <w:rsid w:val="28DE54FC"/>
    <w:rsid w:val="28F171AF"/>
    <w:rsid w:val="291E1F85"/>
    <w:rsid w:val="29206EB8"/>
    <w:rsid w:val="292A5B87"/>
    <w:rsid w:val="29370FFC"/>
    <w:rsid w:val="29595666"/>
    <w:rsid w:val="29874881"/>
    <w:rsid w:val="29E325E0"/>
    <w:rsid w:val="29EE7EF6"/>
    <w:rsid w:val="29FF252A"/>
    <w:rsid w:val="2A1F09F7"/>
    <w:rsid w:val="2A304152"/>
    <w:rsid w:val="2A452503"/>
    <w:rsid w:val="2A4E5039"/>
    <w:rsid w:val="2AA902C1"/>
    <w:rsid w:val="2AE3365B"/>
    <w:rsid w:val="2AF83194"/>
    <w:rsid w:val="2B04158B"/>
    <w:rsid w:val="2B1C10CE"/>
    <w:rsid w:val="2B716447"/>
    <w:rsid w:val="2B911481"/>
    <w:rsid w:val="2BA936A8"/>
    <w:rsid w:val="2BB24858"/>
    <w:rsid w:val="2BCC24B9"/>
    <w:rsid w:val="2BD70F6D"/>
    <w:rsid w:val="2BE21CDC"/>
    <w:rsid w:val="2C231816"/>
    <w:rsid w:val="2C315A5A"/>
    <w:rsid w:val="2C4B1C25"/>
    <w:rsid w:val="2C7C7A3B"/>
    <w:rsid w:val="2C8F5FE1"/>
    <w:rsid w:val="2D37400A"/>
    <w:rsid w:val="2D6C440C"/>
    <w:rsid w:val="2D8C2804"/>
    <w:rsid w:val="2D922EBF"/>
    <w:rsid w:val="2D9E56F5"/>
    <w:rsid w:val="2DB83E89"/>
    <w:rsid w:val="2E667F96"/>
    <w:rsid w:val="2E67471B"/>
    <w:rsid w:val="2E6B1D1B"/>
    <w:rsid w:val="2E6B5F9A"/>
    <w:rsid w:val="2E8226AB"/>
    <w:rsid w:val="2E942B39"/>
    <w:rsid w:val="2EDF4845"/>
    <w:rsid w:val="2EE36843"/>
    <w:rsid w:val="2F1A761F"/>
    <w:rsid w:val="2F3945FF"/>
    <w:rsid w:val="2F3A60E3"/>
    <w:rsid w:val="2F6439B4"/>
    <w:rsid w:val="2F73171B"/>
    <w:rsid w:val="2F8B75DA"/>
    <w:rsid w:val="2FCE5C39"/>
    <w:rsid w:val="2FD065E6"/>
    <w:rsid w:val="2FD96870"/>
    <w:rsid w:val="30254764"/>
    <w:rsid w:val="303643A5"/>
    <w:rsid w:val="30400ABC"/>
    <w:rsid w:val="305527B8"/>
    <w:rsid w:val="30580BC9"/>
    <w:rsid w:val="30990E96"/>
    <w:rsid w:val="30AE4E49"/>
    <w:rsid w:val="30B01CD8"/>
    <w:rsid w:val="30C73EA4"/>
    <w:rsid w:val="30D65765"/>
    <w:rsid w:val="30E65DCB"/>
    <w:rsid w:val="310C576F"/>
    <w:rsid w:val="3112351E"/>
    <w:rsid w:val="311E2ED7"/>
    <w:rsid w:val="312A59EA"/>
    <w:rsid w:val="315619EE"/>
    <w:rsid w:val="315C449C"/>
    <w:rsid w:val="3183186B"/>
    <w:rsid w:val="31A57A34"/>
    <w:rsid w:val="31B82709"/>
    <w:rsid w:val="31D05482"/>
    <w:rsid w:val="31DE3C7B"/>
    <w:rsid w:val="323E399B"/>
    <w:rsid w:val="32400B34"/>
    <w:rsid w:val="326C0DEB"/>
    <w:rsid w:val="32897E1C"/>
    <w:rsid w:val="32931F82"/>
    <w:rsid w:val="32981379"/>
    <w:rsid w:val="329E6876"/>
    <w:rsid w:val="32AB5D01"/>
    <w:rsid w:val="32BD56A6"/>
    <w:rsid w:val="32C74BA9"/>
    <w:rsid w:val="32E4458C"/>
    <w:rsid w:val="32F72E8D"/>
    <w:rsid w:val="331F3816"/>
    <w:rsid w:val="332C16ED"/>
    <w:rsid w:val="333015F2"/>
    <w:rsid w:val="334B6320"/>
    <w:rsid w:val="33501E4A"/>
    <w:rsid w:val="33527747"/>
    <w:rsid w:val="335E4607"/>
    <w:rsid w:val="337376D3"/>
    <w:rsid w:val="338B2C59"/>
    <w:rsid w:val="33D934D4"/>
    <w:rsid w:val="33E93E25"/>
    <w:rsid w:val="33EA31A7"/>
    <w:rsid w:val="33FE2F6A"/>
    <w:rsid w:val="340E07E5"/>
    <w:rsid w:val="34235BF7"/>
    <w:rsid w:val="34383D9A"/>
    <w:rsid w:val="343C6163"/>
    <w:rsid w:val="3495179E"/>
    <w:rsid w:val="34A00474"/>
    <w:rsid w:val="34B94482"/>
    <w:rsid w:val="34C12DD7"/>
    <w:rsid w:val="351E5B5D"/>
    <w:rsid w:val="357D0C50"/>
    <w:rsid w:val="3586450E"/>
    <w:rsid w:val="35883A00"/>
    <w:rsid w:val="358C5FA8"/>
    <w:rsid w:val="3596327C"/>
    <w:rsid w:val="35A61EB8"/>
    <w:rsid w:val="35B8665A"/>
    <w:rsid w:val="35C15DF1"/>
    <w:rsid w:val="35C6441D"/>
    <w:rsid w:val="36074A7F"/>
    <w:rsid w:val="362A675A"/>
    <w:rsid w:val="362F2E8B"/>
    <w:rsid w:val="3641163C"/>
    <w:rsid w:val="36577894"/>
    <w:rsid w:val="366F21BD"/>
    <w:rsid w:val="36822CFA"/>
    <w:rsid w:val="36923549"/>
    <w:rsid w:val="369D207A"/>
    <w:rsid w:val="36B75FBF"/>
    <w:rsid w:val="36BD0C45"/>
    <w:rsid w:val="37166D64"/>
    <w:rsid w:val="37862924"/>
    <w:rsid w:val="37B97C84"/>
    <w:rsid w:val="37E00298"/>
    <w:rsid w:val="37EC5FE6"/>
    <w:rsid w:val="3832773F"/>
    <w:rsid w:val="38561E35"/>
    <w:rsid w:val="3872263A"/>
    <w:rsid w:val="38911C54"/>
    <w:rsid w:val="38B302F9"/>
    <w:rsid w:val="38F12CD3"/>
    <w:rsid w:val="38F94775"/>
    <w:rsid w:val="39203FFE"/>
    <w:rsid w:val="392971ED"/>
    <w:rsid w:val="39325651"/>
    <w:rsid w:val="394C0943"/>
    <w:rsid w:val="3971469F"/>
    <w:rsid w:val="39C0008E"/>
    <w:rsid w:val="39E05F92"/>
    <w:rsid w:val="3A1D5EDB"/>
    <w:rsid w:val="3A56477C"/>
    <w:rsid w:val="3A751F6D"/>
    <w:rsid w:val="3A826325"/>
    <w:rsid w:val="3A872856"/>
    <w:rsid w:val="3A8A1C91"/>
    <w:rsid w:val="3AA76476"/>
    <w:rsid w:val="3AEC222F"/>
    <w:rsid w:val="3B337E5E"/>
    <w:rsid w:val="3B3763D1"/>
    <w:rsid w:val="3B4C1E1D"/>
    <w:rsid w:val="3B5123CB"/>
    <w:rsid w:val="3B6D76D3"/>
    <w:rsid w:val="3BAC5E63"/>
    <w:rsid w:val="3BC92571"/>
    <w:rsid w:val="3BED2703"/>
    <w:rsid w:val="3C162A75"/>
    <w:rsid w:val="3C2F6E1E"/>
    <w:rsid w:val="3C4F64BA"/>
    <w:rsid w:val="3C6B4749"/>
    <w:rsid w:val="3C6D73A0"/>
    <w:rsid w:val="3CB925E5"/>
    <w:rsid w:val="3CDA245A"/>
    <w:rsid w:val="3CE55188"/>
    <w:rsid w:val="3D1E06B7"/>
    <w:rsid w:val="3D3D5401"/>
    <w:rsid w:val="3D6A0277"/>
    <w:rsid w:val="3D917A06"/>
    <w:rsid w:val="3DC56D68"/>
    <w:rsid w:val="3DF31F7D"/>
    <w:rsid w:val="3DFD6240"/>
    <w:rsid w:val="3E29379B"/>
    <w:rsid w:val="3E5429EE"/>
    <w:rsid w:val="3E765781"/>
    <w:rsid w:val="3E7E7642"/>
    <w:rsid w:val="3E806EB1"/>
    <w:rsid w:val="3E8A4F9E"/>
    <w:rsid w:val="3ECA4B48"/>
    <w:rsid w:val="3ECC2AA4"/>
    <w:rsid w:val="3EDA0523"/>
    <w:rsid w:val="3EEE0039"/>
    <w:rsid w:val="3EEE79AA"/>
    <w:rsid w:val="3EF00600"/>
    <w:rsid w:val="3F0B3A0A"/>
    <w:rsid w:val="3F36616F"/>
    <w:rsid w:val="3F5D6952"/>
    <w:rsid w:val="3F6E64A0"/>
    <w:rsid w:val="3F926809"/>
    <w:rsid w:val="3F980072"/>
    <w:rsid w:val="3F9D527A"/>
    <w:rsid w:val="3FCF2F78"/>
    <w:rsid w:val="3FF43934"/>
    <w:rsid w:val="402C1320"/>
    <w:rsid w:val="403503FB"/>
    <w:rsid w:val="407A6407"/>
    <w:rsid w:val="40905F1A"/>
    <w:rsid w:val="409B5894"/>
    <w:rsid w:val="40AF790C"/>
    <w:rsid w:val="40B3417D"/>
    <w:rsid w:val="40CE144C"/>
    <w:rsid w:val="40F41047"/>
    <w:rsid w:val="41091CFF"/>
    <w:rsid w:val="41140732"/>
    <w:rsid w:val="411E335F"/>
    <w:rsid w:val="412020E6"/>
    <w:rsid w:val="41343B1A"/>
    <w:rsid w:val="415820B8"/>
    <w:rsid w:val="415B7F84"/>
    <w:rsid w:val="418A51A1"/>
    <w:rsid w:val="419378A9"/>
    <w:rsid w:val="41B41965"/>
    <w:rsid w:val="41B75138"/>
    <w:rsid w:val="41B8730F"/>
    <w:rsid w:val="41C9151C"/>
    <w:rsid w:val="41DB2618"/>
    <w:rsid w:val="41DE7D6A"/>
    <w:rsid w:val="41DF5F1B"/>
    <w:rsid w:val="4200449D"/>
    <w:rsid w:val="42366486"/>
    <w:rsid w:val="423A3BCC"/>
    <w:rsid w:val="423C4631"/>
    <w:rsid w:val="423D5921"/>
    <w:rsid w:val="42435874"/>
    <w:rsid w:val="424E57D2"/>
    <w:rsid w:val="42B26C49"/>
    <w:rsid w:val="42D737C5"/>
    <w:rsid w:val="42DD3505"/>
    <w:rsid w:val="42E317C7"/>
    <w:rsid w:val="430A6196"/>
    <w:rsid w:val="433A6FE6"/>
    <w:rsid w:val="43480868"/>
    <w:rsid w:val="4350713C"/>
    <w:rsid w:val="43566DE0"/>
    <w:rsid w:val="435B519B"/>
    <w:rsid w:val="435F23CA"/>
    <w:rsid w:val="436653E0"/>
    <w:rsid w:val="43C4431A"/>
    <w:rsid w:val="43C54BB5"/>
    <w:rsid w:val="43CC740D"/>
    <w:rsid w:val="44083ACA"/>
    <w:rsid w:val="440A0153"/>
    <w:rsid w:val="441E71D2"/>
    <w:rsid w:val="445F1CC4"/>
    <w:rsid w:val="44935E12"/>
    <w:rsid w:val="44B951CC"/>
    <w:rsid w:val="44CD14E0"/>
    <w:rsid w:val="44F20B0B"/>
    <w:rsid w:val="45023049"/>
    <w:rsid w:val="451627E9"/>
    <w:rsid w:val="452E5F4C"/>
    <w:rsid w:val="454551A7"/>
    <w:rsid w:val="45612018"/>
    <w:rsid w:val="458946E9"/>
    <w:rsid w:val="45A47C0E"/>
    <w:rsid w:val="45EA4C65"/>
    <w:rsid w:val="4607616F"/>
    <w:rsid w:val="46577FD6"/>
    <w:rsid w:val="465B64BB"/>
    <w:rsid w:val="4662784A"/>
    <w:rsid w:val="46CD624D"/>
    <w:rsid w:val="46D955A7"/>
    <w:rsid w:val="46E442ED"/>
    <w:rsid w:val="46FF735E"/>
    <w:rsid w:val="47133957"/>
    <w:rsid w:val="477622A4"/>
    <w:rsid w:val="47A07E0C"/>
    <w:rsid w:val="47D2124A"/>
    <w:rsid w:val="47DE0B15"/>
    <w:rsid w:val="47E440F8"/>
    <w:rsid w:val="47F16A4D"/>
    <w:rsid w:val="480F05D2"/>
    <w:rsid w:val="48362D3C"/>
    <w:rsid w:val="48541414"/>
    <w:rsid w:val="48653621"/>
    <w:rsid w:val="4870272E"/>
    <w:rsid w:val="48784864"/>
    <w:rsid w:val="4896651A"/>
    <w:rsid w:val="48C90054"/>
    <w:rsid w:val="48D34A2F"/>
    <w:rsid w:val="48EC175E"/>
    <w:rsid w:val="492928A1"/>
    <w:rsid w:val="492A3BE4"/>
    <w:rsid w:val="494A7116"/>
    <w:rsid w:val="495B1666"/>
    <w:rsid w:val="4970210B"/>
    <w:rsid w:val="49917DE8"/>
    <w:rsid w:val="499B3937"/>
    <w:rsid w:val="49D35DF5"/>
    <w:rsid w:val="49DC7715"/>
    <w:rsid w:val="4A023139"/>
    <w:rsid w:val="4A062EB1"/>
    <w:rsid w:val="4A1D1740"/>
    <w:rsid w:val="4A6431D8"/>
    <w:rsid w:val="4A7B576F"/>
    <w:rsid w:val="4A875FDB"/>
    <w:rsid w:val="4A8A7937"/>
    <w:rsid w:val="4AE72962"/>
    <w:rsid w:val="4AF561A9"/>
    <w:rsid w:val="4B0F73DE"/>
    <w:rsid w:val="4B0F78AC"/>
    <w:rsid w:val="4B3D3B99"/>
    <w:rsid w:val="4BF23577"/>
    <w:rsid w:val="4BFE25DB"/>
    <w:rsid w:val="4C4634F1"/>
    <w:rsid w:val="4C4A0649"/>
    <w:rsid w:val="4C78250B"/>
    <w:rsid w:val="4C7E5ECA"/>
    <w:rsid w:val="4C8311CB"/>
    <w:rsid w:val="4C876AA5"/>
    <w:rsid w:val="4CDA4B9D"/>
    <w:rsid w:val="4D0E00FB"/>
    <w:rsid w:val="4D112048"/>
    <w:rsid w:val="4D176606"/>
    <w:rsid w:val="4D6B5C52"/>
    <w:rsid w:val="4D6F4A7B"/>
    <w:rsid w:val="4DA90454"/>
    <w:rsid w:val="4DA92202"/>
    <w:rsid w:val="4DEC4FB0"/>
    <w:rsid w:val="4E075D8A"/>
    <w:rsid w:val="4E0F1241"/>
    <w:rsid w:val="4E636855"/>
    <w:rsid w:val="4EB6029F"/>
    <w:rsid w:val="4EC00FAD"/>
    <w:rsid w:val="4EC5306C"/>
    <w:rsid w:val="4F05568E"/>
    <w:rsid w:val="4F0C47F7"/>
    <w:rsid w:val="4F3A6C20"/>
    <w:rsid w:val="4F5575B8"/>
    <w:rsid w:val="4F7C5744"/>
    <w:rsid w:val="4F9843DC"/>
    <w:rsid w:val="4FB82BD0"/>
    <w:rsid w:val="4FC153E4"/>
    <w:rsid w:val="4FC62A8C"/>
    <w:rsid w:val="4FE20F0D"/>
    <w:rsid w:val="4FE51552"/>
    <w:rsid w:val="4FE777A4"/>
    <w:rsid w:val="500D3A92"/>
    <w:rsid w:val="50504C4B"/>
    <w:rsid w:val="505446A7"/>
    <w:rsid w:val="509C6E7C"/>
    <w:rsid w:val="50CB07DD"/>
    <w:rsid w:val="50CE7C05"/>
    <w:rsid w:val="50DF1AA3"/>
    <w:rsid w:val="50F5220C"/>
    <w:rsid w:val="510238A1"/>
    <w:rsid w:val="51055D7E"/>
    <w:rsid w:val="5139389D"/>
    <w:rsid w:val="5162104E"/>
    <w:rsid w:val="51D0595D"/>
    <w:rsid w:val="51E928D5"/>
    <w:rsid w:val="52043EAB"/>
    <w:rsid w:val="5229557F"/>
    <w:rsid w:val="524A190D"/>
    <w:rsid w:val="527F3531"/>
    <w:rsid w:val="52C27F12"/>
    <w:rsid w:val="52D14142"/>
    <w:rsid w:val="52FF2454"/>
    <w:rsid w:val="53453FCF"/>
    <w:rsid w:val="53487DC7"/>
    <w:rsid w:val="534A7FE3"/>
    <w:rsid w:val="5363150A"/>
    <w:rsid w:val="53A039CC"/>
    <w:rsid w:val="53A1505A"/>
    <w:rsid w:val="53BE3697"/>
    <w:rsid w:val="53CE5EE0"/>
    <w:rsid w:val="53D669F4"/>
    <w:rsid w:val="54063E08"/>
    <w:rsid w:val="541530E4"/>
    <w:rsid w:val="543437E8"/>
    <w:rsid w:val="544F1C48"/>
    <w:rsid w:val="546721D0"/>
    <w:rsid w:val="54C00BB1"/>
    <w:rsid w:val="54CA3E7D"/>
    <w:rsid w:val="54CE2C60"/>
    <w:rsid w:val="54F73313"/>
    <w:rsid w:val="54F80955"/>
    <w:rsid w:val="551139CF"/>
    <w:rsid w:val="554D7917"/>
    <w:rsid w:val="555170A7"/>
    <w:rsid w:val="556E6389"/>
    <w:rsid w:val="5587536D"/>
    <w:rsid w:val="55887B04"/>
    <w:rsid w:val="559B174B"/>
    <w:rsid w:val="55CE0CF4"/>
    <w:rsid w:val="562623C1"/>
    <w:rsid w:val="567A1FEF"/>
    <w:rsid w:val="5697231E"/>
    <w:rsid w:val="56B22A9C"/>
    <w:rsid w:val="56C43C09"/>
    <w:rsid w:val="570551D0"/>
    <w:rsid w:val="57062A30"/>
    <w:rsid w:val="57727B09"/>
    <w:rsid w:val="578130E3"/>
    <w:rsid w:val="57B72A76"/>
    <w:rsid w:val="57C049F1"/>
    <w:rsid w:val="57C3426C"/>
    <w:rsid w:val="57CE1F93"/>
    <w:rsid w:val="58000136"/>
    <w:rsid w:val="580D2AD0"/>
    <w:rsid w:val="58101699"/>
    <w:rsid w:val="58124717"/>
    <w:rsid w:val="58266E49"/>
    <w:rsid w:val="585A65D3"/>
    <w:rsid w:val="585B01EC"/>
    <w:rsid w:val="586144EF"/>
    <w:rsid w:val="586F67F3"/>
    <w:rsid w:val="588743D1"/>
    <w:rsid w:val="5887701A"/>
    <w:rsid w:val="58BD19D9"/>
    <w:rsid w:val="58C55960"/>
    <w:rsid w:val="58C94FFB"/>
    <w:rsid w:val="58E714F5"/>
    <w:rsid w:val="58F678E1"/>
    <w:rsid w:val="592A27C6"/>
    <w:rsid w:val="59C0439F"/>
    <w:rsid w:val="59D949F9"/>
    <w:rsid w:val="59EF593E"/>
    <w:rsid w:val="59F6057D"/>
    <w:rsid w:val="5A8F01C0"/>
    <w:rsid w:val="5ABE2233"/>
    <w:rsid w:val="5ABF179D"/>
    <w:rsid w:val="5AD32CC4"/>
    <w:rsid w:val="5AE83531"/>
    <w:rsid w:val="5B152C85"/>
    <w:rsid w:val="5B21787C"/>
    <w:rsid w:val="5B372BFB"/>
    <w:rsid w:val="5B3D07F7"/>
    <w:rsid w:val="5B52500C"/>
    <w:rsid w:val="5B6D7E13"/>
    <w:rsid w:val="5B9261ED"/>
    <w:rsid w:val="5BC53F6F"/>
    <w:rsid w:val="5BDE1292"/>
    <w:rsid w:val="5BDF5D95"/>
    <w:rsid w:val="5BFE7528"/>
    <w:rsid w:val="5C257732"/>
    <w:rsid w:val="5CDD728C"/>
    <w:rsid w:val="5CF5406F"/>
    <w:rsid w:val="5D0B2591"/>
    <w:rsid w:val="5D42659E"/>
    <w:rsid w:val="5D5E7390"/>
    <w:rsid w:val="5D656145"/>
    <w:rsid w:val="5D924A61"/>
    <w:rsid w:val="5DE92AA1"/>
    <w:rsid w:val="5DF00AC6"/>
    <w:rsid w:val="5E133A1E"/>
    <w:rsid w:val="5E2467F1"/>
    <w:rsid w:val="5E2735E1"/>
    <w:rsid w:val="5E2955C4"/>
    <w:rsid w:val="5E3C4389"/>
    <w:rsid w:val="5EE521E6"/>
    <w:rsid w:val="5F0A38D4"/>
    <w:rsid w:val="5F1A2B43"/>
    <w:rsid w:val="5F3E1E41"/>
    <w:rsid w:val="5FB837BB"/>
    <w:rsid w:val="5FC073D5"/>
    <w:rsid w:val="5FE93189"/>
    <w:rsid w:val="60151BC1"/>
    <w:rsid w:val="60441DDE"/>
    <w:rsid w:val="60592DE5"/>
    <w:rsid w:val="606C695F"/>
    <w:rsid w:val="6086306D"/>
    <w:rsid w:val="608C0FF4"/>
    <w:rsid w:val="60CC405A"/>
    <w:rsid w:val="60D07D7A"/>
    <w:rsid w:val="60EC26DA"/>
    <w:rsid w:val="61282D82"/>
    <w:rsid w:val="61357BDD"/>
    <w:rsid w:val="614C4F26"/>
    <w:rsid w:val="61A53A11"/>
    <w:rsid w:val="61DB7103"/>
    <w:rsid w:val="61E215D8"/>
    <w:rsid w:val="621B3775"/>
    <w:rsid w:val="62357807"/>
    <w:rsid w:val="62364782"/>
    <w:rsid w:val="6271012F"/>
    <w:rsid w:val="62AC242B"/>
    <w:rsid w:val="63072016"/>
    <w:rsid w:val="63650113"/>
    <w:rsid w:val="6394356A"/>
    <w:rsid w:val="63B77607"/>
    <w:rsid w:val="63C61B2C"/>
    <w:rsid w:val="63D40BE9"/>
    <w:rsid w:val="63F70A4B"/>
    <w:rsid w:val="63F94C40"/>
    <w:rsid w:val="64033421"/>
    <w:rsid w:val="64102431"/>
    <w:rsid w:val="643540D3"/>
    <w:rsid w:val="64452173"/>
    <w:rsid w:val="64575F9E"/>
    <w:rsid w:val="647A2BDD"/>
    <w:rsid w:val="64915A72"/>
    <w:rsid w:val="649B0E9F"/>
    <w:rsid w:val="64A5243A"/>
    <w:rsid w:val="64F531DE"/>
    <w:rsid w:val="64FB113D"/>
    <w:rsid w:val="6531099C"/>
    <w:rsid w:val="65373578"/>
    <w:rsid w:val="653D09BB"/>
    <w:rsid w:val="6543450A"/>
    <w:rsid w:val="6557354E"/>
    <w:rsid w:val="658070D6"/>
    <w:rsid w:val="658C3B58"/>
    <w:rsid w:val="65B511E8"/>
    <w:rsid w:val="65B5753E"/>
    <w:rsid w:val="66072780"/>
    <w:rsid w:val="664C1584"/>
    <w:rsid w:val="66560D21"/>
    <w:rsid w:val="667742A5"/>
    <w:rsid w:val="667A11E5"/>
    <w:rsid w:val="66DD2A6B"/>
    <w:rsid w:val="671F124A"/>
    <w:rsid w:val="6739419F"/>
    <w:rsid w:val="6746111A"/>
    <w:rsid w:val="67590C21"/>
    <w:rsid w:val="67713939"/>
    <w:rsid w:val="677A33C6"/>
    <w:rsid w:val="67906741"/>
    <w:rsid w:val="67B06A63"/>
    <w:rsid w:val="68064081"/>
    <w:rsid w:val="68103152"/>
    <w:rsid w:val="681F6961"/>
    <w:rsid w:val="68442DFB"/>
    <w:rsid w:val="68610A2F"/>
    <w:rsid w:val="686F084C"/>
    <w:rsid w:val="687410CA"/>
    <w:rsid w:val="687C6115"/>
    <w:rsid w:val="68805514"/>
    <w:rsid w:val="6892654B"/>
    <w:rsid w:val="68AE4643"/>
    <w:rsid w:val="68C53F3C"/>
    <w:rsid w:val="68FD25A3"/>
    <w:rsid w:val="69066C92"/>
    <w:rsid w:val="69316E2F"/>
    <w:rsid w:val="694E2071"/>
    <w:rsid w:val="695D754A"/>
    <w:rsid w:val="69747D96"/>
    <w:rsid w:val="69766163"/>
    <w:rsid w:val="697A3B33"/>
    <w:rsid w:val="69CE6E20"/>
    <w:rsid w:val="69D44760"/>
    <w:rsid w:val="69FB2B09"/>
    <w:rsid w:val="69FE3A8B"/>
    <w:rsid w:val="6A0D3B18"/>
    <w:rsid w:val="6A520EC7"/>
    <w:rsid w:val="6A5A6906"/>
    <w:rsid w:val="6A622E47"/>
    <w:rsid w:val="6A74729B"/>
    <w:rsid w:val="6A8556AB"/>
    <w:rsid w:val="6A902328"/>
    <w:rsid w:val="6AD82F38"/>
    <w:rsid w:val="6AE14931"/>
    <w:rsid w:val="6AF208ED"/>
    <w:rsid w:val="6AF87E20"/>
    <w:rsid w:val="6B2C2FE9"/>
    <w:rsid w:val="6B2F022A"/>
    <w:rsid w:val="6B322639"/>
    <w:rsid w:val="6B4B3105"/>
    <w:rsid w:val="6B8419AD"/>
    <w:rsid w:val="6BA240C1"/>
    <w:rsid w:val="6BEA0A76"/>
    <w:rsid w:val="6C636C38"/>
    <w:rsid w:val="6C8649FD"/>
    <w:rsid w:val="6CA16A6E"/>
    <w:rsid w:val="6CDC2BBA"/>
    <w:rsid w:val="6CF748E0"/>
    <w:rsid w:val="6D033F9F"/>
    <w:rsid w:val="6D113010"/>
    <w:rsid w:val="6D8545BE"/>
    <w:rsid w:val="6DA63E09"/>
    <w:rsid w:val="6DB34098"/>
    <w:rsid w:val="6DB545B6"/>
    <w:rsid w:val="6DE02FB4"/>
    <w:rsid w:val="6DFB21AE"/>
    <w:rsid w:val="6E514CED"/>
    <w:rsid w:val="6E67025A"/>
    <w:rsid w:val="6E706FDE"/>
    <w:rsid w:val="6E9B51D1"/>
    <w:rsid w:val="6EA33CF4"/>
    <w:rsid w:val="6EB563D5"/>
    <w:rsid w:val="6ED92677"/>
    <w:rsid w:val="6EDA0016"/>
    <w:rsid w:val="6EF94770"/>
    <w:rsid w:val="6F225983"/>
    <w:rsid w:val="6FBD613F"/>
    <w:rsid w:val="6FEE27CB"/>
    <w:rsid w:val="6FFC5590"/>
    <w:rsid w:val="6FFF5A4A"/>
    <w:rsid w:val="70010AB8"/>
    <w:rsid w:val="701201E0"/>
    <w:rsid w:val="702A28D7"/>
    <w:rsid w:val="706D1DD0"/>
    <w:rsid w:val="70700C31"/>
    <w:rsid w:val="707A08E1"/>
    <w:rsid w:val="70856B87"/>
    <w:rsid w:val="708D0F8E"/>
    <w:rsid w:val="70A419DB"/>
    <w:rsid w:val="70BA1EAD"/>
    <w:rsid w:val="70D527EE"/>
    <w:rsid w:val="71393FD4"/>
    <w:rsid w:val="714E77C7"/>
    <w:rsid w:val="715A0AFD"/>
    <w:rsid w:val="715B5300"/>
    <w:rsid w:val="71664AA5"/>
    <w:rsid w:val="71AD0D85"/>
    <w:rsid w:val="71D27F8A"/>
    <w:rsid w:val="71F31B1A"/>
    <w:rsid w:val="720B230A"/>
    <w:rsid w:val="72201F3D"/>
    <w:rsid w:val="72261199"/>
    <w:rsid w:val="72404633"/>
    <w:rsid w:val="72553024"/>
    <w:rsid w:val="72577916"/>
    <w:rsid w:val="72921C61"/>
    <w:rsid w:val="729606F7"/>
    <w:rsid w:val="72F204E3"/>
    <w:rsid w:val="730A137F"/>
    <w:rsid w:val="73122968"/>
    <w:rsid w:val="73142D6B"/>
    <w:rsid w:val="73173154"/>
    <w:rsid w:val="731F5D5E"/>
    <w:rsid w:val="73857529"/>
    <w:rsid w:val="73885001"/>
    <w:rsid w:val="73A359C3"/>
    <w:rsid w:val="73A478B6"/>
    <w:rsid w:val="73AC46F7"/>
    <w:rsid w:val="73B41D74"/>
    <w:rsid w:val="73BF0EB4"/>
    <w:rsid w:val="73C51AD5"/>
    <w:rsid w:val="740C2DE4"/>
    <w:rsid w:val="741E793C"/>
    <w:rsid w:val="74290C5C"/>
    <w:rsid w:val="745E3944"/>
    <w:rsid w:val="74856C75"/>
    <w:rsid w:val="74C10547"/>
    <w:rsid w:val="75073186"/>
    <w:rsid w:val="752D77A0"/>
    <w:rsid w:val="75963B29"/>
    <w:rsid w:val="75E11C8A"/>
    <w:rsid w:val="75E91F88"/>
    <w:rsid w:val="76052538"/>
    <w:rsid w:val="7635099D"/>
    <w:rsid w:val="767D7C04"/>
    <w:rsid w:val="76995E06"/>
    <w:rsid w:val="76B31878"/>
    <w:rsid w:val="76C21ABB"/>
    <w:rsid w:val="7732147D"/>
    <w:rsid w:val="776E1C43"/>
    <w:rsid w:val="77762421"/>
    <w:rsid w:val="77B56B1F"/>
    <w:rsid w:val="77B92741"/>
    <w:rsid w:val="780F09F4"/>
    <w:rsid w:val="780F458E"/>
    <w:rsid w:val="786E1D9F"/>
    <w:rsid w:val="78941235"/>
    <w:rsid w:val="78A90480"/>
    <w:rsid w:val="790939D1"/>
    <w:rsid w:val="790F6C34"/>
    <w:rsid w:val="79CE276B"/>
    <w:rsid w:val="7A1C3FAC"/>
    <w:rsid w:val="7A29287B"/>
    <w:rsid w:val="7A364017"/>
    <w:rsid w:val="7A8265E1"/>
    <w:rsid w:val="7A8F6158"/>
    <w:rsid w:val="7A9F497D"/>
    <w:rsid w:val="7AA57A64"/>
    <w:rsid w:val="7AA97EC5"/>
    <w:rsid w:val="7AB07205"/>
    <w:rsid w:val="7B1261BC"/>
    <w:rsid w:val="7B311605"/>
    <w:rsid w:val="7B686D42"/>
    <w:rsid w:val="7B772DF8"/>
    <w:rsid w:val="7B825CBD"/>
    <w:rsid w:val="7B841746"/>
    <w:rsid w:val="7B9642F1"/>
    <w:rsid w:val="7BB720BB"/>
    <w:rsid w:val="7BFF1C6A"/>
    <w:rsid w:val="7C1903CF"/>
    <w:rsid w:val="7C3372A7"/>
    <w:rsid w:val="7C6C5AC7"/>
    <w:rsid w:val="7C954B88"/>
    <w:rsid w:val="7CA314C8"/>
    <w:rsid w:val="7CC6544B"/>
    <w:rsid w:val="7CD32E12"/>
    <w:rsid w:val="7CDC0712"/>
    <w:rsid w:val="7CFD49B9"/>
    <w:rsid w:val="7D0239FF"/>
    <w:rsid w:val="7D586CD5"/>
    <w:rsid w:val="7D592A4D"/>
    <w:rsid w:val="7D5E40CD"/>
    <w:rsid w:val="7D6848ED"/>
    <w:rsid w:val="7DCD56F2"/>
    <w:rsid w:val="7DF7700A"/>
    <w:rsid w:val="7E1E42EF"/>
    <w:rsid w:val="7E1F20FF"/>
    <w:rsid w:val="7E282B4B"/>
    <w:rsid w:val="7E382493"/>
    <w:rsid w:val="7E3C487A"/>
    <w:rsid w:val="7E454594"/>
    <w:rsid w:val="7E6C5C55"/>
    <w:rsid w:val="7E6E2528"/>
    <w:rsid w:val="7E7044F2"/>
    <w:rsid w:val="7ED1296E"/>
    <w:rsid w:val="7EDF70A6"/>
    <w:rsid w:val="7EFE0786"/>
    <w:rsid w:val="7F001CE7"/>
    <w:rsid w:val="7F076C05"/>
    <w:rsid w:val="7F176D3A"/>
    <w:rsid w:val="7F357588"/>
    <w:rsid w:val="7F494EC8"/>
    <w:rsid w:val="7F58120E"/>
    <w:rsid w:val="7FC20D7E"/>
    <w:rsid w:val="7FD7741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ocked="1"/>
    <w:lsdException w:qFormat="1" w:unhideWhenUsed="0" w:uiPriority="9" w:semiHidden="0" w:name="heading 2" w:locked="1"/>
    <w:lsdException w:qFormat="1" w:unhideWhenUsed="0" w:uiPriority="9"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qFormat="1" w:uiPriority="0" w:semiHidden="0" w:name="index 1" w:locked="1"/>
    <w:lsdException w:unhideWhenUsed="0" w:uiPriority="0" w:semiHidden="0" w:name="index 2" w:locked="1"/>
    <w:lsdException w:unhideWhenUsed="0" w:uiPriority="0" w:semiHidden="0" w:name="index 3" w:locked="1"/>
    <w:lsdException w:qFormat="1"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qFormat="1" w:unhideWhenUsed="0" w:uiPriority="39" w:semiHidden="0" w:name="toc 3" w:locked="1"/>
    <w:lsdException w:qFormat="1" w:unhideWhenUsed="0" w:uiPriority="39" w:semiHidden="0" w:name="toc 4" w:locked="1"/>
    <w:lsdException w:qFormat="1" w:unhideWhenUsed="0" w:uiPriority="39" w:semiHidden="0" w:name="toc 5" w:locked="1"/>
    <w:lsdException w:qFormat="1" w:unhideWhenUsed="0" w:uiPriority="39" w:semiHidden="0" w:name="toc 6" w:locked="1"/>
    <w:lsdException w:qFormat="1" w:unhideWhenUsed="0" w:uiPriority="39" w:semiHidden="0" w:name="toc 7" w:locked="1"/>
    <w:lsdException w:qFormat="1" w:unhideWhenUsed="0" w:uiPriority="39" w:semiHidden="0" w:name="toc 8" w:locked="1"/>
    <w:lsdException w:qFormat="1" w:unhideWhenUsed="0" w:uiPriority="39" w:semiHidden="0" w:name="toc 9" w:locked="1"/>
    <w:lsdException w:qFormat="1" w:unhideWhenUsed="0" w:uiPriority="99" w:semiHidden="0" w:name="Normal Indent" w:locked="1"/>
    <w:lsdException w:qFormat="1" w:unhideWhenUsed="0" w:uiPriority="0" w:semiHidden="0" w:name="footnote text" w:locked="1"/>
    <w:lsdException w:qFormat="1" w:unhideWhenUsed="0" w:uiPriority="0"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ocked="1"/>
    <w:lsdException w:qFormat="1" w:unhideWhenUsed="0" w:uiPriority="35" w:semiHidden="0" w:name="caption" w:locked="1"/>
    <w:lsdException w:qFormat="1" w:unhideWhenUsed="0" w:uiPriority="0" w:semiHidden="0" w:name="table of figures" w:locked="1"/>
    <w:lsdException w:qFormat="1" w:unhideWhenUsed="0" w:uiPriority="0" w:semiHidden="0" w:name="envelope address" w:locked="1"/>
    <w:lsdException w:qFormat="1" w:unhideWhenUsed="0" w:uiPriority="0" w:semiHidden="0" w:name="envelope return" w:locked="1"/>
    <w:lsdException w:qFormat="1"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qFormat="1" w:unhideWhenUsed="0" w:uiPriority="0" w:semiHidden="0" w:name="endnote reference" w:locked="1"/>
    <w:lsdException w:qFormat="1" w:unhideWhenUsed="0" w:uiPriority="0" w:semiHidden="0" w:name="endnote text" w:locked="1"/>
    <w:lsdException w:qFormat="1" w:unhideWhenUsed="0" w:uiPriority="0" w:semiHidden="0" w:name="table of authorities" w:locked="1"/>
    <w:lsdException w:qFormat="1" w:unhideWhenUsed="0" w:uiPriority="0" w:semiHidden="0" w:name="macro" w:locked="1"/>
    <w:lsdException w:qFormat="1" w:unhideWhenUsed="0" w:uiPriority="0" w:semiHidden="0" w:name="toa heading" w:locked="1"/>
    <w:lsdException w:qFormat="1" w:unhideWhenUsed="0" w:uiPriority="0" w:semiHidden="0" w:name="List" w:locked="1"/>
    <w:lsdException w:qFormat="1" w:unhideWhenUsed="0" w:uiPriority="0" w:semiHidden="0" w:name="List Bullet" w:locked="1"/>
    <w:lsdException w:qFormat="1" w:unhideWhenUsed="0" w:uiPriority="0" w:semiHidden="0" w:name="List Number" w:locked="1"/>
    <w:lsdException w:qFormat="1" w:unhideWhenUsed="0" w:uiPriority="0" w:semiHidden="0" w:name="List 2" w:locked="1"/>
    <w:lsdException w:qFormat="1" w:unhideWhenUsed="0" w:uiPriority="0" w:semiHidden="0" w:name="List 3" w:locked="1"/>
    <w:lsdException w:qFormat="1" w:unhideWhenUsed="0" w:uiPriority="0" w:semiHidden="0" w:name="List 4" w:locked="1"/>
    <w:lsdException w:qFormat="1" w:unhideWhenUsed="0" w:uiPriority="0" w:semiHidden="0" w:name="List 5" w:locked="1"/>
    <w:lsdException w:qFormat="1" w:unhideWhenUsed="0" w:uiPriority="0" w:semiHidden="0" w:name="List Bullet 2" w:locked="1"/>
    <w:lsdException w:qFormat="1" w:unhideWhenUsed="0" w:uiPriority="0" w:semiHidden="0" w:name="List Bullet 3" w:locked="1"/>
    <w:lsdException w:qFormat="1" w:unhideWhenUsed="0" w:uiPriority="0" w:semiHidden="0" w:name="List Bullet 4" w:locked="1"/>
    <w:lsdException w:qFormat="1" w:unhideWhenUsed="0" w:uiPriority="0" w:semiHidden="0" w:name="List Bullet 5" w:locked="1"/>
    <w:lsdException w:qFormat="1" w:unhideWhenUsed="0" w:uiPriority="0" w:semiHidden="0" w:name="List Number 2" w:locked="1"/>
    <w:lsdException w:qFormat="1" w:unhideWhenUsed="0" w:uiPriority="0" w:semiHidden="0" w:name="List Number 3" w:locked="1"/>
    <w:lsdException w:qFormat="1" w:unhideWhenUsed="0" w:uiPriority="0" w:semiHidden="0" w:name="List Number 4" w:locked="1"/>
    <w:lsdException w:qFormat="1" w:unhideWhenUsed="0" w:uiPriority="0" w:semiHidden="0" w:name="List Number 5" w:locked="1"/>
    <w:lsdException w:qFormat="1" w:unhideWhenUsed="0" w:uiPriority="0" w:semiHidden="0" w:name="Title" w:locked="1"/>
    <w:lsdException w:qFormat="1" w:unhideWhenUsed="0" w:uiPriority="0" w:semiHidden="0" w:name="Closing" w:locked="1"/>
    <w:lsdException w:qFormat="1" w:unhideWhenUsed="0" w:uiPriority="0" w:semiHidden="0" w:name="Signature" w:locked="1"/>
    <w:lsdException w:qFormat="1" w:uiPriority="1" w:name="Default Paragraph Font"/>
    <w:lsdException w:qFormat="1" w:unhideWhenUsed="0" w:uiPriority="0" w:semiHidden="0" w:name="Body Text"/>
    <w:lsdException w:qFormat="1" w:unhideWhenUsed="0" w:uiPriority="99" w:semiHidden="0" w:name="Body Text Indent"/>
    <w:lsdException w:qFormat="1" w:unhideWhenUsed="0" w:uiPriority="0" w:semiHidden="0" w:name="List Continue" w:locked="1"/>
    <w:lsdException w:qFormat="1" w:unhideWhenUsed="0" w:uiPriority="0" w:semiHidden="0" w:name="List Continue 2" w:locked="1"/>
    <w:lsdException w:qFormat="1" w:unhideWhenUsed="0" w:uiPriority="0" w:semiHidden="0" w:name="List Continue 3" w:locked="1"/>
    <w:lsdException w:qFormat="1" w:unhideWhenUsed="0" w:uiPriority="0" w:semiHidden="0" w:name="List Continue 4" w:locked="1"/>
    <w:lsdException w:qFormat="1" w:unhideWhenUsed="0" w:uiPriority="0" w:semiHidden="0" w:name="List Continue 5" w:locked="1"/>
    <w:lsdException w:qFormat="1"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99" w:semiHidden="0" w:name="Date"/>
    <w:lsdException w:qFormat="1" w:unhideWhenUsed="0" w:uiPriority="0" w:semiHidden="0" w:name="Body Text First Indent" w:locked="1"/>
    <w:lsdException w:qFormat="1" w:uiPriority="99" w:semiHidden="0" w:name="Body Text First Indent 2" w:locked="1"/>
    <w:lsdException w:qFormat="1" w:unhideWhenUsed="0" w:uiPriority="0" w:semiHidden="0" w:name="Note Heading" w:locked="1"/>
    <w:lsdException w:qFormat="1" w:unhideWhenUsed="0" w:uiPriority="0" w:semiHidden="0" w:name="Body Text 2" w:locked="1"/>
    <w:lsdException w:qFormat="1" w:unhideWhenUsed="0" w:uiPriority="0" w:semiHidden="0" w:name="Body Text 3" w:locked="1"/>
    <w:lsdException w:qFormat="1" w:unhideWhenUsed="0" w:uiPriority="0" w:semiHidden="0" w:name="Body Text Indent 2" w:locked="1"/>
    <w:lsdException w:qFormat="1" w:unhideWhenUsed="0" w:uiPriority="0" w:semiHidden="0" w:name="Body Text Indent 3" w:locked="1"/>
    <w:lsdException w:qFormat="1" w:unhideWhenUsed="0" w:uiPriority="0" w:semiHidden="0" w:name="Block Text" w:locked="1"/>
    <w:lsdException w:qFormat="1" w:unhideWhenUsed="0" w:uiPriority="99" w:semiHidden="0" w:name="Hyperlink" w:locked="1"/>
    <w:lsdException w:qFormat="1" w:uiPriority="99" w:semiHidden="0" w:name="FollowedHyperlink" w:locked="1"/>
    <w:lsdException w:qFormat="1" w:unhideWhenUsed="0" w:uiPriority="0" w:semiHidden="0" w:name="Strong" w:locked="1"/>
    <w:lsdException w:qFormat="1" w:unhideWhenUsed="0" w:uiPriority="0" w:semiHidden="0" w:name="Emphasis" w:locked="1"/>
    <w:lsdException w:qFormat="1" w:unhideWhenUsed="0" w:uiPriority="99" w:semiHidden="0" w:name="Document Map" w:locked="1"/>
    <w:lsdException w:qFormat="1" w:unhideWhenUsed="0" w:uiPriority="0" w:semiHidden="0" w:name="Plain Text" w:locked="1"/>
    <w:lsdException w:qFormat="1" w:unhideWhenUsed="0" w:uiPriority="0" w:semiHidden="0" w:name="E-mail Signature" w:locked="1"/>
    <w:lsdException w:qFormat="1" w:unhideWhenUsed="0" w:uiPriority="0" w:semiHidden="0" w:name="Normal (Web)"/>
    <w:lsdException w:unhideWhenUsed="0" w:uiPriority="0" w:semiHidden="0" w:name="HTML Acronym" w:locked="1"/>
    <w:lsdException w:qFormat="1" w:unhideWhenUsed="0" w:uiPriority="0" w:semiHidden="0" w:name="HTML Address" w:locked="1"/>
    <w:lsdException w:unhideWhenUsed="0" w:uiPriority="0" w:semiHidden="0" w:name="HTML Cite" w:locked="1"/>
    <w:lsdException w:qFormat="1" w:unhideWhenUsed="0" w:uiPriority="0" w:semiHidden="0" w:name="HTML Code" w:locked="1"/>
    <w:lsdException w:unhideWhenUsed="0" w:uiPriority="0" w:semiHidden="0" w:name="HTML Definition" w:locked="1"/>
    <w:lsdException w:unhideWhenUsed="0" w:uiPriority="0" w:semiHidden="0" w:name="HTML Keyboard" w:locked="1"/>
    <w:lsdException w:qFormat="1"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nhideWhenUsed="0" w:uiPriority="0" w:semiHidden="0" w:name="Table Grid 1" w:locked="1"/>
    <w:lsdException w:uiPriority="0" w:name="Table Grid 2" w:locked="1"/>
    <w:lsdException w:uiPriority="0" w:name="Table Grid 3" w:locked="1"/>
    <w:lsdException w:uiPriority="0" w:name="Table Grid 4" w:locked="1"/>
    <w:lsdException w:qFormat="1" w:unhideWhenUsed="0"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qFormat="1" w:unhideWhenUsed="0" w:uiPriority="0" w:semiHidden="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99" w:semiHidden="0" w:name="Table Grid"/>
    <w:lsdException w:qFormat="1" w:unhideWhenUsed="0" w:uiPriority="0" w:semiHidden="0" w:name="Table Theme" w:locked="1"/>
    <w:lsdException w:qFormat="1" w:unhideWhenUsed="0" w:uiPriority="0" w:semiHidden="0" w:name="Placeholder Text"/>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6">
    <w:name w:val="heading 1"/>
    <w:basedOn w:val="1"/>
    <w:next w:val="1"/>
    <w:link w:val="105"/>
    <w:autoRedefine/>
    <w:qFormat/>
    <w:locked/>
    <w:uiPriority w:val="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7">
    <w:name w:val="heading 2"/>
    <w:basedOn w:val="1"/>
    <w:next w:val="1"/>
    <w:link w:val="106"/>
    <w:autoRedefine/>
    <w:qFormat/>
    <w:locked/>
    <w:uiPriority w:val="9"/>
    <w:pPr>
      <w:keepNext/>
      <w:keepLines/>
      <w:spacing w:before="260" w:after="260" w:line="416" w:lineRule="auto"/>
      <w:outlineLvl w:val="1"/>
    </w:pPr>
    <w:rPr>
      <w:rFonts w:ascii="Arial" w:hAnsi="Arial" w:eastAsia="黑体"/>
      <w:b/>
      <w:bCs/>
      <w:sz w:val="32"/>
      <w:szCs w:val="32"/>
    </w:rPr>
  </w:style>
  <w:style w:type="paragraph" w:styleId="8">
    <w:name w:val="heading 3"/>
    <w:basedOn w:val="1"/>
    <w:next w:val="1"/>
    <w:link w:val="107"/>
    <w:autoRedefine/>
    <w:qFormat/>
    <w:locked/>
    <w:uiPriority w:val="9"/>
    <w:pPr>
      <w:keepNext/>
      <w:keepLines/>
      <w:spacing w:before="260" w:after="260" w:line="416" w:lineRule="auto"/>
      <w:outlineLvl w:val="2"/>
    </w:pPr>
    <w:rPr>
      <w:b/>
      <w:bCs/>
      <w:sz w:val="32"/>
      <w:szCs w:val="32"/>
    </w:rPr>
  </w:style>
  <w:style w:type="paragraph" w:styleId="9">
    <w:name w:val="heading 4"/>
    <w:basedOn w:val="1"/>
    <w:next w:val="1"/>
    <w:link w:val="108"/>
    <w:autoRedefine/>
    <w:qFormat/>
    <w:locked/>
    <w:uiPriority w:val="0"/>
    <w:pPr>
      <w:keepNext/>
      <w:keepLines/>
      <w:spacing w:before="280" w:after="290" w:line="376" w:lineRule="auto"/>
      <w:outlineLvl w:val="3"/>
    </w:pPr>
    <w:rPr>
      <w:rFonts w:ascii="Cambria" w:hAnsi="Cambria"/>
      <w:b/>
      <w:bCs/>
      <w:sz w:val="28"/>
      <w:szCs w:val="28"/>
    </w:rPr>
  </w:style>
  <w:style w:type="paragraph" w:styleId="10">
    <w:name w:val="heading 5"/>
    <w:basedOn w:val="1"/>
    <w:next w:val="11"/>
    <w:link w:val="109"/>
    <w:autoRedefine/>
    <w:qFormat/>
    <w:locked/>
    <w:uiPriority w:val="0"/>
    <w:pPr>
      <w:keepNext/>
      <w:keepLines/>
      <w:tabs>
        <w:tab w:val="left" w:pos="1008"/>
      </w:tabs>
      <w:spacing w:before="280" w:after="290" w:line="376" w:lineRule="auto"/>
      <w:ind w:left="1008" w:hanging="1008"/>
      <w:outlineLvl w:val="4"/>
    </w:pPr>
    <w:rPr>
      <w:b/>
      <w:sz w:val="28"/>
      <w:szCs w:val="20"/>
    </w:rPr>
  </w:style>
  <w:style w:type="paragraph" w:styleId="12">
    <w:name w:val="heading 6"/>
    <w:basedOn w:val="1"/>
    <w:next w:val="1"/>
    <w:link w:val="111"/>
    <w:autoRedefine/>
    <w:qFormat/>
    <w:locked/>
    <w:uiPriority w:val="0"/>
    <w:pPr>
      <w:keepNext/>
      <w:keepLines/>
      <w:spacing w:line="360" w:lineRule="auto"/>
      <w:jc w:val="center"/>
      <w:outlineLvl w:val="5"/>
    </w:pPr>
    <w:rPr>
      <w:rFonts w:ascii="Arial" w:hAnsi="Arial"/>
      <w:b/>
      <w:bCs/>
      <w:sz w:val="24"/>
    </w:rPr>
  </w:style>
  <w:style w:type="paragraph" w:styleId="13">
    <w:name w:val="heading 7"/>
    <w:basedOn w:val="1"/>
    <w:next w:val="1"/>
    <w:link w:val="112"/>
    <w:autoRedefine/>
    <w:qFormat/>
    <w:locked/>
    <w:uiPriority w:val="0"/>
    <w:pPr>
      <w:keepNext/>
      <w:keepLines/>
      <w:tabs>
        <w:tab w:val="left" w:pos="1296"/>
      </w:tabs>
      <w:adjustRightInd w:val="0"/>
      <w:snapToGrid w:val="0"/>
      <w:spacing w:before="240" w:after="64" w:line="320" w:lineRule="auto"/>
      <w:ind w:left="1296" w:leftChars="200" w:hanging="1296"/>
      <w:jc w:val="left"/>
      <w:outlineLvl w:val="6"/>
    </w:pPr>
    <w:rPr>
      <w:b/>
      <w:bCs/>
      <w:sz w:val="24"/>
    </w:rPr>
  </w:style>
  <w:style w:type="paragraph" w:styleId="14">
    <w:name w:val="heading 8"/>
    <w:basedOn w:val="1"/>
    <w:next w:val="11"/>
    <w:link w:val="113"/>
    <w:autoRedefine/>
    <w:qFormat/>
    <w:locked/>
    <w:uiPriority w:val="0"/>
    <w:pPr>
      <w:keepNext/>
      <w:keepLines/>
      <w:tabs>
        <w:tab w:val="left" w:pos="1440"/>
      </w:tabs>
      <w:adjustRightInd w:val="0"/>
      <w:spacing w:line="360" w:lineRule="auto"/>
      <w:ind w:left="1440" w:hanging="1440"/>
      <w:textAlignment w:val="baseline"/>
      <w:outlineLvl w:val="7"/>
    </w:pPr>
    <w:rPr>
      <w:rFonts w:ascii="Arial" w:hAnsi="Arial"/>
      <w:kern w:val="0"/>
      <w:sz w:val="24"/>
      <w:szCs w:val="20"/>
    </w:rPr>
  </w:style>
  <w:style w:type="paragraph" w:styleId="15">
    <w:name w:val="heading 9"/>
    <w:basedOn w:val="1"/>
    <w:next w:val="11"/>
    <w:link w:val="114"/>
    <w:autoRedefine/>
    <w:qFormat/>
    <w:locked/>
    <w:uiPriority w:val="0"/>
    <w:pPr>
      <w:keepNext/>
      <w:keepLines/>
      <w:tabs>
        <w:tab w:val="left" w:pos="1584"/>
      </w:tabs>
      <w:adjustRightInd w:val="0"/>
      <w:spacing w:line="360" w:lineRule="auto"/>
      <w:ind w:left="1584" w:hanging="1584"/>
      <w:textAlignment w:val="baseline"/>
      <w:outlineLvl w:val="8"/>
    </w:pPr>
    <w:rPr>
      <w:rFonts w:ascii="Arial" w:hAnsi="Arial"/>
      <w:kern w:val="0"/>
      <w:sz w:val="24"/>
      <w:szCs w:val="20"/>
    </w:rPr>
  </w:style>
  <w:style w:type="character" w:default="1" w:styleId="87">
    <w:name w:val="Default Paragraph Font"/>
    <w:autoRedefine/>
    <w:semiHidden/>
    <w:unhideWhenUsed/>
    <w:qFormat/>
    <w:uiPriority w:val="1"/>
  </w:style>
  <w:style w:type="table" w:default="1" w:styleId="81">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link w:val="144"/>
    <w:autoRedefine/>
    <w:unhideWhenUsed/>
    <w:qFormat/>
    <w:locked/>
    <w:uiPriority w:val="99"/>
    <w:pPr>
      <w:ind w:firstLine="420" w:firstLineChars="200"/>
    </w:pPr>
    <w:rPr>
      <w:szCs w:val="24"/>
    </w:rPr>
  </w:style>
  <w:style w:type="paragraph" w:styleId="3">
    <w:name w:val="Body Text Indent"/>
    <w:basedOn w:val="1"/>
    <w:next w:val="4"/>
    <w:link w:val="124"/>
    <w:autoRedefine/>
    <w:qFormat/>
    <w:uiPriority w:val="99"/>
    <w:pPr>
      <w:spacing w:after="120"/>
      <w:ind w:left="420" w:leftChars="200"/>
    </w:pPr>
    <w:rPr>
      <w:kern w:val="0"/>
      <w:sz w:val="24"/>
      <w:szCs w:val="20"/>
    </w:rPr>
  </w:style>
  <w:style w:type="paragraph" w:styleId="4">
    <w:name w:val="header"/>
    <w:basedOn w:val="1"/>
    <w:link w:val="132"/>
    <w:autoRedefine/>
    <w:qFormat/>
    <w:uiPriority w:val="99"/>
    <w:pPr>
      <w:pBdr>
        <w:bottom w:val="single" w:color="auto" w:sz="6" w:space="1"/>
      </w:pBdr>
      <w:tabs>
        <w:tab w:val="center" w:pos="4153"/>
        <w:tab w:val="right" w:pos="8306"/>
      </w:tabs>
      <w:snapToGrid w:val="0"/>
      <w:jc w:val="center"/>
    </w:pPr>
    <w:rPr>
      <w:kern w:val="0"/>
      <w:sz w:val="18"/>
      <w:szCs w:val="20"/>
    </w:rPr>
  </w:style>
  <w:style w:type="paragraph" w:styleId="5">
    <w:name w:val="macro"/>
    <w:basedOn w:val="1"/>
    <w:link w:val="104"/>
    <w:autoRedefine/>
    <w:qFormat/>
    <w:locked/>
    <w:uiPriority w:val="0"/>
    <w:pPr>
      <w:widowControl/>
      <w:spacing w:before="100" w:beforeAutospacing="1" w:after="100" w:afterAutospacing="1"/>
      <w:jc w:val="left"/>
    </w:pPr>
    <w:rPr>
      <w:rFonts w:ascii="宋体" w:hAnsi="宋体"/>
      <w:sz w:val="24"/>
    </w:rPr>
  </w:style>
  <w:style w:type="paragraph" w:styleId="11">
    <w:name w:val="Normal Indent"/>
    <w:basedOn w:val="1"/>
    <w:link w:val="110"/>
    <w:autoRedefine/>
    <w:qFormat/>
    <w:locked/>
    <w:uiPriority w:val="99"/>
    <w:pPr>
      <w:ind w:firstLine="420" w:firstLineChars="200"/>
    </w:pPr>
  </w:style>
  <w:style w:type="paragraph" w:styleId="16">
    <w:name w:val="List 3"/>
    <w:basedOn w:val="1"/>
    <w:autoRedefine/>
    <w:qFormat/>
    <w:locked/>
    <w:uiPriority w:val="0"/>
    <w:pPr>
      <w:spacing w:before="60"/>
      <w:ind w:left="1260" w:hanging="420"/>
    </w:pPr>
    <w:rPr>
      <w:rFonts w:ascii="Arial" w:hAnsi="Arial" w:eastAsia="仿宋_GB2312"/>
      <w:kern w:val="0"/>
      <w:sz w:val="24"/>
      <w:szCs w:val="20"/>
    </w:rPr>
  </w:style>
  <w:style w:type="paragraph" w:styleId="17">
    <w:name w:val="toc 7"/>
    <w:basedOn w:val="1"/>
    <w:next w:val="1"/>
    <w:autoRedefine/>
    <w:qFormat/>
    <w:locked/>
    <w:uiPriority w:val="39"/>
    <w:pPr>
      <w:snapToGrid w:val="0"/>
      <w:spacing w:line="500" w:lineRule="exact"/>
      <w:ind w:left="1440"/>
      <w:jc w:val="left"/>
    </w:pPr>
    <w:rPr>
      <w:sz w:val="18"/>
      <w:szCs w:val="18"/>
    </w:rPr>
  </w:style>
  <w:style w:type="paragraph" w:styleId="18">
    <w:name w:val="List Number 2"/>
    <w:basedOn w:val="1"/>
    <w:autoRedefine/>
    <w:qFormat/>
    <w:locked/>
    <w:uiPriority w:val="0"/>
    <w:pPr>
      <w:tabs>
        <w:tab w:val="left" w:pos="780"/>
      </w:tabs>
      <w:spacing w:before="60"/>
      <w:ind w:left="780" w:hanging="360"/>
    </w:pPr>
    <w:rPr>
      <w:rFonts w:ascii="Arial" w:hAnsi="Arial" w:eastAsia="仿宋_GB2312"/>
      <w:kern w:val="0"/>
      <w:sz w:val="24"/>
      <w:szCs w:val="20"/>
    </w:rPr>
  </w:style>
  <w:style w:type="paragraph" w:styleId="19">
    <w:name w:val="table of authorities"/>
    <w:basedOn w:val="1"/>
    <w:next w:val="1"/>
    <w:autoRedefine/>
    <w:qFormat/>
    <w:locked/>
    <w:uiPriority w:val="0"/>
    <w:pPr>
      <w:ind w:left="210" w:hanging="210"/>
      <w:jc w:val="left"/>
    </w:pPr>
    <w:rPr>
      <w:sz w:val="20"/>
      <w:szCs w:val="20"/>
    </w:rPr>
  </w:style>
  <w:style w:type="paragraph" w:styleId="20">
    <w:name w:val="Note Heading"/>
    <w:basedOn w:val="1"/>
    <w:next w:val="1"/>
    <w:link w:val="115"/>
    <w:autoRedefine/>
    <w:qFormat/>
    <w:locked/>
    <w:uiPriority w:val="0"/>
    <w:pPr>
      <w:jc w:val="center"/>
    </w:pPr>
    <w:rPr>
      <w:rFonts w:ascii="Arial" w:hAnsi="Arial"/>
      <w:bCs/>
      <w:sz w:val="28"/>
      <w:szCs w:val="28"/>
    </w:rPr>
  </w:style>
  <w:style w:type="paragraph" w:styleId="21">
    <w:name w:val="List Bullet 4"/>
    <w:basedOn w:val="1"/>
    <w:autoRedefine/>
    <w:qFormat/>
    <w:locked/>
    <w:uiPriority w:val="0"/>
    <w:pPr>
      <w:tabs>
        <w:tab w:val="left" w:pos="1620"/>
      </w:tabs>
      <w:spacing w:before="60"/>
      <w:ind w:left="1620" w:leftChars="600" w:hanging="360" w:hangingChars="200"/>
    </w:pPr>
    <w:rPr>
      <w:rFonts w:ascii="Arial" w:hAnsi="Arial" w:eastAsia="仿宋_GB2312"/>
      <w:kern w:val="0"/>
      <w:sz w:val="24"/>
      <w:szCs w:val="20"/>
    </w:rPr>
  </w:style>
  <w:style w:type="paragraph" w:styleId="22">
    <w:name w:val="E-mail Signature"/>
    <w:basedOn w:val="1"/>
    <w:link w:val="116"/>
    <w:autoRedefine/>
    <w:qFormat/>
    <w:locked/>
    <w:uiPriority w:val="0"/>
    <w:pPr>
      <w:spacing w:before="60"/>
      <w:ind w:firstLine="482"/>
    </w:pPr>
    <w:rPr>
      <w:rFonts w:ascii="Arial" w:hAnsi="Arial" w:eastAsia="仿宋_GB2312"/>
      <w:sz w:val="24"/>
      <w:szCs w:val="22"/>
    </w:rPr>
  </w:style>
  <w:style w:type="paragraph" w:styleId="23">
    <w:name w:val="List Number"/>
    <w:basedOn w:val="1"/>
    <w:autoRedefine/>
    <w:qFormat/>
    <w:locked/>
    <w:uiPriority w:val="0"/>
    <w:pPr>
      <w:tabs>
        <w:tab w:val="left" w:pos="360"/>
      </w:tabs>
      <w:spacing w:before="60"/>
      <w:ind w:left="360" w:hanging="360" w:hangingChars="200"/>
    </w:pPr>
    <w:rPr>
      <w:rFonts w:ascii="Arial" w:hAnsi="Arial" w:eastAsia="仿宋_GB2312"/>
      <w:kern w:val="0"/>
      <w:sz w:val="24"/>
      <w:szCs w:val="20"/>
    </w:rPr>
  </w:style>
  <w:style w:type="paragraph" w:styleId="24">
    <w:name w:val="caption"/>
    <w:basedOn w:val="1"/>
    <w:next w:val="1"/>
    <w:link w:val="117"/>
    <w:autoRedefine/>
    <w:qFormat/>
    <w:locked/>
    <w:uiPriority w:val="35"/>
    <w:pPr>
      <w:snapToGrid w:val="0"/>
      <w:spacing w:line="500" w:lineRule="exact"/>
      <w:jc w:val="left"/>
    </w:pPr>
    <w:rPr>
      <w:rFonts w:ascii="Arial" w:hAnsi="Arial" w:eastAsia="黑体" w:cs="Arial"/>
      <w:sz w:val="20"/>
      <w:szCs w:val="20"/>
    </w:rPr>
  </w:style>
  <w:style w:type="paragraph" w:styleId="25">
    <w:name w:val="List Bullet"/>
    <w:basedOn w:val="1"/>
    <w:autoRedefine/>
    <w:qFormat/>
    <w:locked/>
    <w:uiPriority w:val="0"/>
    <w:pPr>
      <w:numPr>
        <w:ilvl w:val="0"/>
        <w:numId w:val="1"/>
      </w:numPr>
      <w:spacing w:line="360" w:lineRule="auto"/>
    </w:pPr>
    <w:rPr>
      <w:sz w:val="24"/>
    </w:rPr>
  </w:style>
  <w:style w:type="paragraph" w:styleId="26">
    <w:name w:val="envelope address"/>
    <w:basedOn w:val="1"/>
    <w:autoRedefine/>
    <w:qFormat/>
    <w:locked/>
    <w:uiPriority w:val="0"/>
    <w:pPr>
      <w:snapToGrid w:val="0"/>
      <w:spacing w:before="60"/>
      <w:ind w:left="2880" w:firstLine="482"/>
    </w:pPr>
    <w:rPr>
      <w:rFonts w:ascii="Arial" w:hAnsi="Arial" w:eastAsia="仿宋_GB2312" w:cs="Arial"/>
      <w:kern w:val="0"/>
      <w:sz w:val="24"/>
      <w:szCs w:val="20"/>
    </w:rPr>
  </w:style>
  <w:style w:type="paragraph" w:styleId="27">
    <w:name w:val="Document Map"/>
    <w:basedOn w:val="1"/>
    <w:link w:val="118"/>
    <w:autoRedefine/>
    <w:qFormat/>
    <w:locked/>
    <w:uiPriority w:val="99"/>
    <w:pPr>
      <w:shd w:val="clear" w:color="auto" w:fill="000080"/>
    </w:pPr>
  </w:style>
  <w:style w:type="paragraph" w:styleId="28">
    <w:name w:val="toa heading"/>
    <w:basedOn w:val="1"/>
    <w:next w:val="1"/>
    <w:autoRedefine/>
    <w:qFormat/>
    <w:locked/>
    <w:uiPriority w:val="0"/>
    <w:pPr>
      <w:spacing w:before="120"/>
    </w:pPr>
    <w:rPr>
      <w:rFonts w:ascii="Arial" w:hAnsi="Arial" w:cs="Arial"/>
      <w:sz w:val="24"/>
    </w:rPr>
  </w:style>
  <w:style w:type="paragraph" w:styleId="29">
    <w:name w:val="annotation text"/>
    <w:basedOn w:val="1"/>
    <w:link w:val="119"/>
    <w:autoRedefine/>
    <w:qFormat/>
    <w:uiPriority w:val="0"/>
    <w:pPr>
      <w:jc w:val="left"/>
    </w:pPr>
    <w:rPr>
      <w:kern w:val="0"/>
      <w:sz w:val="24"/>
      <w:szCs w:val="20"/>
    </w:rPr>
  </w:style>
  <w:style w:type="paragraph" w:styleId="30">
    <w:name w:val="Salutation"/>
    <w:basedOn w:val="1"/>
    <w:next w:val="1"/>
    <w:link w:val="120"/>
    <w:autoRedefine/>
    <w:qFormat/>
    <w:locked/>
    <w:uiPriority w:val="0"/>
  </w:style>
  <w:style w:type="paragraph" w:styleId="31">
    <w:name w:val="Body Text 3"/>
    <w:basedOn w:val="1"/>
    <w:link w:val="121"/>
    <w:autoRedefine/>
    <w:qFormat/>
    <w:locked/>
    <w:uiPriority w:val="0"/>
    <w:pPr>
      <w:spacing w:line="360" w:lineRule="auto"/>
    </w:pPr>
    <w:rPr>
      <w:rFonts w:ascii="宋体" w:hAnsi="宋体"/>
      <w:sz w:val="24"/>
    </w:rPr>
  </w:style>
  <w:style w:type="paragraph" w:styleId="32">
    <w:name w:val="Closing"/>
    <w:basedOn w:val="1"/>
    <w:link w:val="122"/>
    <w:autoRedefine/>
    <w:qFormat/>
    <w:locked/>
    <w:uiPriority w:val="0"/>
    <w:pPr>
      <w:spacing w:before="60"/>
      <w:ind w:left="4320" w:firstLine="482"/>
    </w:pPr>
    <w:rPr>
      <w:rFonts w:ascii="Arial" w:hAnsi="Arial" w:eastAsia="仿宋_GB2312"/>
      <w:sz w:val="24"/>
      <w:szCs w:val="22"/>
    </w:rPr>
  </w:style>
  <w:style w:type="paragraph" w:styleId="33">
    <w:name w:val="List Bullet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4">
    <w:name w:val="Body Text"/>
    <w:basedOn w:val="1"/>
    <w:next w:val="35"/>
    <w:link w:val="123"/>
    <w:autoRedefine/>
    <w:qFormat/>
    <w:uiPriority w:val="0"/>
    <w:pPr>
      <w:widowControl/>
      <w:snapToGrid w:val="0"/>
      <w:spacing w:before="60" w:after="160" w:line="259" w:lineRule="auto"/>
      <w:ind w:right="113"/>
    </w:pPr>
    <w:rPr>
      <w:kern w:val="0"/>
      <w:sz w:val="18"/>
      <w:szCs w:val="20"/>
    </w:rPr>
  </w:style>
  <w:style w:type="paragraph" w:styleId="35">
    <w:name w:val="List Bullet 5"/>
    <w:basedOn w:val="1"/>
    <w:autoRedefine/>
    <w:qFormat/>
    <w:locked/>
    <w:uiPriority w:val="0"/>
    <w:pPr>
      <w:tabs>
        <w:tab w:val="left" w:pos="2040"/>
      </w:tabs>
      <w:spacing w:before="60"/>
      <w:ind w:left="2040" w:hanging="360"/>
    </w:pPr>
    <w:rPr>
      <w:rFonts w:ascii="Arial" w:hAnsi="Arial" w:eastAsia="仿宋_GB2312"/>
      <w:kern w:val="0"/>
      <w:sz w:val="24"/>
      <w:szCs w:val="20"/>
    </w:rPr>
  </w:style>
  <w:style w:type="paragraph" w:styleId="36">
    <w:name w:val="List Number 3"/>
    <w:basedOn w:val="1"/>
    <w:autoRedefine/>
    <w:qFormat/>
    <w:locked/>
    <w:uiPriority w:val="0"/>
    <w:pPr>
      <w:tabs>
        <w:tab w:val="left" w:pos="1200"/>
      </w:tabs>
      <w:spacing w:before="60"/>
      <w:ind w:left="1200" w:hanging="360"/>
    </w:pPr>
    <w:rPr>
      <w:rFonts w:ascii="Arial" w:hAnsi="Arial" w:eastAsia="仿宋_GB2312"/>
      <w:kern w:val="0"/>
      <w:sz w:val="24"/>
      <w:szCs w:val="20"/>
    </w:rPr>
  </w:style>
  <w:style w:type="paragraph" w:styleId="37">
    <w:name w:val="List 2"/>
    <w:basedOn w:val="1"/>
    <w:autoRedefine/>
    <w:qFormat/>
    <w:locked/>
    <w:uiPriority w:val="0"/>
    <w:pPr>
      <w:ind w:left="100" w:leftChars="200" w:hanging="200" w:hangingChars="200"/>
    </w:pPr>
    <w:rPr>
      <w:rFonts w:eastAsia="仿宋_GB2312"/>
      <w:snapToGrid w:val="0"/>
      <w:color w:val="000000"/>
      <w:kern w:val="0"/>
      <w:sz w:val="28"/>
      <w:szCs w:val="32"/>
    </w:rPr>
  </w:style>
  <w:style w:type="paragraph" w:styleId="38">
    <w:name w:val="List Continue"/>
    <w:basedOn w:val="1"/>
    <w:autoRedefine/>
    <w:qFormat/>
    <w:locked/>
    <w:uiPriority w:val="0"/>
    <w:pPr>
      <w:spacing w:after="120"/>
      <w:ind w:left="420" w:leftChars="200"/>
    </w:pPr>
  </w:style>
  <w:style w:type="paragraph" w:styleId="39">
    <w:name w:val="Block Text"/>
    <w:basedOn w:val="1"/>
    <w:autoRedefine/>
    <w:qFormat/>
    <w:locked/>
    <w:uiPriority w:val="0"/>
    <w:pPr>
      <w:autoSpaceDE w:val="0"/>
      <w:autoSpaceDN w:val="0"/>
      <w:adjustRightInd w:val="0"/>
      <w:ind w:left="98" w:right="72" w:firstLine="490" w:firstLineChars="175"/>
      <w:jc w:val="left"/>
    </w:pPr>
    <w:rPr>
      <w:rFonts w:ascii="宋体" w:hAnsi="宋体"/>
      <w:kern w:val="0"/>
      <w:sz w:val="28"/>
      <w:szCs w:val="26"/>
    </w:rPr>
  </w:style>
  <w:style w:type="paragraph" w:styleId="40">
    <w:name w:val="List Bullet 2"/>
    <w:basedOn w:val="1"/>
    <w:autoRedefine/>
    <w:qFormat/>
    <w:locked/>
    <w:uiPriority w:val="0"/>
    <w:pPr>
      <w:tabs>
        <w:tab w:val="left" w:pos="780"/>
      </w:tabs>
      <w:spacing w:before="60"/>
      <w:ind w:left="780" w:leftChars="200" w:hanging="360" w:hangingChars="200"/>
    </w:pPr>
    <w:rPr>
      <w:rFonts w:ascii="Arial" w:hAnsi="Arial" w:eastAsia="仿宋_GB2312"/>
      <w:kern w:val="0"/>
      <w:sz w:val="24"/>
      <w:szCs w:val="20"/>
    </w:rPr>
  </w:style>
  <w:style w:type="paragraph" w:styleId="41">
    <w:name w:val="HTML Address"/>
    <w:basedOn w:val="1"/>
    <w:link w:val="126"/>
    <w:autoRedefine/>
    <w:qFormat/>
    <w:locked/>
    <w:uiPriority w:val="0"/>
    <w:pPr>
      <w:spacing w:before="60"/>
      <w:ind w:firstLine="482"/>
    </w:pPr>
    <w:rPr>
      <w:rFonts w:ascii="Arial" w:hAnsi="Arial" w:eastAsia="仿宋_GB2312"/>
      <w:i/>
      <w:iCs/>
      <w:sz w:val="24"/>
      <w:szCs w:val="22"/>
    </w:rPr>
  </w:style>
  <w:style w:type="paragraph" w:styleId="42">
    <w:name w:val="index 4"/>
    <w:basedOn w:val="1"/>
    <w:next w:val="1"/>
    <w:autoRedefine/>
    <w:qFormat/>
    <w:locked/>
    <w:uiPriority w:val="0"/>
    <w:pPr>
      <w:spacing w:line="360" w:lineRule="auto"/>
      <w:ind w:left="600" w:leftChars="600" w:firstLine="200" w:firstLineChars="200"/>
    </w:pPr>
    <w:rPr>
      <w:rFonts w:ascii="宋体"/>
      <w:sz w:val="24"/>
    </w:rPr>
  </w:style>
  <w:style w:type="paragraph" w:styleId="43">
    <w:name w:val="toc 5"/>
    <w:basedOn w:val="1"/>
    <w:next w:val="1"/>
    <w:autoRedefine/>
    <w:qFormat/>
    <w:locked/>
    <w:uiPriority w:val="39"/>
    <w:pPr>
      <w:snapToGrid w:val="0"/>
      <w:spacing w:line="500" w:lineRule="exact"/>
      <w:ind w:left="960"/>
      <w:jc w:val="left"/>
    </w:pPr>
    <w:rPr>
      <w:sz w:val="18"/>
      <w:szCs w:val="18"/>
    </w:rPr>
  </w:style>
  <w:style w:type="paragraph" w:styleId="44">
    <w:name w:val="toc 3"/>
    <w:basedOn w:val="1"/>
    <w:next w:val="1"/>
    <w:autoRedefine/>
    <w:qFormat/>
    <w:locked/>
    <w:uiPriority w:val="39"/>
    <w:pPr>
      <w:snapToGrid w:val="0"/>
      <w:spacing w:line="500" w:lineRule="exact"/>
      <w:ind w:left="480"/>
      <w:jc w:val="left"/>
    </w:pPr>
    <w:rPr>
      <w:i/>
      <w:iCs/>
      <w:sz w:val="20"/>
      <w:szCs w:val="20"/>
    </w:rPr>
  </w:style>
  <w:style w:type="paragraph" w:styleId="45">
    <w:name w:val="Plain Text"/>
    <w:basedOn w:val="1"/>
    <w:link w:val="103"/>
    <w:autoRedefine/>
    <w:qFormat/>
    <w:locked/>
    <w:uiPriority w:val="0"/>
    <w:rPr>
      <w:rFonts w:ascii="宋体" w:hAnsi="Courier New" w:cs="Courier New"/>
    </w:rPr>
  </w:style>
  <w:style w:type="paragraph" w:styleId="46">
    <w:name w:val="List Number 4"/>
    <w:basedOn w:val="1"/>
    <w:autoRedefine/>
    <w:qFormat/>
    <w:locked/>
    <w:uiPriority w:val="0"/>
    <w:pPr>
      <w:tabs>
        <w:tab w:val="left" w:pos="1620"/>
      </w:tabs>
      <w:spacing w:before="60"/>
      <w:ind w:left="1620" w:hanging="360"/>
    </w:pPr>
    <w:rPr>
      <w:rFonts w:ascii="Arial" w:hAnsi="Arial" w:eastAsia="仿宋_GB2312"/>
      <w:kern w:val="0"/>
      <w:sz w:val="24"/>
      <w:szCs w:val="20"/>
    </w:rPr>
  </w:style>
  <w:style w:type="paragraph" w:styleId="47">
    <w:name w:val="toc 8"/>
    <w:basedOn w:val="1"/>
    <w:next w:val="1"/>
    <w:autoRedefine/>
    <w:qFormat/>
    <w:locked/>
    <w:uiPriority w:val="39"/>
    <w:pPr>
      <w:snapToGrid w:val="0"/>
      <w:spacing w:line="500" w:lineRule="exact"/>
      <w:ind w:left="1680"/>
      <w:jc w:val="left"/>
    </w:pPr>
    <w:rPr>
      <w:sz w:val="18"/>
      <w:szCs w:val="18"/>
    </w:rPr>
  </w:style>
  <w:style w:type="paragraph" w:styleId="48">
    <w:name w:val="Date"/>
    <w:basedOn w:val="1"/>
    <w:next w:val="1"/>
    <w:link w:val="127"/>
    <w:autoRedefine/>
    <w:qFormat/>
    <w:uiPriority w:val="99"/>
    <w:pPr>
      <w:ind w:left="100" w:leftChars="2500"/>
    </w:pPr>
    <w:rPr>
      <w:kern w:val="0"/>
      <w:sz w:val="24"/>
      <w:szCs w:val="20"/>
    </w:rPr>
  </w:style>
  <w:style w:type="paragraph" w:styleId="49">
    <w:name w:val="Body Text Indent 2"/>
    <w:basedOn w:val="1"/>
    <w:link w:val="128"/>
    <w:autoRedefine/>
    <w:qFormat/>
    <w:locked/>
    <w:uiPriority w:val="0"/>
    <w:pPr>
      <w:spacing w:before="120"/>
      <w:ind w:right="113" w:firstLine="570"/>
    </w:pPr>
    <w:rPr>
      <w:kern w:val="24"/>
      <w:sz w:val="28"/>
      <w:szCs w:val="20"/>
    </w:rPr>
  </w:style>
  <w:style w:type="paragraph" w:styleId="50">
    <w:name w:val="endnote text"/>
    <w:basedOn w:val="1"/>
    <w:link w:val="129"/>
    <w:autoRedefine/>
    <w:qFormat/>
    <w:locked/>
    <w:uiPriority w:val="0"/>
    <w:pPr>
      <w:snapToGrid w:val="0"/>
      <w:jc w:val="left"/>
    </w:pPr>
  </w:style>
  <w:style w:type="paragraph" w:styleId="51">
    <w:name w:val="List Continue 5"/>
    <w:basedOn w:val="1"/>
    <w:autoRedefine/>
    <w:qFormat/>
    <w:locked/>
    <w:uiPriority w:val="0"/>
    <w:pPr>
      <w:spacing w:before="60" w:after="120"/>
      <w:ind w:left="2100" w:firstLine="482"/>
    </w:pPr>
    <w:rPr>
      <w:rFonts w:ascii="Arial" w:hAnsi="Arial" w:eastAsia="仿宋_GB2312"/>
      <w:kern w:val="0"/>
      <w:sz w:val="24"/>
      <w:szCs w:val="20"/>
    </w:rPr>
  </w:style>
  <w:style w:type="paragraph" w:styleId="52">
    <w:name w:val="Balloon Text"/>
    <w:basedOn w:val="1"/>
    <w:link w:val="130"/>
    <w:autoRedefine/>
    <w:semiHidden/>
    <w:qFormat/>
    <w:uiPriority w:val="0"/>
    <w:rPr>
      <w:kern w:val="0"/>
      <w:sz w:val="18"/>
      <w:szCs w:val="20"/>
    </w:rPr>
  </w:style>
  <w:style w:type="paragraph" w:styleId="53">
    <w:name w:val="footer"/>
    <w:basedOn w:val="1"/>
    <w:link w:val="131"/>
    <w:autoRedefine/>
    <w:qFormat/>
    <w:uiPriority w:val="99"/>
    <w:pPr>
      <w:tabs>
        <w:tab w:val="center" w:pos="4153"/>
        <w:tab w:val="right" w:pos="8306"/>
      </w:tabs>
      <w:snapToGrid w:val="0"/>
      <w:jc w:val="left"/>
    </w:pPr>
    <w:rPr>
      <w:kern w:val="0"/>
      <w:sz w:val="18"/>
      <w:szCs w:val="20"/>
    </w:rPr>
  </w:style>
  <w:style w:type="paragraph" w:styleId="54">
    <w:name w:val="envelope return"/>
    <w:basedOn w:val="1"/>
    <w:autoRedefine/>
    <w:qFormat/>
    <w:locked/>
    <w:uiPriority w:val="0"/>
    <w:pPr>
      <w:snapToGrid w:val="0"/>
      <w:spacing w:before="60"/>
      <w:ind w:firstLine="482"/>
    </w:pPr>
    <w:rPr>
      <w:rFonts w:ascii="Arial" w:hAnsi="Arial" w:eastAsia="仿宋_GB2312" w:cs="Arial"/>
      <w:kern w:val="0"/>
      <w:sz w:val="24"/>
      <w:szCs w:val="20"/>
    </w:rPr>
  </w:style>
  <w:style w:type="paragraph" w:styleId="55">
    <w:name w:val="Signature"/>
    <w:basedOn w:val="1"/>
    <w:link w:val="133"/>
    <w:autoRedefine/>
    <w:qFormat/>
    <w:locked/>
    <w:uiPriority w:val="0"/>
    <w:pPr>
      <w:spacing w:before="60"/>
      <w:ind w:left="4320" w:firstLine="482"/>
    </w:pPr>
    <w:rPr>
      <w:rFonts w:ascii="Arial" w:hAnsi="Arial" w:eastAsia="仿宋_GB2312"/>
      <w:sz w:val="24"/>
      <w:szCs w:val="22"/>
    </w:rPr>
  </w:style>
  <w:style w:type="paragraph" w:styleId="56">
    <w:name w:val="toc 1"/>
    <w:basedOn w:val="1"/>
    <w:next w:val="1"/>
    <w:link w:val="134"/>
    <w:autoRedefine/>
    <w:qFormat/>
    <w:locked/>
    <w:uiPriority w:val="39"/>
    <w:pPr>
      <w:tabs>
        <w:tab w:val="right" w:leader="dot" w:pos="9060"/>
      </w:tabs>
      <w:snapToGrid w:val="0"/>
      <w:spacing w:before="120" w:after="120" w:line="360" w:lineRule="auto"/>
      <w:jc w:val="left"/>
    </w:pPr>
    <w:rPr>
      <w:b/>
      <w:bCs/>
      <w:caps/>
      <w:sz w:val="20"/>
      <w:szCs w:val="20"/>
    </w:rPr>
  </w:style>
  <w:style w:type="paragraph" w:styleId="57">
    <w:name w:val="List Continue 4"/>
    <w:basedOn w:val="1"/>
    <w:autoRedefine/>
    <w:qFormat/>
    <w:locked/>
    <w:uiPriority w:val="0"/>
    <w:pPr>
      <w:spacing w:before="60" w:after="120"/>
      <w:ind w:left="1680" w:firstLine="482"/>
    </w:pPr>
    <w:rPr>
      <w:rFonts w:ascii="Arial" w:hAnsi="Arial" w:eastAsia="仿宋_GB2312"/>
      <w:kern w:val="0"/>
      <w:sz w:val="24"/>
      <w:szCs w:val="20"/>
    </w:rPr>
  </w:style>
  <w:style w:type="paragraph" w:styleId="58">
    <w:name w:val="toc 4"/>
    <w:basedOn w:val="1"/>
    <w:next w:val="1"/>
    <w:autoRedefine/>
    <w:qFormat/>
    <w:locked/>
    <w:uiPriority w:val="39"/>
    <w:pPr>
      <w:tabs>
        <w:tab w:val="right" w:leader="dot" w:pos="9060"/>
      </w:tabs>
      <w:snapToGrid w:val="0"/>
      <w:spacing w:line="360" w:lineRule="auto"/>
      <w:ind w:left="720"/>
      <w:jc w:val="left"/>
    </w:pPr>
    <w:rPr>
      <w:b/>
      <w:sz w:val="18"/>
      <w:szCs w:val="18"/>
    </w:rPr>
  </w:style>
  <w:style w:type="paragraph" w:styleId="59">
    <w:name w:val="index heading"/>
    <w:basedOn w:val="1"/>
    <w:next w:val="60"/>
    <w:autoRedefine/>
    <w:qFormat/>
    <w:locked/>
    <w:uiPriority w:val="0"/>
  </w:style>
  <w:style w:type="paragraph" w:styleId="60">
    <w:name w:val="index 1"/>
    <w:basedOn w:val="1"/>
    <w:next w:val="1"/>
    <w:autoRedefine/>
    <w:unhideWhenUsed/>
    <w:qFormat/>
    <w:locked/>
    <w:uiPriority w:val="0"/>
  </w:style>
  <w:style w:type="paragraph" w:styleId="61">
    <w:name w:val="Subtitle"/>
    <w:basedOn w:val="1"/>
    <w:next w:val="1"/>
    <w:link w:val="135"/>
    <w:autoRedefine/>
    <w:qFormat/>
    <w:locked/>
    <w:uiPriority w:val="0"/>
    <w:pPr>
      <w:spacing w:before="240" w:after="60" w:line="312" w:lineRule="auto"/>
      <w:ind w:firstLine="482"/>
      <w:jc w:val="center"/>
      <w:outlineLvl w:val="1"/>
    </w:pPr>
    <w:rPr>
      <w:rFonts w:ascii="Arial" w:hAnsi="Arial" w:eastAsia="仿宋_GB2312"/>
      <w:b/>
      <w:bCs/>
      <w:kern w:val="28"/>
      <w:sz w:val="32"/>
      <w:szCs w:val="32"/>
    </w:rPr>
  </w:style>
  <w:style w:type="paragraph" w:styleId="62">
    <w:name w:val="List Number 5"/>
    <w:basedOn w:val="1"/>
    <w:autoRedefine/>
    <w:qFormat/>
    <w:locked/>
    <w:uiPriority w:val="0"/>
    <w:pPr>
      <w:tabs>
        <w:tab w:val="left" w:pos="420"/>
      </w:tabs>
      <w:spacing w:before="60"/>
      <w:ind w:left="420" w:hanging="420"/>
    </w:pPr>
    <w:rPr>
      <w:rFonts w:ascii="Arial" w:hAnsi="Arial" w:eastAsia="仿宋_GB2312"/>
      <w:kern w:val="0"/>
      <w:sz w:val="24"/>
      <w:szCs w:val="20"/>
    </w:rPr>
  </w:style>
  <w:style w:type="paragraph" w:styleId="63">
    <w:name w:val="List"/>
    <w:basedOn w:val="1"/>
    <w:autoRedefine/>
    <w:qFormat/>
    <w:locked/>
    <w:uiPriority w:val="0"/>
    <w:pPr>
      <w:snapToGrid w:val="0"/>
      <w:spacing w:line="500" w:lineRule="exact"/>
      <w:jc w:val="left"/>
    </w:pPr>
    <w:rPr>
      <w:szCs w:val="20"/>
    </w:rPr>
  </w:style>
  <w:style w:type="paragraph" w:styleId="64">
    <w:name w:val="footnote text"/>
    <w:basedOn w:val="1"/>
    <w:link w:val="136"/>
    <w:autoRedefine/>
    <w:qFormat/>
    <w:locked/>
    <w:uiPriority w:val="0"/>
    <w:pPr>
      <w:snapToGrid w:val="0"/>
      <w:spacing w:line="360" w:lineRule="auto"/>
      <w:ind w:firstLine="200" w:firstLineChars="200"/>
      <w:jc w:val="left"/>
    </w:pPr>
    <w:rPr>
      <w:rFonts w:ascii="宋体"/>
      <w:sz w:val="18"/>
      <w:szCs w:val="18"/>
    </w:rPr>
  </w:style>
  <w:style w:type="paragraph" w:styleId="65">
    <w:name w:val="toc 6"/>
    <w:basedOn w:val="1"/>
    <w:next w:val="1"/>
    <w:autoRedefine/>
    <w:qFormat/>
    <w:locked/>
    <w:uiPriority w:val="39"/>
    <w:pPr>
      <w:snapToGrid w:val="0"/>
      <w:spacing w:line="500" w:lineRule="exact"/>
      <w:ind w:left="1200"/>
      <w:jc w:val="left"/>
    </w:pPr>
    <w:rPr>
      <w:sz w:val="18"/>
      <w:szCs w:val="18"/>
    </w:rPr>
  </w:style>
  <w:style w:type="paragraph" w:styleId="66">
    <w:name w:val="List 5"/>
    <w:basedOn w:val="1"/>
    <w:autoRedefine/>
    <w:qFormat/>
    <w:locked/>
    <w:uiPriority w:val="0"/>
    <w:pPr>
      <w:spacing w:before="60"/>
      <w:ind w:left="2100" w:hanging="420"/>
    </w:pPr>
    <w:rPr>
      <w:rFonts w:ascii="Arial" w:hAnsi="Arial" w:eastAsia="仿宋_GB2312"/>
      <w:kern w:val="0"/>
      <w:sz w:val="24"/>
      <w:szCs w:val="20"/>
    </w:rPr>
  </w:style>
  <w:style w:type="paragraph" w:styleId="67">
    <w:name w:val="Body Text Indent 3"/>
    <w:basedOn w:val="1"/>
    <w:link w:val="137"/>
    <w:autoRedefine/>
    <w:qFormat/>
    <w:locked/>
    <w:uiPriority w:val="0"/>
    <w:pPr>
      <w:spacing w:after="120"/>
      <w:ind w:left="420" w:leftChars="200"/>
    </w:pPr>
    <w:rPr>
      <w:sz w:val="16"/>
      <w:szCs w:val="16"/>
    </w:rPr>
  </w:style>
  <w:style w:type="paragraph" w:styleId="68">
    <w:name w:val="table of figures"/>
    <w:basedOn w:val="1"/>
    <w:next w:val="1"/>
    <w:autoRedefine/>
    <w:qFormat/>
    <w:locked/>
    <w:uiPriority w:val="0"/>
    <w:pPr>
      <w:tabs>
        <w:tab w:val="right" w:leader="dot" w:pos="8312"/>
      </w:tabs>
      <w:adjustRightInd w:val="0"/>
      <w:spacing w:line="360" w:lineRule="auto"/>
      <w:textAlignment w:val="baseline"/>
    </w:pPr>
    <w:rPr>
      <w:rFonts w:ascii="宋体"/>
      <w:kern w:val="0"/>
      <w:szCs w:val="20"/>
    </w:rPr>
  </w:style>
  <w:style w:type="paragraph" w:styleId="69">
    <w:name w:val="toc 2"/>
    <w:basedOn w:val="1"/>
    <w:next w:val="1"/>
    <w:autoRedefine/>
    <w:qFormat/>
    <w:locked/>
    <w:uiPriority w:val="39"/>
    <w:pPr>
      <w:tabs>
        <w:tab w:val="right" w:leader="dot" w:pos="9060"/>
      </w:tabs>
      <w:snapToGrid w:val="0"/>
      <w:ind w:left="240"/>
      <w:jc w:val="left"/>
    </w:pPr>
    <w:rPr>
      <w:smallCaps/>
      <w:sz w:val="20"/>
      <w:szCs w:val="20"/>
    </w:rPr>
  </w:style>
  <w:style w:type="paragraph" w:styleId="70">
    <w:name w:val="toc 9"/>
    <w:basedOn w:val="1"/>
    <w:next w:val="1"/>
    <w:autoRedefine/>
    <w:qFormat/>
    <w:locked/>
    <w:uiPriority w:val="39"/>
    <w:pPr>
      <w:snapToGrid w:val="0"/>
      <w:spacing w:line="500" w:lineRule="exact"/>
      <w:ind w:left="1920"/>
      <w:jc w:val="left"/>
    </w:pPr>
    <w:rPr>
      <w:sz w:val="18"/>
      <w:szCs w:val="18"/>
    </w:rPr>
  </w:style>
  <w:style w:type="paragraph" w:styleId="71">
    <w:name w:val="Body Text 2"/>
    <w:basedOn w:val="1"/>
    <w:link w:val="138"/>
    <w:autoRedefine/>
    <w:qFormat/>
    <w:locked/>
    <w:uiPriority w:val="0"/>
    <w:rPr>
      <w:rFonts w:eastAsia="仿宋_GB2312"/>
      <w:sz w:val="32"/>
    </w:rPr>
  </w:style>
  <w:style w:type="paragraph" w:styleId="72">
    <w:name w:val="List 4"/>
    <w:basedOn w:val="1"/>
    <w:autoRedefine/>
    <w:qFormat/>
    <w:locked/>
    <w:uiPriority w:val="0"/>
    <w:pPr>
      <w:spacing w:before="60"/>
      <w:ind w:left="1680" w:hanging="420"/>
    </w:pPr>
    <w:rPr>
      <w:rFonts w:ascii="Arial" w:hAnsi="Arial" w:eastAsia="仿宋_GB2312"/>
      <w:kern w:val="0"/>
      <w:sz w:val="24"/>
      <w:szCs w:val="20"/>
    </w:rPr>
  </w:style>
  <w:style w:type="paragraph" w:styleId="73">
    <w:name w:val="List Continue 2"/>
    <w:basedOn w:val="1"/>
    <w:autoRedefine/>
    <w:qFormat/>
    <w:locked/>
    <w:uiPriority w:val="0"/>
    <w:pPr>
      <w:spacing w:before="60" w:after="120"/>
      <w:ind w:left="840" w:firstLine="482"/>
    </w:pPr>
    <w:rPr>
      <w:rFonts w:ascii="Arial" w:hAnsi="Arial" w:eastAsia="仿宋_GB2312"/>
      <w:kern w:val="0"/>
      <w:sz w:val="24"/>
      <w:szCs w:val="20"/>
    </w:rPr>
  </w:style>
  <w:style w:type="paragraph" w:styleId="74">
    <w:name w:val="Message Header"/>
    <w:basedOn w:val="1"/>
    <w:link w:val="139"/>
    <w:autoRedefine/>
    <w:qFormat/>
    <w:locked/>
    <w:uiPriority w:val="0"/>
    <w:pPr>
      <w:pBdr>
        <w:top w:val="single" w:color="auto" w:sz="6" w:space="1"/>
        <w:left w:val="single" w:color="auto" w:sz="6" w:space="1"/>
        <w:bottom w:val="single" w:color="auto" w:sz="6" w:space="1"/>
        <w:right w:val="single" w:color="auto" w:sz="6" w:space="1"/>
      </w:pBdr>
      <w:shd w:val="pct20" w:color="auto" w:fill="auto"/>
      <w:spacing w:before="60"/>
      <w:ind w:left="1080" w:hanging="1080"/>
    </w:pPr>
    <w:rPr>
      <w:rFonts w:ascii="宋体" w:hAnsi="宋体" w:cs="宋体"/>
      <w:sz w:val="24"/>
    </w:rPr>
  </w:style>
  <w:style w:type="paragraph" w:styleId="75">
    <w:name w:val="HTML Preformatted"/>
    <w:basedOn w:val="1"/>
    <w:link w:val="140"/>
    <w:autoRedefine/>
    <w:qFormat/>
    <w:locked/>
    <w:uiPriority w:val="0"/>
    <w:rPr>
      <w:rFonts w:ascii="Courier New" w:hAnsi="Courier New" w:cs="Courier New"/>
      <w:sz w:val="20"/>
      <w:szCs w:val="20"/>
    </w:rPr>
  </w:style>
  <w:style w:type="paragraph" w:styleId="76">
    <w:name w:val="Normal (Web)"/>
    <w:basedOn w:val="1"/>
    <w:link w:val="141"/>
    <w:autoRedefine/>
    <w:qFormat/>
    <w:uiPriority w:val="0"/>
    <w:pPr>
      <w:widowControl/>
      <w:spacing w:before="100" w:beforeAutospacing="1" w:after="100" w:afterAutospacing="1"/>
      <w:jc w:val="left"/>
    </w:pPr>
    <w:rPr>
      <w:rFonts w:ascii="宋体" w:hAnsi="宋体"/>
      <w:kern w:val="0"/>
      <w:sz w:val="24"/>
      <w:szCs w:val="20"/>
    </w:rPr>
  </w:style>
  <w:style w:type="paragraph" w:styleId="77">
    <w:name w:val="List Continue 3"/>
    <w:basedOn w:val="1"/>
    <w:autoRedefine/>
    <w:qFormat/>
    <w:locked/>
    <w:uiPriority w:val="0"/>
    <w:pPr>
      <w:spacing w:before="60" w:after="120"/>
      <w:ind w:left="1260" w:firstLine="482"/>
    </w:pPr>
    <w:rPr>
      <w:rFonts w:ascii="Arial" w:hAnsi="Arial" w:eastAsia="仿宋_GB2312"/>
      <w:kern w:val="0"/>
      <w:sz w:val="24"/>
      <w:szCs w:val="20"/>
    </w:rPr>
  </w:style>
  <w:style w:type="paragraph" w:styleId="78">
    <w:name w:val="Title"/>
    <w:basedOn w:val="1"/>
    <w:next w:val="1"/>
    <w:link w:val="142"/>
    <w:autoRedefine/>
    <w:qFormat/>
    <w:locked/>
    <w:uiPriority w:val="0"/>
    <w:pPr>
      <w:spacing w:before="240" w:after="60"/>
      <w:jc w:val="center"/>
      <w:outlineLvl w:val="0"/>
    </w:pPr>
    <w:rPr>
      <w:rFonts w:ascii="Cambria" w:hAnsi="Cambria"/>
      <w:b/>
      <w:bCs/>
      <w:sz w:val="32"/>
      <w:szCs w:val="32"/>
    </w:rPr>
  </w:style>
  <w:style w:type="paragraph" w:styleId="79">
    <w:name w:val="annotation subject"/>
    <w:basedOn w:val="29"/>
    <w:next w:val="29"/>
    <w:link w:val="143"/>
    <w:autoRedefine/>
    <w:semiHidden/>
    <w:qFormat/>
    <w:uiPriority w:val="0"/>
    <w:rPr>
      <w:b/>
    </w:rPr>
  </w:style>
  <w:style w:type="paragraph" w:styleId="80">
    <w:name w:val="Body Text First Indent"/>
    <w:basedOn w:val="34"/>
    <w:next w:val="1"/>
    <w:link w:val="125"/>
    <w:autoRedefine/>
    <w:qFormat/>
    <w:locked/>
    <w:uiPriority w:val="0"/>
    <w:pPr>
      <w:widowControl w:val="0"/>
      <w:snapToGrid/>
      <w:spacing w:before="0" w:after="120" w:line="240" w:lineRule="auto"/>
      <w:ind w:right="0" w:firstLine="420" w:firstLineChars="100"/>
    </w:pPr>
    <w:rPr>
      <w:kern w:val="2"/>
      <w:sz w:val="21"/>
      <w:szCs w:val="24"/>
    </w:rPr>
  </w:style>
  <w:style w:type="table" w:styleId="82">
    <w:name w:val="Table Grid"/>
    <w:basedOn w:val="81"/>
    <w:autoRedefine/>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3">
    <w:name w:val="Table Theme"/>
    <w:basedOn w:val="81"/>
    <w:autoRedefine/>
    <w:qFormat/>
    <w:locked/>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84">
    <w:name w:val="Table Grid 1"/>
    <w:basedOn w:val="81"/>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5">
    <w:name w:val="Table Grid 5"/>
    <w:basedOn w:val="81"/>
    <w:autoRedefine/>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blPr/>
      <w:tcPr>
        <w:tcBorders>
          <w:top w:val="nil"/>
          <w:left w:val="single" w:color="000000"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86">
    <w:name w:val="Table Professional"/>
    <w:basedOn w:val="81"/>
    <w:autoRedefine/>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88">
    <w:name w:val="Strong"/>
    <w:autoRedefine/>
    <w:qFormat/>
    <w:locked/>
    <w:uiPriority w:val="0"/>
    <w:rPr>
      <w:b/>
      <w:bCs/>
    </w:rPr>
  </w:style>
  <w:style w:type="character" w:styleId="89">
    <w:name w:val="endnote reference"/>
    <w:autoRedefine/>
    <w:qFormat/>
    <w:locked/>
    <w:uiPriority w:val="0"/>
    <w:rPr>
      <w:rFonts w:ascii="宋体" w:hAnsi="宋体" w:eastAsia="宋体" w:cs="宋体"/>
      <w:kern w:val="2"/>
      <w:sz w:val="21"/>
      <w:szCs w:val="24"/>
      <w:vertAlign w:val="superscript"/>
      <w:lang w:val="en-US" w:eastAsia="zh-CN" w:bidi="ar-SA"/>
    </w:rPr>
  </w:style>
  <w:style w:type="character" w:styleId="90">
    <w:name w:val="page number"/>
    <w:autoRedefine/>
    <w:qFormat/>
    <w:locked/>
    <w:uiPriority w:val="0"/>
  </w:style>
  <w:style w:type="character" w:styleId="91">
    <w:name w:val="FollowedHyperlink"/>
    <w:autoRedefine/>
    <w:unhideWhenUsed/>
    <w:qFormat/>
    <w:locked/>
    <w:uiPriority w:val="99"/>
    <w:rPr>
      <w:color w:val="954F72"/>
      <w:u w:val="single"/>
    </w:rPr>
  </w:style>
  <w:style w:type="character" w:styleId="92">
    <w:name w:val="Emphasis"/>
    <w:autoRedefine/>
    <w:qFormat/>
    <w:locked/>
    <w:uiPriority w:val="0"/>
    <w:rPr>
      <w:rFonts w:ascii="宋体" w:hAnsi="宋体" w:eastAsia="宋体" w:cs="宋体"/>
      <w:color w:val="CC0000"/>
      <w:kern w:val="2"/>
      <w:sz w:val="24"/>
      <w:szCs w:val="24"/>
      <w:lang w:val="en-US" w:eastAsia="zh-CN" w:bidi="ar-SA"/>
    </w:rPr>
  </w:style>
  <w:style w:type="character" w:styleId="93">
    <w:name w:val="Hyperlink"/>
    <w:autoRedefine/>
    <w:qFormat/>
    <w:locked/>
    <w:uiPriority w:val="99"/>
    <w:rPr>
      <w:color w:val="0000FF"/>
      <w:u w:val="single"/>
    </w:rPr>
  </w:style>
  <w:style w:type="character" w:styleId="94">
    <w:name w:val="HTML Code"/>
    <w:autoRedefine/>
    <w:qFormat/>
    <w:locked/>
    <w:uiPriority w:val="0"/>
    <w:rPr>
      <w:rFonts w:ascii="黑体" w:hAnsi="Courier New" w:eastAsia="黑体" w:cs="Courier New"/>
      <w:sz w:val="24"/>
      <w:szCs w:val="24"/>
    </w:rPr>
  </w:style>
  <w:style w:type="character" w:styleId="95">
    <w:name w:val="annotation reference"/>
    <w:autoRedefine/>
    <w:semiHidden/>
    <w:qFormat/>
    <w:uiPriority w:val="0"/>
    <w:rPr>
      <w:sz w:val="21"/>
    </w:rPr>
  </w:style>
  <w:style w:type="character" w:styleId="96">
    <w:name w:val="footnote reference"/>
    <w:autoRedefine/>
    <w:qFormat/>
    <w:locked/>
    <w:uiPriority w:val="0"/>
    <w:rPr>
      <w:rFonts w:ascii="宋体" w:hAnsi="宋体" w:eastAsia="宋体" w:cs="宋体"/>
      <w:kern w:val="2"/>
      <w:sz w:val="24"/>
      <w:szCs w:val="24"/>
      <w:vertAlign w:val="superscript"/>
      <w:lang w:val="en-US" w:eastAsia="zh-CN" w:bidi="ar-SA"/>
    </w:rPr>
  </w:style>
  <w:style w:type="paragraph" w:customStyle="1" w:styleId="97">
    <w:name w:val="样式 正文文本缩进 + 行距: 1.5 倍行距"/>
    <w:basedOn w:val="98"/>
    <w:autoRedefine/>
    <w:qFormat/>
    <w:uiPriority w:val="0"/>
    <w:pPr>
      <w:ind w:left="90" w:leftChars="32" w:firstLine="560"/>
    </w:pPr>
    <w:rPr>
      <w:rFonts w:cs="宋体"/>
    </w:rPr>
  </w:style>
  <w:style w:type="paragraph" w:customStyle="1" w:styleId="98">
    <w:name w:val="正文文本缩进1"/>
    <w:basedOn w:val="99"/>
    <w:next w:val="97"/>
    <w:autoRedefine/>
    <w:qFormat/>
    <w:uiPriority w:val="0"/>
    <w:pPr>
      <w:spacing w:after="120" w:line="360" w:lineRule="auto"/>
      <w:ind w:left="420" w:leftChars="200" w:firstLine="200" w:firstLineChars="200"/>
    </w:pPr>
    <w:rPr>
      <w:sz w:val="24"/>
    </w:rPr>
  </w:style>
  <w:style w:type="paragraph" w:customStyle="1" w:styleId="99">
    <w:name w:val="Normal New New New New New New New New New New New New New New New New New New New New New New New New New New New New New New New New New New New New New New New New New New New New New New New New New New New New New New New New New New New New New 53"/>
    <w:qFormat/>
    <w:uiPriority w:val="0"/>
    <w:pPr>
      <w:widowControl w:val="0"/>
      <w:jc w:val="both"/>
    </w:pPr>
    <w:rPr>
      <w:rFonts w:hint="eastAsia" w:ascii="Calibri" w:hAnsi="Calibri" w:eastAsia="宋体" w:cs="Times New Roman"/>
      <w:kern w:val="2"/>
      <w:sz w:val="21"/>
      <w:lang w:val="en-US" w:eastAsia="zh-CN" w:bidi="ar-SA"/>
    </w:rPr>
  </w:style>
  <w:style w:type="paragraph" w:customStyle="1" w:styleId="100">
    <w:name w:val="样式5"/>
    <w:basedOn w:val="101"/>
    <w:next w:val="1"/>
    <w:link w:val="265"/>
    <w:autoRedefine/>
    <w:qFormat/>
    <w:uiPriority w:val="0"/>
    <w:pPr>
      <w:widowControl w:val="0"/>
      <w:snapToGrid/>
      <w:spacing w:before="0" w:after="0" w:line="240" w:lineRule="auto"/>
      <w:ind w:right="-105" w:rightChars="-50"/>
      <w:jc w:val="center"/>
    </w:pPr>
    <w:rPr>
      <w:rFonts w:ascii="宋体"/>
      <w:sz w:val="20"/>
      <w:szCs w:val="21"/>
    </w:rPr>
  </w:style>
  <w:style w:type="paragraph" w:customStyle="1" w:styleId="101">
    <w:name w:val="正文1"/>
    <w:basedOn w:val="34"/>
    <w:next w:val="1"/>
    <w:link w:val="266"/>
    <w:autoRedefine/>
    <w:qFormat/>
    <w:uiPriority w:val="0"/>
    <w:pPr>
      <w:adjustRightInd w:val="0"/>
      <w:spacing w:line="500" w:lineRule="atLeast"/>
      <w:ind w:firstLine="567"/>
    </w:pPr>
    <w:rPr>
      <w:sz w:val="28"/>
    </w:rPr>
  </w:style>
  <w:style w:type="paragraph" w:customStyle="1" w:styleId="102">
    <w:name w:val="Default"/>
    <w:next w:val="1"/>
    <w:autoRedefine/>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103">
    <w:name w:val="纯文本 字符"/>
    <w:link w:val="45"/>
    <w:autoRedefine/>
    <w:qFormat/>
    <w:uiPriority w:val="0"/>
    <w:rPr>
      <w:rFonts w:ascii="宋体" w:hAnsi="Courier New" w:cs="Courier New"/>
      <w:kern w:val="2"/>
      <w:sz w:val="21"/>
      <w:szCs w:val="21"/>
    </w:rPr>
  </w:style>
  <w:style w:type="character" w:customStyle="1" w:styleId="104">
    <w:name w:val="宏文本 字符"/>
    <w:link w:val="5"/>
    <w:autoRedefine/>
    <w:qFormat/>
    <w:uiPriority w:val="0"/>
    <w:rPr>
      <w:rFonts w:ascii="宋体" w:hAnsi="宋体"/>
      <w:kern w:val="2"/>
      <w:sz w:val="24"/>
      <w:szCs w:val="24"/>
    </w:rPr>
  </w:style>
  <w:style w:type="character" w:customStyle="1" w:styleId="105">
    <w:name w:val="标题 1 字符"/>
    <w:link w:val="6"/>
    <w:autoRedefine/>
    <w:qFormat/>
    <w:uiPriority w:val="9"/>
    <w:rPr>
      <w:rFonts w:eastAsia="黑体"/>
      <w:b/>
      <w:bCs/>
      <w:color w:val="000000"/>
      <w:kern w:val="44"/>
      <w:sz w:val="30"/>
      <w:szCs w:val="30"/>
    </w:rPr>
  </w:style>
  <w:style w:type="character" w:customStyle="1" w:styleId="106">
    <w:name w:val="标题 2 字符"/>
    <w:link w:val="7"/>
    <w:autoRedefine/>
    <w:qFormat/>
    <w:uiPriority w:val="9"/>
    <w:rPr>
      <w:rFonts w:ascii="Arial" w:hAnsi="Arial" w:eastAsia="黑体"/>
      <w:b/>
      <w:bCs/>
      <w:kern w:val="2"/>
      <w:sz w:val="32"/>
      <w:szCs w:val="32"/>
    </w:rPr>
  </w:style>
  <w:style w:type="character" w:customStyle="1" w:styleId="107">
    <w:name w:val="标题 3 字符"/>
    <w:link w:val="8"/>
    <w:autoRedefine/>
    <w:qFormat/>
    <w:uiPriority w:val="9"/>
    <w:rPr>
      <w:b/>
      <w:bCs/>
      <w:kern w:val="2"/>
      <w:sz w:val="32"/>
      <w:szCs w:val="32"/>
    </w:rPr>
  </w:style>
  <w:style w:type="character" w:customStyle="1" w:styleId="108">
    <w:name w:val="标题 4 字符"/>
    <w:link w:val="9"/>
    <w:autoRedefine/>
    <w:qFormat/>
    <w:uiPriority w:val="0"/>
    <w:rPr>
      <w:rFonts w:ascii="Cambria" w:hAnsi="Cambria"/>
      <w:b/>
      <w:bCs/>
      <w:kern w:val="2"/>
      <w:sz w:val="28"/>
      <w:szCs w:val="28"/>
    </w:rPr>
  </w:style>
  <w:style w:type="character" w:customStyle="1" w:styleId="109">
    <w:name w:val="标题 5 字符"/>
    <w:link w:val="10"/>
    <w:autoRedefine/>
    <w:qFormat/>
    <w:uiPriority w:val="0"/>
    <w:rPr>
      <w:b/>
      <w:kern w:val="2"/>
      <w:sz w:val="28"/>
    </w:rPr>
  </w:style>
  <w:style w:type="character" w:customStyle="1" w:styleId="110">
    <w:name w:val="正文缩进 字符"/>
    <w:link w:val="11"/>
    <w:autoRedefine/>
    <w:qFormat/>
    <w:uiPriority w:val="99"/>
    <w:rPr>
      <w:kern w:val="2"/>
      <w:sz w:val="21"/>
      <w:szCs w:val="24"/>
    </w:rPr>
  </w:style>
  <w:style w:type="character" w:customStyle="1" w:styleId="111">
    <w:name w:val="标题 6 字符"/>
    <w:link w:val="12"/>
    <w:autoRedefine/>
    <w:qFormat/>
    <w:uiPriority w:val="0"/>
    <w:rPr>
      <w:rFonts w:ascii="Arial" w:hAnsi="Arial"/>
      <w:b/>
      <w:bCs/>
      <w:kern w:val="2"/>
      <w:sz w:val="24"/>
      <w:szCs w:val="24"/>
    </w:rPr>
  </w:style>
  <w:style w:type="character" w:customStyle="1" w:styleId="112">
    <w:name w:val="标题 7 字符"/>
    <w:link w:val="13"/>
    <w:autoRedefine/>
    <w:qFormat/>
    <w:uiPriority w:val="0"/>
    <w:rPr>
      <w:b/>
      <w:bCs/>
      <w:kern w:val="2"/>
      <w:sz w:val="24"/>
      <w:szCs w:val="24"/>
    </w:rPr>
  </w:style>
  <w:style w:type="character" w:customStyle="1" w:styleId="113">
    <w:name w:val="标题 8 字符"/>
    <w:link w:val="14"/>
    <w:autoRedefine/>
    <w:qFormat/>
    <w:uiPriority w:val="0"/>
    <w:rPr>
      <w:rFonts w:ascii="Arial" w:hAnsi="Arial"/>
      <w:sz w:val="24"/>
    </w:rPr>
  </w:style>
  <w:style w:type="character" w:customStyle="1" w:styleId="114">
    <w:name w:val="标题 9 字符"/>
    <w:link w:val="15"/>
    <w:autoRedefine/>
    <w:qFormat/>
    <w:uiPriority w:val="0"/>
    <w:rPr>
      <w:rFonts w:ascii="Arial" w:hAnsi="Arial"/>
      <w:sz w:val="24"/>
    </w:rPr>
  </w:style>
  <w:style w:type="character" w:customStyle="1" w:styleId="115">
    <w:name w:val="注释标题 字符"/>
    <w:link w:val="20"/>
    <w:autoRedefine/>
    <w:qFormat/>
    <w:uiPriority w:val="0"/>
    <w:rPr>
      <w:rFonts w:ascii="Arial" w:hAnsi="Arial"/>
      <w:bCs/>
      <w:kern w:val="2"/>
      <w:sz w:val="28"/>
      <w:szCs w:val="28"/>
    </w:rPr>
  </w:style>
  <w:style w:type="character" w:customStyle="1" w:styleId="116">
    <w:name w:val="电子邮件签名 字符"/>
    <w:link w:val="22"/>
    <w:autoRedefine/>
    <w:qFormat/>
    <w:uiPriority w:val="0"/>
    <w:rPr>
      <w:rFonts w:ascii="Arial" w:hAnsi="Arial" w:eastAsia="仿宋_GB2312"/>
      <w:kern w:val="2"/>
      <w:sz w:val="24"/>
      <w:szCs w:val="22"/>
    </w:rPr>
  </w:style>
  <w:style w:type="character" w:customStyle="1" w:styleId="117">
    <w:name w:val="题注 字符"/>
    <w:link w:val="24"/>
    <w:autoRedefine/>
    <w:qFormat/>
    <w:uiPriority w:val="35"/>
    <w:rPr>
      <w:rFonts w:ascii="Arial" w:hAnsi="Arial" w:eastAsia="黑体" w:cs="Arial"/>
      <w:kern w:val="2"/>
    </w:rPr>
  </w:style>
  <w:style w:type="character" w:customStyle="1" w:styleId="118">
    <w:name w:val="文档结构图 字符"/>
    <w:link w:val="27"/>
    <w:autoRedefine/>
    <w:qFormat/>
    <w:uiPriority w:val="99"/>
    <w:rPr>
      <w:kern w:val="2"/>
      <w:sz w:val="21"/>
      <w:szCs w:val="24"/>
      <w:shd w:val="clear" w:color="auto" w:fill="000080"/>
    </w:rPr>
  </w:style>
  <w:style w:type="character" w:customStyle="1" w:styleId="119">
    <w:name w:val="批注文字 字符"/>
    <w:link w:val="29"/>
    <w:autoRedefine/>
    <w:qFormat/>
    <w:locked/>
    <w:uiPriority w:val="0"/>
    <w:rPr>
      <w:rFonts w:ascii="Times New Roman" w:hAnsi="Times New Roman" w:eastAsia="宋体"/>
      <w:sz w:val="24"/>
    </w:rPr>
  </w:style>
  <w:style w:type="character" w:customStyle="1" w:styleId="120">
    <w:name w:val="称呼 字符"/>
    <w:link w:val="30"/>
    <w:autoRedefine/>
    <w:qFormat/>
    <w:uiPriority w:val="0"/>
    <w:rPr>
      <w:kern w:val="2"/>
      <w:sz w:val="21"/>
      <w:szCs w:val="24"/>
    </w:rPr>
  </w:style>
  <w:style w:type="character" w:customStyle="1" w:styleId="121">
    <w:name w:val="正文文本 3 字符"/>
    <w:link w:val="31"/>
    <w:autoRedefine/>
    <w:qFormat/>
    <w:uiPriority w:val="0"/>
    <w:rPr>
      <w:rFonts w:ascii="宋体" w:hAnsi="宋体"/>
      <w:kern w:val="2"/>
      <w:sz w:val="24"/>
      <w:szCs w:val="24"/>
    </w:rPr>
  </w:style>
  <w:style w:type="character" w:customStyle="1" w:styleId="122">
    <w:name w:val="结束语 字符"/>
    <w:link w:val="32"/>
    <w:autoRedefine/>
    <w:qFormat/>
    <w:uiPriority w:val="0"/>
    <w:rPr>
      <w:rFonts w:ascii="Arial" w:hAnsi="Arial" w:eastAsia="仿宋_GB2312"/>
      <w:kern w:val="2"/>
      <w:sz w:val="24"/>
      <w:szCs w:val="22"/>
    </w:rPr>
  </w:style>
  <w:style w:type="character" w:customStyle="1" w:styleId="123">
    <w:name w:val="正文文本 字符"/>
    <w:link w:val="34"/>
    <w:autoRedefine/>
    <w:qFormat/>
    <w:locked/>
    <w:uiPriority w:val="0"/>
    <w:rPr>
      <w:sz w:val="18"/>
    </w:rPr>
  </w:style>
  <w:style w:type="character" w:customStyle="1" w:styleId="124">
    <w:name w:val="正文文本缩进 字符"/>
    <w:link w:val="3"/>
    <w:autoRedefine/>
    <w:qFormat/>
    <w:locked/>
    <w:uiPriority w:val="99"/>
    <w:rPr>
      <w:rFonts w:ascii="Times New Roman" w:hAnsi="Times New Roman" w:eastAsia="宋体"/>
      <w:sz w:val="24"/>
    </w:rPr>
  </w:style>
  <w:style w:type="character" w:customStyle="1" w:styleId="125">
    <w:name w:val="正文文本首行缩进 字符"/>
    <w:link w:val="80"/>
    <w:autoRedefine/>
    <w:qFormat/>
    <w:uiPriority w:val="0"/>
    <w:rPr>
      <w:kern w:val="2"/>
      <w:sz w:val="21"/>
      <w:szCs w:val="24"/>
    </w:rPr>
  </w:style>
  <w:style w:type="character" w:customStyle="1" w:styleId="126">
    <w:name w:val="HTML 地址 字符"/>
    <w:link w:val="41"/>
    <w:autoRedefine/>
    <w:qFormat/>
    <w:uiPriority w:val="0"/>
    <w:rPr>
      <w:rFonts w:ascii="Arial" w:hAnsi="Arial" w:eastAsia="仿宋_GB2312"/>
      <w:i/>
      <w:iCs/>
      <w:kern w:val="2"/>
      <w:sz w:val="24"/>
      <w:szCs w:val="22"/>
    </w:rPr>
  </w:style>
  <w:style w:type="character" w:customStyle="1" w:styleId="127">
    <w:name w:val="日期 字符1"/>
    <w:link w:val="48"/>
    <w:autoRedefine/>
    <w:qFormat/>
    <w:locked/>
    <w:uiPriority w:val="0"/>
    <w:rPr>
      <w:rFonts w:ascii="Times New Roman" w:hAnsi="Times New Roman" w:eastAsia="宋体"/>
      <w:sz w:val="24"/>
    </w:rPr>
  </w:style>
  <w:style w:type="character" w:customStyle="1" w:styleId="128">
    <w:name w:val="正文文本缩进 2 字符"/>
    <w:link w:val="49"/>
    <w:autoRedefine/>
    <w:qFormat/>
    <w:uiPriority w:val="0"/>
    <w:rPr>
      <w:kern w:val="24"/>
      <w:sz w:val="28"/>
    </w:rPr>
  </w:style>
  <w:style w:type="character" w:customStyle="1" w:styleId="129">
    <w:name w:val="尾注文本 字符"/>
    <w:link w:val="50"/>
    <w:autoRedefine/>
    <w:qFormat/>
    <w:uiPriority w:val="0"/>
    <w:rPr>
      <w:kern w:val="2"/>
      <w:sz w:val="21"/>
      <w:szCs w:val="24"/>
    </w:rPr>
  </w:style>
  <w:style w:type="character" w:customStyle="1" w:styleId="130">
    <w:name w:val="批注框文本 字符"/>
    <w:link w:val="52"/>
    <w:autoRedefine/>
    <w:semiHidden/>
    <w:qFormat/>
    <w:locked/>
    <w:uiPriority w:val="0"/>
    <w:rPr>
      <w:rFonts w:ascii="Times New Roman" w:hAnsi="Times New Roman" w:eastAsia="宋体"/>
      <w:sz w:val="18"/>
    </w:rPr>
  </w:style>
  <w:style w:type="character" w:customStyle="1" w:styleId="131">
    <w:name w:val="页脚 字符1"/>
    <w:link w:val="53"/>
    <w:autoRedefine/>
    <w:qFormat/>
    <w:locked/>
    <w:uiPriority w:val="99"/>
    <w:rPr>
      <w:sz w:val="18"/>
    </w:rPr>
  </w:style>
  <w:style w:type="character" w:customStyle="1" w:styleId="132">
    <w:name w:val="页眉 字符"/>
    <w:link w:val="4"/>
    <w:autoRedefine/>
    <w:qFormat/>
    <w:locked/>
    <w:uiPriority w:val="99"/>
    <w:rPr>
      <w:sz w:val="18"/>
    </w:rPr>
  </w:style>
  <w:style w:type="character" w:customStyle="1" w:styleId="133">
    <w:name w:val="签名 字符"/>
    <w:link w:val="55"/>
    <w:autoRedefine/>
    <w:qFormat/>
    <w:uiPriority w:val="0"/>
    <w:rPr>
      <w:rFonts w:ascii="Arial" w:hAnsi="Arial" w:eastAsia="仿宋_GB2312"/>
      <w:kern w:val="2"/>
      <w:sz w:val="24"/>
      <w:szCs w:val="22"/>
    </w:rPr>
  </w:style>
  <w:style w:type="character" w:customStyle="1" w:styleId="134">
    <w:name w:val="TOC 1 字符"/>
    <w:link w:val="56"/>
    <w:autoRedefine/>
    <w:qFormat/>
    <w:uiPriority w:val="39"/>
    <w:rPr>
      <w:b/>
      <w:bCs/>
      <w:caps/>
      <w:kern w:val="2"/>
    </w:rPr>
  </w:style>
  <w:style w:type="character" w:customStyle="1" w:styleId="135">
    <w:name w:val="副标题 字符"/>
    <w:link w:val="61"/>
    <w:autoRedefine/>
    <w:qFormat/>
    <w:uiPriority w:val="0"/>
    <w:rPr>
      <w:rFonts w:ascii="Arial" w:hAnsi="Arial" w:eastAsia="仿宋_GB2312"/>
      <w:b/>
      <w:bCs/>
      <w:kern w:val="28"/>
      <w:sz w:val="32"/>
      <w:szCs w:val="32"/>
    </w:rPr>
  </w:style>
  <w:style w:type="character" w:customStyle="1" w:styleId="136">
    <w:name w:val="脚注文本 字符"/>
    <w:link w:val="64"/>
    <w:autoRedefine/>
    <w:qFormat/>
    <w:uiPriority w:val="0"/>
    <w:rPr>
      <w:rFonts w:ascii="宋体"/>
      <w:kern w:val="2"/>
      <w:sz w:val="18"/>
      <w:szCs w:val="18"/>
    </w:rPr>
  </w:style>
  <w:style w:type="character" w:customStyle="1" w:styleId="137">
    <w:name w:val="正文文本缩进 3 字符"/>
    <w:link w:val="67"/>
    <w:autoRedefine/>
    <w:qFormat/>
    <w:uiPriority w:val="0"/>
    <w:rPr>
      <w:kern w:val="2"/>
      <w:sz w:val="16"/>
      <w:szCs w:val="16"/>
    </w:rPr>
  </w:style>
  <w:style w:type="character" w:customStyle="1" w:styleId="138">
    <w:name w:val="正文文本 2 字符"/>
    <w:link w:val="71"/>
    <w:autoRedefine/>
    <w:qFormat/>
    <w:uiPriority w:val="0"/>
    <w:rPr>
      <w:rFonts w:eastAsia="仿宋_GB2312"/>
      <w:kern w:val="2"/>
      <w:sz w:val="32"/>
      <w:szCs w:val="24"/>
    </w:rPr>
  </w:style>
  <w:style w:type="character" w:customStyle="1" w:styleId="139">
    <w:name w:val="信息标题 字符"/>
    <w:link w:val="74"/>
    <w:autoRedefine/>
    <w:qFormat/>
    <w:uiPriority w:val="0"/>
    <w:rPr>
      <w:rFonts w:ascii="宋体" w:hAnsi="宋体" w:cs="宋体"/>
      <w:kern w:val="2"/>
      <w:sz w:val="24"/>
      <w:szCs w:val="21"/>
      <w:shd w:val="pct20" w:color="auto" w:fill="auto"/>
    </w:rPr>
  </w:style>
  <w:style w:type="character" w:customStyle="1" w:styleId="140">
    <w:name w:val="HTML 预设格式 字符"/>
    <w:link w:val="75"/>
    <w:autoRedefine/>
    <w:qFormat/>
    <w:uiPriority w:val="0"/>
    <w:rPr>
      <w:rFonts w:ascii="Courier New" w:hAnsi="Courier New" w:cs="Courier New"/>
      <w:kern w:val="2"/>
    </w:rPr>
  </w:style>
  <w:style w:type="character" w:customStyle="1" w:styleId="141">
    <w:name w:val="普通(网站) 字符"/>
    <w:link w:val="76"/>
    <w:autoRedefine/>
    <w:qFormat/>
    <w:locked/>
    <w:uiPriority w:val="0"/>
    <w:rPr>
      <w:rFonts w:ascii="宋体" w:hAnsi="宋体" w:eastAsia="宋体"/>
      <w:sz w:val="24"/>
    </w:rPr>
  </w:style>
  <w:style w:type="character" w:customStyle="1" w:styleId="142">
    <w:name w:val="标题 字符"/>
    <w:link w:val="78"/>
    <w:autoRedefine/>
    <w:qFormat/>
    <w:uiPriority w:val="0"/>
    <w:rPr>
      <w:rFonts w:ascii="Cambria" w:hAnsi="Cambria"/>
      <w:b/>
      <w:bCs/>
      <w:kern w:val="2"/>
      <w:sz w:val="32"/>
      <w:szCs w:val="32"/>
    </w:rPr>
  </w:style>
  <w:style w:type="character" w:customStyle="1" w:styleId="143">
    <w:name w:val="批注主题 字符"/>
    <w:link w:val="79"/>
    <w:autoRedefine/>
    <w:semiHidden/>
    <w:qFormat/>
    <w:locked/>
    <w:uiPriority w:val="0"/>
    <w:rPr>
      <w:rFonts w:ascii="Times New Roman" w:hAnsi="Times New Roman" w:eastAsia="宋体"/>
      <w:b/>
      <w:kern w:val="2"/>
      <w:sz w:val="24"/>
    </w:rPr>
  </w:style>
  <w:style w:type="character" w:customStyle="1" w:styleId="144">
    <w:name w:val="正文文本首行缩进 2 字符"/>
    <w:link w:val="2"/>
    <w:autoRedefine/>
    <w:qFormat/>
    <w:uiPriority w:val="99"/>
    <w:rPr>
      <w:rFonts w:ascii="Times New Roman" w:hAnsi="Times New Roman" w:eastAsia="宋体"/>
      <w:kern w:val="2"/>
      <w:sz w:val="21"/>
      <w:szCs w:val="24"/>
    </w:rPr>
  </w:style>
  <w:style w:type="paragraph" w:customStyle="1" w:styleId="145">
    <w:name w:val="一般内容"/>
    <w:basedOn w:val="1"/>
    <w:autoRedefine/>
    <w:qFormat/>
    <w:uiPriority w:val="0"/>
    <w:pPr>
      <w:spacing w:line="360" w:lineRule="auto"/>
      <w:ind w:firstLine="200" w:firstLineChars="200"/>
    </w:pPr>
    <w:rPr>
      <w:rFonts w:ascii="Arial" w:hAnsi="Arial"/>
      <w:bCs/>
      <w:sz w:val="24"/>
    </w:rPr>
  </w:style>
  <w:style w:type="character" w:customStyle="1" w:styleId="146">
    <w:name w:val="内容"/>
    <w:autoRedefine/>
    <w:qFormat/>
    <w:uiPriority w:val="0"/>
  </w:style>
  <w:style w:type="character" w:customStyle="1" w:styleId="147">
    <w:name w:val="页脚 字符"/>
    <w:autoRedefine/>
    <w:qFormat/>
    <w:uiPriority w:val="99"/>
  </w:style>
  <w:style w:type="character" w:customStyle="1" w:styleId="148">
    <w:name w:val="样式2 Char"/>
    <w:link w:val="149"/>
    <w:autoRedefine/>
    <w:qFormat/>
    <w:uiPriority w:val="0"/>
    <w:rPr>
      <w:rFonts w:ascii="宋体"/>
      <w:b/>
      <w:kern w:val="2"/>
      <w:sz w:val="24"/>
      <w:szCs w:val="28"/>
    </w:rPr>
  </w:style>
  <w:style w:type="paragraph" w:customStyle="1" w:styleId="149">
    <w:name w:val="样式2"/>
    <w:basedOn w:val="1"/>
    <w:link w:val="148"/>
    <w:autoRedefine/>
    <w:qFormat/>
    <w:uiPriority w:val="0"/>
    <w:pPr>
      <w:widowControl/>
      <w:spacing w:line="360" w:lineRule="auto"/>
      <w:jc w:val="center"/>
    </w:pPr>
    <w:rPr>
      <w:rFonts w:ascii="宋体"/>
      <w:b/>
      <w:sz w:val="24"/>
      <w:szCs w:val="28"/>
    </w:rPr>
  </w:style>
  <w:style w:type="character" w:customStyle="1" w:styleId="150">
    <w:name w:val="标题 3 Char Char"/>
    <w:autoRedefine/>
    <w:qFormat/>
    <w:uiPriority w:val="0"/>
    <w:rPr>
      <w:rFonts w:ascii="宋体" w:hAnsi="宋体" w:eastAsia="宋体" w:cs="宋体"/>
      <w:b/>
      <w:bCs/>
      <w:color w:val="000000"/>
      <w:kern w:val="2"/>
      <w:sz w:val="32"/>
      <w:szCs w:val="24"/>
      <w:lang w:val="zh-CN" w:eastAsia="zh-CN" w:bidi="ar-SA"/>
    </w:rPr>
  </w:style>
  <w:style w:type="character" w:customStyle="1" w:styleId="151">
    <w:name w:val="参加人员 Char Char"/>
    <w:link w:val="152"/>
    <w:autoRedefine/>
    <w:qFormat/>
    <w:uiPriority w:val="0"/>
    <w:rPr>
      <w:sz w:val="24"/>
    </w:rPr>
  </w:style>
  <w:style w:type="paragraph" w:customStyle="1" w:styleId="152">
    <w:name w:val="参加人员"/>
    <w:basedOn w:val="1"/>
    <w:link w:val="151"/>
    <w:autoRedefine/>
    <w:qFormat/>
    <w:uiPriority w:val="0"/>
    <w:pPr>
      <w:spacing w:line="360" w:lineRule="auto"/>
    </w:pPr>
    <w:rPr>
      <w:kern w:val="0"/>
      <w:sz w:val="24"/>
      <w:szCs w:val="20"/>
    </w:rPr>
  </w:style>
  <w:style w:type="character" w:customStyle="1" w:styleId="153">
    <w:name w:val="正文王 Char Char"/>
    <w:link w:val="154"/>
    <w:autoRedefine/>
    <w:semiHidden/>
    <w:qFormat/>
    <w:uiPriority w:val="0"/>
    <w:rPr>
      <w:snapToGrid/>
      <w:color w:val="000000"/>
      <w:sz w:val="21"/>
      <w:szCs w:val="21"/>
    </w:rPr>
  </w:style>
  <w:style w:type="paragraph" w:customStyle="1" w:styleId="154">
    <w:name w:val="正文王"/>
    <w:basedOn w:val="1"/>
    <w:link w:val="153"/>
    <w:autoRedefine/>
    <w:semiHidden/>
    <w:qFormat/>
    <w:uiPriority w:val="0"/>
    <w:pPr>
      <w:adjustRightInd w:val="0"/>
      <w:snapToGrid w:val="0"/>
      <w:spacing w:line="320" w:lineRule="exact"/>
      <w:jc w:val="center"/>
    </w:pPr>
    <w:rPr>
      <w:snapToGrid w:val="0"/>
      <w:color w:val="000000"/>
      <w:kern w:val="0"/>
    </w:rPr>
  </w:style>
  <w:style w:type="character" w:customStyle="1" w:styleId="155">
    <w:name w:val="style11"/>
    <w:autoRedefine/>
    <w:qFormat/>
    <w:uiPriority w:val="0"/>
    <w:rPr>
      <w:rFonts w:ascii="宋体" w:hAnsi="宋体" w:eastAsia="宋体" w:cs="宋体"/>
      <w:color w:val="000000"/>
      <w:kern w:val="2"/>
      <w:sz w:val="24"/>
      <w:szCs w:val="24"/>
      <w:lang w:val="en-US" w:eastAsia="zh-CN" w:bidi="ar-SA"/>
    </w:rPr>
  </w:style>
  <w:style w:type="character" w:customStyle="1" w:styleId="156">
    <w:name w:val="title6"/>
    <w:autoRedefine/>
    <w:qFormat/>
    <w:uiPriority w:val="0"/>
    <w:rPr>
      <w:rFonts w:ascii="宋体" w:hAnsi="宋体" w:eastAsia="宋体" w:cs="宋体"/>
      <w:kern w:val="2"/>
      <w:sz w:val="24"/>
      <w:szCs w:val="24"/>
      <w:lang w:val="en-US" w:eastAsia="zh-CN" w:bidi="ar-SA"/>
    </w:rPr>
  </w:style>
  <w:style w:type="character" w:customStyle="1" w:styleId="157">
    <w:name w:val="f12h201"/>
    <w:autoRedefine/>
    <w:qFormat/>
    <w:uiPriority w:val="0"/>
    <w:rPr>
      <w:rFonts w:ascii="宋体" w:hAnsi="宋体" w:eastAsia="宋体" w:cs="宋体"/>
      <w:kern w:val="2"/>
      <w:sz w:val="18"/>
      <w:szCs w:val="18"/>
      <w:lang w:val="en-US" w:eastAsia="zh-CN" w:bidi="ar-SA"/>
    </w:rPr>
  </w:style>
  <w:style w:type="character" w:customStyle="1" w:styleId="158">
    <w:name w:val="apple-converted-space"/>
    <w:autoRedefine/>
    <w:qFormat/>
    <w:uiPriority w:val="0"/>
  </w:style>
  <w:style w:type="character" w:customStyle="1" w:styleId="159">
    <w:name w:val="表头 Char Char"/>
    <w:link w:val="160"/>
    <w:autoRedefine/>
    <w:qFormat/>
    <w:uiPriority w:val="0"/>
    <w:rPr>
      <w:rFonts w:eastAsia="黑体"/>
      <w:spacing w:val="-10"/>
      <w:sz w:val="21"/>
    </w:rPr>
  </w:style>
  <w:style w:type="paragraph" w:customStyle="1" w:styleId="160">
    <w:name w:val="表头"/>
    <w:basedOn w:val="1"/>
    <w:link w:val="159"/>
    <w:autoRedefine/>
    <w:qFormat/>
    <w:uiPriority w:val="0"/>
    <w:pPr>
      <w:adjustRightInd w:val="0"/>
      <w:snapToGrid w:val="0"/>
      <w:spacing w:line="320" w:lineRule="atLeast"/>
      <w:jc w:val="center"/>
      <w:textAlignment w:val="baseline"/>
    </w:pPr>
    <w:rPr>
      <w:rFonts w:eastAsia="黑体"/>
      <w:spacing w:val="-10"/>
      <w:kern w:val="0"/>
      <w:szCs w:val="20"/>
    </w:rPr>
  </w:style>
  <w:style w:type="character" w:customStyle="1" w:styleId="161">
    <w:name w:val="btd1"/>
    <w:autoRedefine/>
    <w:qFormat/>
    <w:uiPriority w:val="0"/>
    <w:rPr>
      <w:rFonts w:ascii="宋体" w:hAnsi="宋体" w:eastAsia="宋体" w:cs="宋体"/>
      <w:b/>
      <w:bCs/>
      <w:kern w:val="2"/>
      <w:sz w:val="24"/>
      <w:szCs w:val="24"/>
      <w:lang w:val="en-US" w:eastAsia="zh-CN" w:bidi="ar-SA"/>
    </w:rPr>
  </w:style>
  <w:style w:type="character" w:customStyle="1" w:styleId="162">
    <w:name w:val="表格格式 Char"/>
    <w:link w:val="163"/>
    <w:autoRedefine/>
    <w:qFormat/>
    <w:uiPriority w:val="0"/>
    <w:rPr>
      <w:rFonts w:ascii="宋体" w:hAnsi="宋体" w:cs="宋体"/>
      <w:color w:val="000000"/>
      <w:szCs w:val="21"/>
    </w:rPr>
  </w:style>
  <w:style w:type="paragraph" w:customStyle="1" w:styleId="163">
    <w:name w:val="表格格式"/>
    <w:basedOn w:val="1"/>
    <w:link w:val="162"/>
    <w:autoRedefine/>
    <w:qFormat/>
    <w:uiPriority w:val="0"/>
    <w:pPr>
      <w:snapToGrid w:val="0"/>
      <w:jc w:val="center"/>
    </w:pPr>
    <w:rPr>
      <w:rFonts w:ascii="宋体" w:hAnsi="宋体" w:cs="宋体"/>
      <w:color w:val="000000"/>
      <w:kern w:val="0"/>
      <w:sz w:val="20"/>
    </w:rPr>
  </w:style>
  <w:style w:type="character" w:customStyle="1" w:styleId="164">
    <w:name w:val="样式68 Char Char"/>
    <w:link w:val="165"/>
    <w:autoRedefine/>
    <w:qFormat/>
    <w:uiPriority w:val="0"/>
    <w:rPr>
      <w:rFonts w:ascii="宋体" w:hAnsi="宋体"/>
      <w:color w:val="000000"/>
      <w:spacing w:val="-2"/>
      <w:sz w:val="28"/>
    </w:rPr>
  </w:style>
  <w:style w:type="paragraph" w:customStyle="1" w:styleId="165">
    <w:name w:val="样式68"/>
    <w:basedOn w:val="1"/>
    <w:link w:val="164"/>
    <w:autoRedefine/>
    <w:qFormat/>
    <w:uiPriority w:val="0"/>
    <w:pPr>
      <w:ind w:firstLine="552" w:firstLineChars="200"/>
    </w:pPr>
    <w:rPr>
      <w:rFonts w:ascii="宋体" w:hAnsi="宋体"/>
      <w:color w:val="000000"/>
      <w:spacing w:val="-2"/>
      <w:kern w:val="0"/>
      <w:sz w:val="28"/>
      <w:szCs w:val="20"/>
    </w:rPr>
  </w:style>
  <w:style w:type="character" w:customStyle="1" w:styleId="166">
    <w:name w:val="正文3 Char1"/>
    <w:link w:val="167"/>
    <w:autoRedefine/>
    <w:qFormat/>
    <w:uiPriority w:val="0"/>
    <w:rPr>
      <w:sz w:val="30"/>
      <w:szCs w:val="24"/>
    </w:rPr>
  </w:style>
  <w:style w:type="paragraph" w:customStyle="1" w:styleId="167">
    <w:name w:val="正文3"/>
    <w:basedOn w:val="1"/>
    <w:link w:val="166"/>
    <w:autoRedefine/>
    <w:qFormat/>
    <w:uiPriority w:val="0"/>
    <w:pPr>
      <w:adjustRightInd w:val="0"/>
      <w:spacing w:line="360" w:lineRule="auto"/>
      <w:ind w:firstLine="624"/>
      <w:textAlignment w:val="baseline"/>
    </w:pPr>
    <w:rPr>
      <w:kern w:val="0"/>
      <w:sz w:val="30"/>
    </w:rPr>
  </w:style>
  <w:style w:type="character" w:customStyle="1" w:styleId="168">
    <w:name w:val="样式 样式 正文 行距: 固定值 25 磅 + 首行缩进:  2 字符1 Char"/>
    <w:link w:val="169"/>
    <w:autoRedefine/>
    <w:qFormat/>
    <w:uiPriority w:val="0"/>
    <w:rPr>
      <w:rFonts w:cs="宋体"/>
      <w:kern w:val="2"/>
      <w:sz w:val="24"/>
      <w:szCs w:val="24"/>
    </w:rPr>
  </w:style>
  <w:style w:type="paragraph" w:customStyle="1" w:styleId="169">
    <w:name w:val="样式 样式 正文 行距: 固定值 25 磅 + 首行缩进:  2 字符1"/>
    <w:basedOn w:val="170"/>
    <w:link w:val="168"/>
    <w:autoRedefine/>
    <w:qFormat/>
    <w:uiPriority w:val="0"/>
    <w:pPr>
      <w:ind w:firstLine="480"/>
    </w:pPr>
  </w:style>
  <w:style w:type="paragraph" w:customStyle="1" w:styleId="170">
    <w:name w:val="样式 正文 行距: 固定值 25 磅"/>
    <w:basedOn w:val="1"/>
    <w:link w:val="171"/>
    <w:autoRedefine/>
    <w:semiHidden/>
    <w:qFormat/>
    <w:uiPriority w:val="0"/>
    <w:pPr>
      <w:adjustRightInd w:val="0"/>
      <w:spacing w:line="500" w:lineRule="exact"/>
      <w:ind w:firstLine="200" w:firstLineChars="200"/>
    </w:pPr>
    <w:rPr>
      <w:rFonts w:cs="宋体"/>
      <w:sz w:val="24"/>
    </w:rPr>
  </w:style>
  <w:style w:type="character" w:customStyle="1" w:styleId="171">
    <w:name w:val="样式 正文 行距: 固定值 25 磅 Char"/>
    <w:link w:val="170"/>
    <w:autoRedefine/>
    <w:semiHidden/>
    <w:qFormat/>
    <w:uiPriority w:val="0"/>
    <w:rPr>
      <w:rFonts w:cs="宋体"/>
      <w:kern w:val="2"/>
      <w:sz w:val="24"/>
      <w:szCs w:val="24"/>
    </w:rPr>
  </w:style>
  <w:style w:type="character" w:customStyle="1" w:styleId="172">
    <w:name w:val="表头 Char Char Char"/>
    <w:autoRedefine/>
    <w:qFormat/>
    <w:uiPriority w:val="0"/>
    <w:rPr>
      <w:rFonts w:ascii="宋体" w:hAnsi="宋体" w:eastAsia="宋体"/>
      <w:b/>
      <w:spacing w:val="-10"/>
      <w:sz w:val="24"/>
      <w:lang w:val="en-US" w:eastAsia="zh-CN" w:bidi="ar-SA"/>
    </w:rPr>
  </w:style>
  <w:style w:type="character" w:customStyle="1" w:styleId="173">
    <w:name w:val="Char Char13"/>
    <w:autoRedefine/>
    <w:qFormat/>
    <w:uiPriority w:val="0"/>
    <w:rPr>
      <w:rFonts w:eastAsia="宋体"/>
      <w:kern w:val="2"/>
      <w:sz w:val="18"/>
      <w:szCs w:val="18"/>
      <w:lang w:val="en-US" w:eastAsia="zh-CN" w:bidi="ar-SA"/>
    </w:rPr>
  </w:style>
  <w:style w:type="character" w:customStyle="1" w:styleId="174">
    <w:name w:val="表格标题博泵 Char Char"/>
    <w:link w:val="175"/>
    <w:autoRedefine/>
    <w:qFormat/>
    <w:uiPriority w:val="0"/>
    <w:rPr>
      <w:b/>
      <w:color w:val="000000"/>
    </w:rPr>
  </w:style>
  <w:style w:type="paragraph" w:customStyle="1" w:styleId="175">
    <w:name w:val="表格标题博泵"/>
    <w:basedOn w:val="1"/>
    <w:link w:val="174"/>
    <w:autoRedefine/>
    <w:qFormat/>
    <w:uiPriority w:val="0"/>
    <w:pPr>
      <w:adjustRightInd w:val="0"/>
      <w:snapToGrid w:val="0"/>
      <w:jc w:val="center"/>
      <w:textAlignment w:val="baseline"/>
    </w:pPr>
    <w:rPr>
      <w:b/>
      <w:color w:val="000000"/>
      <w:kern w:val="0"/>
      <w:sz w:val="20"/>
      <w:szCs w:val="20"/>
    </w:rPr>
  </w:style>
  <w:style w:type="character" w:customStyle="1" w:styleId="176">
    <w:name w:val="al11"/>
    <w:autoRedefine/>
    <w:qFormat/>
    <w:uiPriority w:val="0"/>
    <w:rPr>
      <w:color w:val="333333"/>
      <w:sz w:val="18"/>
      <w:szCs w:val="18"/>
    </w:rPr>
  </w:style>
  <w:style w:type="character" w:customStyle="1" w:styleId="177">
    <w:name w:val="表格内文字 Char"/>
    <w:link w:val="178"/>
    <w:autoRedefine/>
    <w:qFormat/>
    <w:uiPriority w:val="0"/>
    <w:rPr>
      <w:rFonts w:eastAsia="仿宋_GB2312"/>
      <w:kern w:val="2"/>
      <w:sz w:val="24"/>
      <w:szCs w:val="24"/>
    </w:rPr>
  </w:style>
  <w:style w:type="paragraph" w:customStyle="1" w:styleId="178">
    <w:name w:val="表格内文字"/>
    <w:basedOn w:val="1"/>
    <w:link w:val="177"/>
    <w:autoRedefine/>
    <w:qFormat/>
    <w:uiPriority w:val="0"/>
    <w:pPr>
      <w:tabs>
        <w:tab w:val="left" w:pos="0"/>
      </w:tabs>
      <w:adjustRightInd w:val="0"/>
      <w:snapToGrid w:val="0"/>
      <w:jc w:val="center"/>
    </w:pPr>
    <w:rPr>
      <w:rFonts w:eastAsia="仿宋_GB2312"/>
      <w:sz w:val="24"/>
    </w:rPr>
  </w:style>
  <w:style w:type="character" w:customStyle="1" w:styleId="179">
    <w:name w:val="Char Char9"/>
    <w:autoRedefine/>
    <w:qFormat/>
    <w:uiPriority w:val="0"/>
    <w:rPr>
      <w:rFonts w:ascii="Cambria" w:hAnsi="Cambria" w:eastAsia="宋体" w:cs="宋体"/>
      <w:b/>
      <w:bCs/>
      <w:iCs/>
      <w:kern w:val="2"/>
      <w:sz w:val="30"/>
      <w:szCs w:val="28"/>
      <w:lang w:val="en-US" w:eastAsia="en-US" w:bidi="en-US"/>
    </w:rPr>
  </w:style>
  <w:style w:type="character" w:customStyle="1" w:styleId="180">
    <w:name w:val="px141"/>
    <w:autoRedefine/>
    <w:qFormat/>
    <w:uiPriority w:val="0"/>
    <w:rPr>
      <w:sz w:val="21"/>
    </w:rPr>
  </w:style>
  <w:style w:type="character" w:customStyle="1" w:styleId="181">
    <w:name w:val="hz"/>
    <w:autoRedefine/>
    <w:qFormat/>
    <w:uiPriority w:val="0"/>
  </w:style>
  <w:style w:type="character" w:customStyle="1" w:styleId="182">
    <w:name w:val="scs62"/>
    <w:autoRedefine/>
    <w:qFormat/>
    <w:uiPriority w:val="0"/>
  </w:style>
  <w:style w:type="character" w:customStyle="1" w:styleId="183">
    <w:name w:val="样式75 Char Char"/>
    <w:link w:val="184"/>
    <w:autoRedefine/>
    <w:qFormat/>
    <w:uiPriority w:val="0"/>
    <w:rPr>
      <w:rFonts w:ascii="黑体" w:hAnsi="宋体" w:eastAsia="黑体"/>
      <w:color w:val="000000"/>
      <w:sz w:val="28"/>
      <w:szCs w:val="28"/>
    </w:rPr>
  </w:style>
  <w:style w:type="paragraph" w:customStyle="1" w:styleId="184">
    <w:name w:val="样式75"/>
    <w:basedOn w:val="1"/>
    <w:link w:val="183"/>
    <w:autoRedefine/>
    <w:qFormat/>
    <w:uiPriority w:val="0"/>
    <w:pPr>
      <w:spacing w:beforeLines="150" w:line="360" w:lineRule="auto"/>
    </w:pPr>
    <w:rPr>
      <w:rFonts w:ascii="黑体" w:hAnsi="宋体" w:eastAsia="黑体"/>
      <w:color w:val="000000"/>
      <w:kern w:val="0"/>
      <w:sz w:val="28"/>
      <w:szCs w:val="28"/>
    </w:rPr>
  </w:style>
  <w:style w:type="character" w:customStyle="1" w:styleId="185">
    <w:name w:val="标题1.1.1.1.1 Char1"/>
    <w:autoRedefine/>
    <w:qFormat/>
    <w:uiPriority w:val="0"/>
    <w:rPr>
      <w:rFonts w:eastAsia="宋体"/>
      <w:b/>
      <w:bCs/>
      <w:sz w:val="28"/>
      <w:szCs w:val="28"/>
      <w:lang w:bidi="ar-SA"/>
    </w:rPr>
  </w:style>
  <w:style w:type="character" w:customStyle="1" w:styleId="186">
    <w:name w:val="图名 Char"/>
    <w:link w:val="187"/>
    <w:autoRedefine/>
    <w:qFormat/>
    <w:uiPriority w:val="0"/>
    <w:rPr>
      <w:rFonts w:ascii="宋体" w:eastAsia="黑体"/>
      <w:sz w:val="24"/>
      <w:szCs w:val="24"/>
      <w:lang w:eastAsia="en-US" w:bidi="en-US"/>
    </w:rPr>
  </w:style>
  <w:style w:type="paragraph" w:customStyle="1" w:styleId="187">
    <w:name w:val="图名"/>
    <w:basedOn w:val="1"/>
    <w:link w:val="186"/>
    <w:autoRedefine/>
    <w:qFormat/>
    <w:uiPriority w:val="0"/>
    <w:pPr>
      <w:widowControl/>
      <w:adjustRightInd w:val="0"/>
      <w:snapToGrid w:val="0"/>
      <w:spacing w:line="360" w:lineRule="auto"/>
      <w:jc w:val="center"/>
      <w:textAlignment w:val="baseline"/>
    </w:pPr>
    <w:rPr>
      <w:rFonts w:ascii="宋体" w:eastAsia="黑体"/>
      <w:kern w:val="0"/>
      <w:sz w:val="24"/>
      <w:lang w:eastAsia="en-US" w:bidi="en-US"/>
    </w:rPr>
  </w:style>
  <w:style w:type="character" w:customStyle="1" w:styleId="188">
    <w:name w:val="word131"/>
    <w:autoRedefine/>
    <w:qFormat/>
    <w:uiPriority w:val="0"/>
    <w:rPr>
      <w:rFonts w:hint="default" w:ascii="ˎ̥" w:hAnsi="ˎ̥"/>
      <w:color w:val="000000"/>
      <w:sz w:val="20"/>
      <w:szCs w:val="20"/>
      <w:u w:val="none"/>
    </w:rPr>
  </w:style>
  <w:style w:type="character" w:customStyle="1" w:styleId="189">
    <w:name w:val="样式4 Char Char"/>
    <w:link w:val="190"/>
    <w:autoRedefine/>
    <w:qFormat/>
    <w:uiPriority w:val="0"/>
    <w:rPr>
      <w:rFonts w:eastAsia="黑体" w:cs="宋体"/>
      <w:b/>
      <w:bCs/>
      <w:kern w:val="2"/>
      <w:sz w:val="28"/>
    </w:rPr>
  </w:style>
  <w:style w:type="paragraph" w:customStyle="1" w:styleId="190">
    <w:name w:val="样式4"/>
    <w:basedOn w:val="191"/>
    <w:link w:val="189"/>
    <w:autoRedefine/>
    <w:qFormat/>
    <w:uiPriority w:val="0"/>
  </w:style>
  <w:style w:type="paragraph" w:customStyle="1" w:styleId="191">
    <w:name w:val="样式 标题 2H2节标题 1.1节标题 1.1 Char1.1标题2条标题h2l22nd levelTitre..."/>
    <w:basedOn w:val="7"/>
    <w:autoRedefine/>
    <w:qFormat/>
    <w:uiPriority w:val="0"/>
    <w:pPr>
      <w:snapToGrid w:val="0"/>
      <w:spacing w:before="120" w:beforeLines="100" w:after="0" w:line="240" w:lineRule="auto"/>
      <w:ind w:left="1134" w:hanging="992"/>
    </w:pPr>
    <w:rPr>
      <w:rFonts w:ascii="Times New Roman" w:hAnsi="Times New Roman" w:cs="宋体"/>
      <w:sz w:val="28"/>
      <w:szCs w:val="20"/>
    </w:rPr>
  </w:style>
  <w:style w:type="character" w:customStyle="1" w:styleId="192">
    <w:name w:val="main-11"/>
    <w:autoRedefine/>
    <w:qFormat/>
    <w:uiPriority w:val="0"/>
  </w:style>
  <w:style w:type="character" w:customStyle="1" w:styleId="193">
    <w:name w:val="description"/>
    <w:autoRedefine/>
    <w:qFormat/>
    <w:uiPriority w:val="0"/>
  </w:style>
  <w:style w:type="character" w:customStyle="1" w:styleId="194">
    <w:name w:val="zw1"/>
    <w:autoRedefine/>
    <w:qFormat/>
    <w:uiPriority w:val="0"/>
    <w:rPr>
      <w:rFonts w:hint="eastAsia" w:ascii="宋体" w:hAnsi="宋体" w:eastAsia="宋体"/>
      <w:sz w:val="22"/>
      <w:szCs w:val="22"/>
    </w:rPr>
  </w:style>
  <w:style w:type="character" w:customStyle="1" w:styleId="195">
    <w:name w:val="正文5号 Char2"/>
    <w:autoRedefine/>
    <w:qFormat/>
    <w:uiPriority w:val="0"/>
    <w:rPr>
      <w:rFonts w:ascii="宋体" w:hAnsi="宋体" w:eastAsia="宋体" w:cs="宋体"/>
      <w:kern w:val="2"/>
      <w:sz w:val="24"/>
      <w:szCs w:val="24"/>
      <w:lang w:val="en-US" w:eastAsia="zh-CN" w:bidi="ar-SA"/>
    </w:rPr>
  </w:style>
  <w:style w:type="character" w:customStyle="1" w:styleId="196">
    <w:name w:val="表内容1 Char"/>
    <w:link w:val="197"/>
    <w:autoRedefine/>
    <w:qFormat/>
    <w:uiPriority w:val="0"/>
    <w:rPr>
      <w:rFonts w:ascii="楷体_GB2312" w:hAnsi="楷体_GB2312" w:eastAsia="仿宋_GB2312"/>
      <w:bCs/>
      <w:szCs w:val="24"/>
    </w:rPr>
  </w:style>
  <w:style w:type="paragraph" w:customStyle="1" w:styleId="197">
    <w:name w:val="表内容1"/>
    <w:basedOn w:val="1"/>
    <w:link w:val="196"/>
    <w:autoRedefine/>
    <w:qFormat/>
    <w:uiPriority w:val="0"/>
    <w:pPr>
      <w:snapToGrid w:val="0"/>
      <w:jc w:val="center"/>
    </w:pPr>
    <w:rPr>
      <w:rFonts w:ascii="楷体_GB2312" w:hAnsi="楷体_GB2312" w:eastAsia="仿宋_GB2312"/>
      <w:bCs/>
      <w:kern w:val="0"/>
      <w:sz w:val="20"/>
    </w:rPr>
  </w:style>
  <w:style w:type="character" w:customStyle="1" w:styleId="198">
    <w:name w:val="Char Char31"/>
    <w:autoRedefine/>
    <w:qFormat/>
    <w:uiPriority w:val="0"/>
    <w:rPr>
      <w:sz w:val="24"/>
      <w:lang w:bidi="ar-SA"/>
    </w:rPr>
  </w:style>
  <w:style w:type="character" w:customStyle="1" w:styleId="199">
    <w:name w:val="表格 Char"/>
    <w:link w:val="200"/>
    <w:autoRedefine/>
    <w:qFormat/>
    <w:locked/>
    <w:uiPriority w:val="0"/>
    <w:rPr>
      <w:rFonts w:ascii="宋体"/>
      <w:sz w:val="21"/>
    </w:rPr>
  </w:style>
  <w:style w:type="paragraph" w:customStyle="1" w:styleId="200">
    <w:name w:val="表格"/>
    <w:basedOn w:val="201"/>
    <w:next w:val="1"/>
    <w:link w:val="199"/>
    <w:autoRedefine/>
    <w:qFormat/>
    <w:uiPriority w:val="0"/>
    <w:pPr>
      <w:adjustRightInd w:val="0"/>
      <w:snapToGrid w:val="0"/>
      <w:spacing w:beforeLines="10" w:afterLines="10" w:line="259" w:lineRule="auto"/>
    </w:pPr>
    <w:rPr>
      <w:rFonts w:ascii="宋体"/>
      <w:kern w:val="0"/>
      <w:szCs w:val="20"/>
    </w:rPr>
  </w:style>
  <w:style w:type="paragraph" w:customStyle="1" w:styleId="201">
    <w:name w:val="表格使用文字"/>
    <w:basedOn w:val="1"/>
    <w:link w:val="202"/>
    <w:autoRedefine/>
    <w:qFormat/>
    <w:uiPriority w:val="99"/>
    <w:pPr>
      <w:jc w:val="center"/>
    </w:pPr>
    <w:rPr>
      <w:color w:val="000000"/>
    </w:rPr>
  </w:style>
  <w:style w:type="character" w:customStyle="1" w:styleId="202">
    <w:name w:val="表格使用文字 Char"/>
    <w:link w:val="201"/>
    <w:autoRedefine/>
    <w:qFormat/>
    <w:uiPriority w:val="99"/>
    <w:rPr>
      <w:color w:val="000000"/>
      <w:kern w:val="2"/>
      <w:sz w:val="21"/>
      <w:szCs w:val="21"/>
    </w:rPr>
  </w:style>
  <w:style w:type="character" w:customStyle="1" w:styleId="203">
    <w:name w:val="Char Char8"/>
    <w:autoRedefine/>
    <w:semiHidden/>
    <w:qFormat/>
    <w:uiPriority w:val="0"/>
    <w:rPr>
      <w:rFonts w:ascii="宋体" w:hAnsi="宋体" w:eastAsia="宋体" w:cs="宋体"/>
      <w:kern w:val="2"/>
      <w:sz w:val="18"/>
      <w:szCs w:val="18"/>
      <w:lang w:val="en-US" w:eastAsia="zh-CN" w:bidi="ar-SA"/>
    </w:rPr>
  </w:style>
  <w:style w:type="character" w:customStyle="1" w:styleId="204">
    <w:name w:val="haogao1"/>
    <w:autoRedefine/>
    <w:qFormat/>
    <w:uiPriority w:val="0"/>
  </w:style>
  <w:style w:type="character" w:customStyle="1" w:styleId="205">
    <w:name w:val="Plain Text Char1 Char"/>
    <w:autoRedefine/>
    <w:qFormat/>
    <w:uiPriority w:val="0"/>
    <w:rPr>
      <w:rFonts w:ascii="宋体" w:hAnsi="Courier New"/>
      <w:kern w:val="2"/>
      <w:sz w:val="21"/>
      <w:szCs w:val="21"/>
      <w:lang w:bidi="ar-SA"/>
    </w:rPr>
  </w:style>
  <w:style w:type="character" w:customStyle="1" w:styleId="206">
    <w:name w:val="sppkvsc"/>
    <w:autoRedefine/>
    <w:qFormat/>
    <w:uiPriority w:val="0"/>
  </w:style>
  <w:style w:type="character" w:customStyle="1" w:styleId="207">
    <w:name w:val="样式20 Char Char"/>
    <w:link w:val="208"/>
    <w:autoRedefine/>
    <w:qFormat/>
    <w:uiPriority w:val="0"/>
    <w:rPr>
      <w:rFonts w:ascii="楷体_GB2312" w:hAnsi="楷体_GB2312" w:eastAsia="楷体_GB2312"/>
      <w:b/>
      <w:color w:val="000000"/>
      <w:sz w:val="32"/>
    </w:rPr>
  </w:style>
  <w:style w:type="paragraph" w:customStyle="1" w:styleId="208">
    <w:name w:val="样式20"/>
    <w:basedOn w:val="7"/>
    <w:link w:val="207"/>
    <w:autoRedefine/>
    <w:qFormat/>
    <w:uiPriority w:val="0"/>
    <w:pPr>
      <w:tabs>
        <w:tab w:val="left" w:pos="840"/>
      </w:tabs>
      <w:snapToGrid w:val="0"/>
      <w:spacing w:before="0" w:after="0" w:line="360" w:lineRule="auto"/>
      <w:ind w:left="840"/>
      <w:jc w:val="center"/>
    </w:pPr>
    <w:rPr>
      <w:rFonts w:ascii="楷体_GB2312" w:hAnsi="楷体_GB2312" w:eastAsia="楷体_GB2312"/>
      <w:bCs w:val="0"/>
      <w:color w:val="000000"/>
      <w:kern w:val="0"/>
      <w:szCs w:val="20"/>
    </w:rPr>
  </w:style>
  <w:style w:type="character" w:customStyle="1" w:styleId="209">
    <w:name w:val="参数解释 Char Char"/>
    <w:link w:val="210"/>
    <w:autoRedefine/>
    <w:qFormat/>
    <w:uiPriority w:val="0"/>
    <w:rPr>
      <w:sz w:val="24"/>
    </w:rPr>
  </w:style>
  <w:style w:type="paragraph" w:customStyle="1" w:styleId="210">
    <w:name w:val="参数解释"/>
    <w:basedOn w:val="211"/>
    <w:link w:val="209"/>
    <w:autoRedefine/>
    <w:qFormat/>
    <w:uiPriority w:val="0"/>
    <w:pPr>
      <w:ind w:firstLine="1274" w:firstLineChars="531"/>
    </w:pPr>
    <w:rPr>
      <w:rFonts w:ascii="Times New Roman" w:hAnsi="Times New Roman"/>
      <w:kern w:val="0"/>
      <w:szCs w:val="20"/>
    </w:rPr>
  </w:style>
  <w:style w:type="paragraph" w:customStyle="1" w:styleId="211">
    <w:name w:val="金源"/>
    <w:basedOn w:val="1"/>
    <w:link w:val="212"/>
    <w:autoRedefine/>
    <w:qFormat/>
    <w:uiPriority w:val="0"/>
    <w:pPr>
      <w:spacing w:line="480" w:lineRule="exact"/>
      <w:ind w:firstLine="480" w:firstLineChars="200"/>
      <w:jc w:val="left"/>
    </w:pPr>
    <w:rPr>
      <w:rFonts w:ascii="Calibri" w:hAnsi="Calibri"/>
      <w:sz w:val="24"/>
      <w:szCs w:val="22"/>
    </w:rPr>
  </w:style>
  <w:style w:type="character" w:customStyle="1" w:styleId="212">
    <w:name w:val="金源 Char Char"/>
    <w:link w:val="211"/>
    <w:autoRedefine/>
    <w:qFormat/>
    <w:uiPriority w:val="0"/>
    <w:rPr>
      <w:rFonts w:ascii="Calibri" w:hAnsi="Calibri"/>
      <w:kern w:val="2"/>
      <w:sz w:val="24"/>
      <w:szCs w:val="22"/>
    </w:rPr>
  </w:style>
  <w:style w:type="character" w:customStyle="1" w:styleId="213">
    <w:name w:val="节标题 1.1 Char4"/>
    <w:autoRedefine/>
    <w:qFormat/>
    <w:uiPriority w:val="0"/>
    <w:rPr>
      <w:b/>
      <w:bCs/>
      <w:sz w:val="28"/>
      <w:szCs w:val="32"/>
    </w:rPr>
  </w:style>
  <w:style w:type="character" w:customStyle="1" w:styleId="214">
    <w:name w:val="articlebody3"/>
    <w:autoRedefine/>
    <w:qFormat/>
    <w:uiPriority w:val="0"/>
    <w:rPr>
      <w:rFonts w:ascii="宋体" w:hAnsi="宋体" w:eastAsia="宋体" w:cs="宋体"/>
      <w:kern w:val="2"/>
      <w:sz w:val="21"/>
      <w:szCs w:val="21"/>
      <w:lang w:val="en-US" w:eastAsia="zh-CN" w:bidi="ar-SA"/>
    </w:rPr>
  </w:style>
  <w:style w:type="character" w:customStyle="1" w:styleId="215">
    <w:name w:val="样式 样式 正文 行距: 固定值 25 磅 + 首行缩进:  2 字符 Char"/>
    <w:link w:val="216"/>
    <w:autoRedefine/>
    <w:qFormat/>
    <w:uiPriority w:val="0"/>
    <w:rPr>
      <w:rFonts w:cs="宋体"/>
      <w:kern w:val="2"/>
      <w:sz w:val="24"/>
      <w:szCs w:val="24"/>
    </w:rPr>
  </w:style>
  <w:style w:type="paragraph" w:customStyle="1" w:styleId="216">
    <w:name w:val="样式 样式 正文 行距: 固定值 25 磅 + 首行缩进:  2 字符"/>
    <w:basedOn w:val="1"/>
    <w:link w:val="215"/>
    <w:autoRedefine/>
    <w:qFormat/>
    <w:uiPriority w:val="0"/>
    <w:pPr>
      <w:adjustRightInd w:val="0"/>
      <w:snapToGrid w:val="0"/>
      <w:spacing w:line="500" w:lineRule="exact"/>
      <w:ind w:firstLine="200" w:firstLineChars="200"/>
    </w:pPr>
    <w:rPr>
      <w:rFonts w:cs="宋体"/>
      <w:sz w:val="24"/>
    </w:rPr>
  </w:style>
  <w:style w:type="character" w:customStyle="1" w:styleId="217">
    <w:name w:val="ssqiaz"/>
    <w:autoRedefine/>
    <w:qFormat/>
    <w:uiPriority w:val="0"/>
  </w:style>
  <w:style w:type="character" w:customStyle="1" w:styleId="218">
    <w:name w:val="表格标题 Char"/>
    <w:link w:val="219"/>
    <w:autoRedefine/>
    <w:qFormat/>
    <w:uiPriority w:val="0"/>
    <w:rPr>
      <w:b/>
      <w:color w:val="000000"/>
      <w:kern w:val="2"/>
      <w:sz w:val="21"/>
      <w:szCs w:val="21"/>
    </w:rPr>
  </w:style>
  <w:style w:type="paragraph" w:customStyle="1" w:styleId="219">
    <w:name w:val="表格标题"/>
    <w:basedOn w:val="1"/>
    <w:link w:val="218"/>
    <w:autoRedefine/>
    <w:qFormat/>
    <w:uiPriority w:val="0"/>
    <w:pPr>
      <w:snapToGrid w:val="0"/>
      <w:spacing w:before="120"/>
      <w:ind w:firstLine="1756" w:firstLineChars="833"/>
      <w:contextualSpacing/>
      <w:jc w:val="center"/>
    </w:pPr>
    <w:rPr>
      <w:b/>
      <w:color w:val="000000"/>
    </w:rPr>
  </w:style>
  <w:style w:type="character" w:customStyle="1" w:styleId="220">
    <w:name w:val="页眉1 Char"/>
    <w:autoRedefine/>
    <w:qFormat/>
    <w:uiPriority w:val="0"/>
    <w:rPr>
      <w:rFonts w:ascii="宋体" w:hAnsi="宋体" w:eastAsia="宋体" w:cs="宋体"/>
      <w:kern w:val="2"/>
      <w:sz w:val="18"/>
      <w:szCs w:val="18"/>
      <w:lang w:val="en-US" w:eastAsia="zh-CN" w:bidi="ar-SA"/>
    </w:rPr>
  </w:style>
  <w:style w:type="character" w:customStyle="1" w:styleId="221">
    <w:name w:val="c121"/>
    <w:autoRedefine/>
    <w:qFormat/>
    <w:uiPriority w:val="0"/>
    <w:rPr>
      <w:color w:val="666666"/>
      <w:sz w:val="18"/>
      <w:szCs w:val="18"/>
      <w:u w:val="none"/>
    </w:rPr>
  </w:style>
  <w:style w:type="character" w:customStyle="1" w:styleId="222">
    <w:name w:val="甲乙酮标题1 Char Char"/>
    <w:link w:val="223"/>
    <w:autoRedefine/>
    <w:qFormat/>
    <w:uiPriority w:val="0"/>
    <w:rPr>
      <w:b/>
      <w:bCs/>
      <w:kern w:val="44"/>
      <w:sz w:val="32"/>
      <w:szCs w:val="32"/>
    </w:rPr>
  </w:style>
  <w:style w:type="paragraph" w:customStyle="1" w:styleId="223">
    <w:name w:val="甲乙酮标题1"/>
    <w:basedOn w:val="6"/>
    <w:link w:val="222"/>
    <w:autoRedefine/>
    <w:qFormat/>
    <w:uiPriority w:val="0"/>
    <w:pPr>
      <w:keepLines/>
      <w:tabs>
        <w:tab w:val="left" w:pos="390"/>
      </w:tabs>
      <w:overflowPunct/>
      <w:snapToGrid/>
      <w:spacing w:after="140" w:line="480" w:lineRule="exact"/>
      <w:ind w:left="390" w:firstLine="0"/>
    </w:pPr>
    <w:rPr>
      <w:rFonts w:eastAsia="宋体"/>
      <w:color w:val="auto"/>
      <w:sz w:val="32"/>
      <w:szCs w:val="32"/>
    </w:rPr>
  </w:style>
  <w:style w:type="character" w:customStyle="1" w:styleId="224">
    <w:name w:val="contenttable1"/>
    <w:autoRedefine/>
    <w:qFormat/>
    <w:uiPriority w:val="0"/>
    <w:rPr>
      <w:rFonts w:hint="default" w:ascii="Arial" w:hAnsi="Arial" w:eastAsia="宋体" w:cs="Arial"/>
      <w:color w:val="000000"/>
      <w:kern w:val="2"/>
      <w:sz w:val="18"/>
      <w:szCs w:val="18"/>
      <w:u w:val="none"/>
      <w:lang w:val="en-US" w:eastAsia="zh-CN" w:bidi="ar-SA"/>
    </w:rPr>
  </w:style>
  <w:style w:type="character" w:customStyle="1" w:styleId="225">
    <w:name w:val="未确定 Char Char"/>
    <w:link w:val="226"/>
    <w:autoRedefine/>
    <w:qFormat/>
    <w:uiPriority w:val="0"/>
    <w:rPr>
      <w:color w:val="800080"/>
      <w:sz w:val="24"/>
      <w:szCs w:val="24"/>
    </w:rPr>
  </w:style>
  <w:style w:type="paragraph" w:customStyle="1" w:styleId="226">
    <w:name w:val="未确定"/>
    <w:basedOn w:val="1"/>
    <w:link w:val="225"/>
    <w:autoRedefine/>
    <w:qFormat/>
    <w:uiPriority w:val="0"/>
    <w:pPr>
      <w:spacing w:beforeLines="50" w:line="400" w:lineRule="exact"/>
      <w:ind w:firstLine="480" w:firstLineChars="200"/>
    </w:pPr>
    <w:rPr>
      <w:color w:val="800080"/>
      <w:kern w:val="0"/>
      <w:sz w:val="24"/>
    </w:rPr>
  </w:style>
  <w:style w:type="character" w:customStyle="1" w:styleId="227">
    <w:name w:val="16p"/>
    <w:autoRedefine/>
    <w:qFormat/>
    <w:uiPriority w:val="0"/>
  </w:style>
  <w:style w:type="character" w:customStyle="1" w:styleId="228">
    <w:name w:val="纯文本21"/>
    <w:autoRedefine/>
    <w:qFormat/>
    <w:uiPriority w:val="0"/>
    <w:rPr>
      <w:rFonts w:ascii="宋体" w:hAnsi="Courier New" w:eastAsia="宋体" w:cs="Courier New"/>
      <w:kern w:val="2"/>
      <w:sz w:val="21"/>
      <w:szCs w:val="21"/>
      <w:lang w:val="en-US" w:eastAsia="zh-CN" w:bidi="ar-SA"/>
    </w:rPr>
  </w:style>
  <w:style w:type="character" w:customStyle="1" w:styleId="229">
    <w:name w:val="图表名 大王 20100426 Char"/>
    <w:link w:val="230"/>
    <w:autoRedefine/>
    <w:qFormat/>
    <w:uiPriority w:val="0"/>
    <w:rPr>
      <w:rFonts w:ascii="宋体" w:hAnsi="宋体" w:cs="宋体"/>
      <w:b/>
      <w:bCs/>
      <w:snapToGrid/>
      <w:sz w:val="21"/>
    </w:rPr>
  </w:style>
  <w:style w:type="paragraph" w:customStyle="1" w:styleId="230">
    <w:name w:val="图表名 大王 20100426"/>
    <w:basedOn w:val="231"/>
    <w:link w:val="229"/>
    <w:autoRedefine/>
    <w:qFormat/>
    <w:uiPriority w:val="0"/>
    <w:pPr>
      <w:tabs>
        <w:tab w:val="left" w:pos="377"/>
      </w:tabs>
      <w:spacing w:before="120" w:after="120"/>
    </w:pPr>
    <w:rPr>
      <w:snapToGrid w:val="0"/>
    </w:rPr>
  </w:style>
  <w:style w:type="paragraph" w:customStyle="1" w:styleId="231">
    <w:name w:val="图表标题-大王"/>
    <w:basedOn w:val="1"/>
    <w:link w:val="232"/>
    <w:autoRedefine/>
    <w:qFormat/>
    <w:uiPriority w:val="0"/>
    <w:pPr>
      <w:widowControl/>
      <w:tabs>
        <w:tab w:val="left" w:pos="377"/>
      </w:tabs>
      <w:spacing w:beforeLines="50" w:afterLines="50"/>
      <w:jc w:val="center"/>
    </w:pPr>
    <w:rPr>
      <w:rFonts w:ascii="宋体" w:hAnsi="宋体" w:cs="宋体"/>
      <w:b/>
      <w:bCs/>
      <w:kern w:val="0"/>
      <w:szCs w:val="20"/>
    </w:rPr>
  </w:style>
  <w:style w:type="character" w:customStyle="1" w:styleId="232">
    <w:name w:val="图表标题-大王 Char"/>
    <w:link w:val="231"/>
    <w:autoRedefine/>
    <w:qFormat/>
    <w:uiPriority w:val="0"/>
    <w:rPr>
      <w:rFonts w:ascii="宋体" w:hAnsi="宋体" w:cs="宋体"/>
      <w:b/>
      <w:bCs/>
      <w:sz w:val="21"/>
    </w:rPr>
  </w:style>
  <w:style w:type="character" w:customStyle="1" w:styleId="233">
    <w:name w:val="9css21"/>
    <w:autoRedefine/>
    <w:qFormat/>
    <w:uiPriority w:val="0"/>
    <w:rPr>
      <w:spacing w:val="268"/>
      <w:sz w:val="20"/>
      <w:szCs w:val="20"/>
    </w:rPr>
  </w:style>
  <w:style w:type="character" w:customStyle="1" w:styleId="234">
    <w:name w:val="公示 Char Char"/>
    <w:link w:val="235"/>
    <w:autoRedefine/>
    <w:qFormat/>
    <w:uiPriority w:val="0"/>
  </w:style>
  <w:style w:type="paragraph" w:customStyle="1" w:styleId="235">
    <w:name w:val="公示"/>
    <w:basedOn w:val="1"/>
    <w:link w:val="234"/>
    <w:autoRedefine/>
    <w:qFormat/>
    <w:uiPriority w:val="0"/>
    <w:pPr>
      <w:spacing w:line="360" w:lineRule="auto"/>
      <w:ind w:firstLine="200" w:firstLineChars="200"/>
      <w:jc w:val="center"/>
    </w:pPr>
    <w:rPr>
      <w:kern w:val="0"/>
      <w:sz w:val="20"/>
      <w:szCs w:val="20"/>
    </w:rPr>
  </w:style>
  <w:style w:type="character" w:customStyle="1" w:styleId="236">
    <w:name w:val="style51"/>
    <w:autoRedefine/>
    <w:qFormat/>
    <w:uiPriority w:val="0"/>
    <w:rPr>
      <w:color w:val="000000"/>
      <w:sz w:val="36"/>
      <w:szCs w:val="36"/>
    </w:rPr>
  </w:style>
  <w:style w:type="character" w:customStyle="1" w:styleId="237">
    <w:name w:val="表格内文字 Char Char"/>
    <w:autoRedefine/>
    <w:qFormat/>
    <w:uiPriority w:val="0"/>
    <w:rPr>
      <w:rFonts w:eastAsia="仿宋_GB2312"/>
      <w:sz w:val="24"/>
      <w:szCs w:val="24"/>
      <w:lang w:bidi="ar-SA"/>
    </w:rPr>
  </w:style>
  <w:style w:type="character" w:customStyle="1" w:styleId="238">
    <w:name w:val="表头1 Char"/>
    <w:link w:val="239"/>
    <w:autoRedefine/>
    <w:qFormat/>
    <w:uiPriority w:val="0"/>
    <w:rPr>
      <w:rFonts w:eastAsia="黑体"/>
      <w:sz w:val="21"/>
      <w:szCs w:val="21"/>
    </w:rPr>
  </w:style>
  <w:style w:type="paragraph" w:customStyle="1" w:styleId="239">
    <w:name w:val="表头1"/>
    <w:basedOn w:val="1"/>
    <w:next w:val="1"/>
    <w:link w:val="238"/>
    <w:autoRedefine/>
    <w:qFormat/>
    <w:uiPriority w:val="0"/>
    <w:pPr>
      <w:tabs>
        <w:tab w:val="left" w:pos="605"/>
      </w:tabs>
      <w:adjustRightInd w:val="0"/>
      <w:snapToGrid w:val="0"/>
      <w:jc w:val="center"/>
    </w:pPr>
    <w:rPr>
      <w:rFonts w:eastAsia="黑体"/>
      <w:kern w:val="0"/>
    </w:rPr>
  </w:style>
  <w:style w:type="character" w:customStyle="1" w:styleId="240">
    <w:name w:val="type021"/>
    <w:autoRedefine/>
    <w:qFormat/>
    <w:uiPriority w:val="0"/>
    <w:rPr>
      <w:color w:val="000000"/>
      <w:sz w:val="18"/>
      <w:szCs w:val="18"/>
    </w:rPr>
  </w:style>
  <w:style w:type="character" w:customStyle="1" w:styleId="241">
    <w:name w:val="表蕊居中 Char Char"/>
    <w:link w:val="242"/>
    <w:autoRedefine/>
    <w:qFormat/>
    <w:uiPriority w:val="0"/>
    <w:rPr>
      <w:color w:val="FF0000"/>
      <w:spacing w:val="-10"/>
      <w:szCs w:val="21"/>
    </w:rPr>
  </w:style>
  <w:style w:type="paragraph" w:customStyle="1" w:styleId="242">
    <w:name w:val="表蕊居中"/>
    <w:basedOn w:val="1"/>
    <w:link w:val="241"/>
    <w:autoRedefine/>
    <w:qFormat/>
    <w:uiPriority w:val="0"/>
    <w:pPr>
      <w:adjustRightInd w:val="0"/>
      <w:spacing w:line="280" w:lineRule="atLeast"/>
      <w:jc w:val="center"/>
      <w:textAlignment w:val="baseline"/>
    </w:pPr>
    <w:rPr>
      <w:color w:val="FF0000"/>
      <w:spacing w:val="-10"/>
      <w:kern w:val="0"/>
      <w:sz w:val="20"/>
    </w:rPr>
  </w:style>
  <w:style w:type="character" w:customStyle="1" w:styleId="243">
    <w:name w:val="articlebody1"/>
    <w:autoRedefine/>
    <w:qFormat/>
    <w:uiPriority w:val="0"/>
    <w:rPr>
      <w:rFonts w:ascii="宋体" w:hAnsi="宋体" w:eastAsia="宋体" w:cs="宋体"/>
      <w:color w:val="333333"/>
      <w:kern w:val="2"/>
      <w:sz w:val="21"/>
      <w:szCs w:val="21"/>
      <w:lang w:val="en-US" w:eastAsia="zh-CN" w:bidi="ar-SA"/>
    </w:rPr>
  </w:style>
  <w:style w:type="character" w:customStyle="1" w:styleId="244">
    <w:name w:val="标题 3 Char1"/>
    <w:autoRedefine/>
    <w:qFormat/>
    <w:uiPriority w:val="0"/>
    <w:rPr>
      <w:rFonts w:ascii="宋体" w:hAnsi="宋体" w:eastAsia="宋体" w:cs="宋体"/>
      <w:b/>
      <w:bCs/>
      <w:caps/>
      <w:color w:val="000000"/>
      <w:kern w:val="2"/>
      <w:sz w:val="28"/>
      <w:szCs w:val="24"/>
      <w:lang w:val="zh-CN" w:eastAsia="zh-CN" w:bidi="ar-SA"/>
    </w:rPr>
  </w:style>
  <w:style w:type="character" w:customStyle="1" w:styleId="245">
    <w:name w:val="apple-style-span"/>
    <w:autoRedefine/>
    <w:qFormat/>
    <w:uiPriority w:val="0"/>
    <w:rPr>
      <w:rFonts w:ascii="宋体" w:hAnsi="宋体" w:eastAsia="宋体" w:cs="宋体"/>
      <w:kern w:val="2"/>
      <w:sz w:val="24"/>
      <w:szCs w:val="24"/>
      <w:lang w:val="en-US" w:eastAsia="zh-CN" w:bidi="ar-SA"/>
    </w:rPr>
  </w:style>
  <w:style w:type="character" w:customStyle="1" w:styleId="246">
    <w:name w:val="ssmj9"/>
    <w:autoRedefine/>
    <w:qFormat/>
    <w:uiPriority w:val="0"/>
  </w:style>
  <w:style w:type="character" w:customStyle="1" w:styleId="247">
    <w:name w:val="sfrxxz"/>
    <w:autoRedefine/>
    <w:qFormat/>
    <w:uiPriority w:val="0"/>
  </w:style>
  <w:style w:type="character" w:customStyle="1" w:styleId="248">
    <w:name w:val="无间隔 字符"/>
    <w:link w:val="249"/>
    <w:autoRedefine/>
    <w:qFormat/>
    <w:uiPriority w:val="0"/>
    <w:rPr>
      <w:rFonts w:ascii="Calibri" w:hAnsi="Calibri"/>
      <w:sz w:val="24"/>
      <w:szCs w:val="32"/>
      <w:lang w:eastAsia="en-US" w:bidi="en-US"/>
    </w:rPr>
  </w:style>
  <w:style w:type="paragraph" w:styleId="249">
    <w:name w:val="No Spacing"/>
    <w:basedOn w:val="1"/>
    <w:link w:val="248"/>
    <w:autoRedefine/>
    <w:qFormat/>
    <w:uiPriority w:val="0"/>
    <w:pPr>
      <w:widowControl/>
      <w:jc w:val="left"/>
    </w:pPr>
    <w:rPr>
      <w:rFonts w:ascii="Calibri" w:hAnsi="Calibri"/>
      <w:kern w:val="0"/>
      <w:sz w:val="24"/>
      <w:szCs w:val="32"/>
      <w:lang w:eastAsia="en-US" w:bidi="en-US"/>
    </w:rPr>
  </w:style>
  <w:style w:type="character" w:customStyle="1" w:styleId="250">
    <w:name w:val="news_line"/>
    <w:autoRedefine/>
    <w:qFormat/>
    <w:uiPriority w:val="0"/>
    <w:rPr>
      <w:rFonts w:ascii="宋体" w:hAnsi="宋体" w:eastAsia="宋体" w:cs="宋体"/>
      <w:kern w:val="2"/>
      <w:sz w:val="24"/>
      <w:szCs w:val="24"/>
      <w:lang w:val="en-US" w:eastAsia="zh-CN" w:bidi="ar-SA"/>
    </w:rPr>
  </w:style>
  <w:style w:type="character" w:customStyle="1" w:styleId="251">
    <w:name w:val="正文缩进2"/>
    <w:autoRedefine/>
    <w:qFormat/>
    <w:uiPriority w:val="0"/>
    <w:rPr>
      <w:rFonts w:ascii="仿宋_GB2312" w:eastAsia="仿宋_GB2312"/>
      <w:kern w:val="2"/>
      <w:sz w:val="28"/>
      <w:szCs w:val="24"/>
      <w:lang w:val="en-US" w:eastAsia="zh-CN" w:bidi="ar-SA"/>
    </w:rPr>
  </w:style>
  <w:style w:type="character" w:customStyle="1" w:styleId="252">
    <w:name w:val="正文文本 字符1"/>
    <w:autoRedefine/>
    <w:semiHidden/>
    <w:qFormat/>
    <w:uiPriority w:val="0"/>
    <w:rPr>
      <w:rFonts w:ascii="Times New Roman" w:hAnsi="Times New Roman" w:eastAsia="宋体"/>
      <w:sz w:val="24"/>
    </w:rPr>
  </w:style>
  <w:style w:type="character" w:customStyle="1" w:styleId="253">
    <w:name w:val="241"/>
    <w:autoRedefine/>
    <w:qFormat/>
    <w:uiPriority w:val="0"/>
    <w:rPr>
      <w:rFonts w:ascii="宋体" w:hAnsi="宋体" w:eastAsia="宋体" w:cs="宋体"/>
      <w:kern w:val="2"/>
      <w:sz w:val="24"/>
      <w:szCs w:val="24"/>
      <w:lang w:val="en-US" w:eastAsia="zh-CN" w:bidi="ar-SA"/>
    </w:rPr>
  </w:style>
  <w:style w:type="character" w:customStyle="1" w:styleId="254">
    <w:name w:val="样式84 Char Char"/>
    <w:link w:val="255"/>
    <w:autoRedefine/>
    <w:qFormat/>
    <w:uiPriority w:val="0"/>
    <w:rPr>
      <w:rFonts w:ascii="宋体" w:hAnsi="宋体"/>
      <w:color w:val="000000"/>
      <w:sz w:val="24"/>
      <w:szCs w:val="24"/>
    </w:rPr>
  </w:style>
  <w:style w:type="paragraph" w:customStyle="1" w:styleId="255">
    <w:name w:val="样式84"/>
    <w:basedOn w:val="1"/>
    <w:link w:val="254"/>
    <w:autoRedefine/>
    <w:qFormat/>
    <w:uiPriority w:val="0"/>
    <w:pPr>
      <w:snapToGrid w:val="0"/>
      <w:spacing w:line="520" w:lineRule="exact"/>
      <w:ind w:firstLine="560" w:firstLineChars="200"/>
    </w:pPr>
    <w:rPr>
      <w:rFonts w:ascii="宋体" w:hAnsi="宋体"/>
      <w:color w:val="000000"/>
      <w:kern w:val="0"/>
      <w:sz w:val="24"/>
    </w:rPr>
  </w:style>
  <w:style w:type="character" w:customStyle="1" w:styleId="256">
    <w:name w:val="广石化正文 Char"/>
    <w:link w:val="257"/>
    <w:autoRedefine/>
    <w:qFormat/>
    <w:uiPriority w:val="0"/>
    <w:rPr>
      <w:rFonts w:ascii="宋体" w:hAnsi="宋体"/>
      <w:kern w:val="2"/>
      <w:sz w:val="28"/>
      <w:szCs w:val="28"/>
    </w:rPr>
  </w:style>
  <w:style w:type="paragraph" w:customStyle="1" w:styleId="257">
    <w:name w:val="广石化正文"/>
    <w:basedOn w:val="1"/>
    <w:link w:val="256"/>
    <w:autoRedefine/>
    <w:qFormat/>
    <w:uiPriority w:val="0"/>
    <w:pPr>
      <w:tabs>
        <w:tab w:val="left" w:pos="6520"/>
        <w:tab w:val="left" w:leader="dot" w:pos="8220"/>
      </w:tabs>
      <w:spacing w:line="520" w:lineRule="exact"/>
      <w:ind w:firstLine="538" w:firstLineChars="192"/>
    </w:pPr>
    <w:rPr>
      <w:rFonts w:ascii="宋体" w:hAnsi="宋体"/>
      <w:sz w:val="28"/>
      <w:szCs w:val="28"/>
    </w:rPr>
  </w:style>
  <w:style w:type="character" w:customStyle="1" w:styleId="258">
    <w:name w:val="脚注文本 字符1"/>
    <w:autoRedefine/>
    <w:qFormat/>
    <w:uiPriority w:val="0"/>
    <w:rPr>
      <w:kern w:val="2"/>
      <w:sz w:val="18"/>
      <w:szCs w:val="18"/>
    </w:rPr>
  </w:style>
  <w:style w:type="character" w:customStyle="1" w:styleId="259">
    <w:name w:val="批注文字 字符1"/>
    <w:autoRedefine/>
    <w:semiHidden/>
    <w:qFormat/>
    <w:uiPriority w:val="0"/>
    <w:rPr>
      <w:rFonts w:ascii="Times New Roman" w:hAnsi="Times New Roman" w:eastAsia="宋体"/>
      <w:sz w:val="24"/>
    </w:rPr>
  </w:style>
  <w:style w:type="character" w:customStyle="1" w:styleId="260">
    <w:name w:val="文章正文样式 Char"/>
    <w:link w:val="261"/>
    <w:autoRedefine/>
    <w:qFormat/>
    <w:uiPriority w:val="0"/>
    <w:rPr>
      <w:rFonts w:ascii="宋体" w:hAnsi="宋体" w:cs="宋体"/>
      <w:kern w:val="2"/>
      <w:sz w:val="24"/>
    </w:rPr>
  </w:style>
  <w:style w:type="paragraph" w:customStyle="1" w:styleId="261">
    <w:name w:val="文章正文样式"/>
    <w:basedOn w:val="1"/>
    <w:link w:val="260"/>
    <w:autoRedefine/>
    <w:qFormat/>
    <w:uiPriority w:val="0"/>
    <w:pPr>
      <w:spacing w:line="520" w:lineRule="exact"/>
      <w:ind w:firstLine="480" w:firstLineChars="200"/>
      <w:jc w:val="left"/>
    </w:pPr>
    <w:rPr>
      <w:rFonts w:ascii="宋体" w:hAnsi="宋体" w:cs="宋体"/>
      <w:sz w:val="24"/>
      <w:szCs w:val="20"/>
    </w:rPr>
  </w:style>
  <w:style w:type="character" w:customStyle="1" w:styleId="262">
    <w:name w:val="标题2"/>
    <w:autoRedefine/>
    <w:qFormat/>
    <w:uiPriority w:val="0"/>
  </w:style>
  <w:style w:type="character" w:customStyle="1" w:styleId="263">
    <w:name w:val="样式7 Char Char"/>
    <w:link w:val="264"/>
    <w:autoRedefine/>
    <w:qFormat/>
    <w:uiPriority w:val="0"/>
    <w:rPr>
      <w:rFonts w:ascii="宋体" w:hAnsi="宋体"/>
      <w:color w:val="000000"/>
      <w:sz w:val="24"/>
      <w:szCs w:val="24"/>
    </w:rPr>
  </w:style>
  <w:style w:type="paragraph" w:customStyle="1" w:styleId="264">
    <w:name w:val="样式7"/>
    <w:basedOn w:val="1"/>
    <w:next w:val="1"/>
    <w:link w:val="263"/>
    <w:autoRedefine/>
    <w:qFormat/>
    <w:uiPriority w:val="0"/>
    <w:pPr>
      <w:spacing w:line="360" w:lineRule="auto"/>
      <w:ind w:firstLine="480" w:firstLineChars="200"/>
    </w:pPr>
    <w:rPr>
      <w:rFonts w:ascii="宋体" w:hAnsi="宋体"/>
      <w:color w:val="000000"/>
      <w:kern w:val="0"/>
      <w:sz w:val="24"/>
    </w:rPr>
  </w:style>
  <w:style w:type="character" w:customStyle="1" w:styleId="265">
    <w:name w:val="样式5 Char Char"/>
    <w:link w:val="100"/>
    <w:autoRedefine/>
    <w:qFormat/>
    <w:uiPriority w:val="0"/>
    <w:rPr>
      <w:rFonts w:ascii="宋体"/>
      <w:szCs w:val="21"/>
    </w:rPr>
  </w:style>
  <w:style w:type="character" w:customStyle="1" w:styleId="266">
    <w:name w:val="正文1 Char"/>
    <w:link w:val="101"/>
    <w:autoRedefine/>
    <w:qFormat/>
    <w:uiPriority w:val="0"/>
    <w:rPr>
      <w:kern w:val="2"/>
      <w:sz w:val="28"/>
      <w:szCs w:val="24"/>
    </w:rPr>
  </w:style>
  <w:style w:type="character" w:customStyle="1" w:styleId="267">
    <w:name w:val="unnamed21"/>
    <w:autoRedefine/>
    <w:qFormat/>
    <w:uiPriority w:val="0"/>
    <w:rPr>
      <w:rFonts w:ascii="宋体" w:hAnsi="宋体" w:eastAsia="宋体" w:cs="宋体"/>
      <w:kern w:val="2"/>
      <w:sz w:val="18"/>
      <w:szCs w:val="18"/>
      <w:lang w:val="en-US" w:eastAsia="zh-CN" w:bidi="ar-SA"/>
    </w:rPr>
  </w:style>
  <w:style w:type="character" w:customStyle="1" w:styleId="268">
    <w:name w:val="表格填充1 Char"/>
    <w:link w:val="269"/>
    <w:autoRedefine/>
    <w:qFormat/>
    <w:uiPriority w:val="0"/>
    <w:rPr>
      <w:snapToGrid/>
      <w:kern w:val="2"/>
      <w:sz w:val="24"/>
      <w:szCs w:val="18"/>
    </w:rPr>
  </w:style>
  <w:style w:type="paragraph" w:customStyle="1" w:styleId="269">
    <w:name w:val="表格填充1"/>
    <w:basedOn w:val="1"/>
    <w:link w:val="268"/>
    <w:autoRedefine/>
    <w:semiHidden/>
    <w:qFormat/>
    <w:uiPriority w:val="0"/>
    <w:pPr>
      <w:adjustRightInd w:val="0"/>
      <w:snapToGrid w:val="0"/>
      <w:spacing w:line="400" w:lineRule="exact"/>
      <w:jc w:val="center"/>
    </w:pPr>
    <w:rPr>
      <w:snapToGrid w:val="0"/>
      <w:sz w:val="24"/>
      <w:szCs w:val="18"/>
    </w:rPr>
  </w:style>
  <w:style w:type="character" w:customStyle="1" w:styleId="270">
    <w:name w:val="Char Char6"/>
    <w:autoRedefine/>
    <w:qFormat/>
    <w:uiPriority w:val="0"/>
    <w:rPr>
      <w:rFonts w:ascii="宋体" w:hAnsi="宋体" w:eastAsia="宋体" w:cs="宋体"/>
      <w:b/>
      <w:bCs/>
      <w:i/>
      <w:iCs/>
      <w:kern w:val="2"/>
      <w:sz w:val="26"/>
      <w:szCs w:val="26"/>
      <w:lang w:val="en-US" w:eastAsia="zh-CN" w:bidi="ar-SA"/>
    </w:rPr>
  </w:style>
  <w:style w:type="character" w:customStyle="1" w:styleId="271">
    <w:name w:val="标题 4 Char4"/>
    <w:autoRedefine/>
    <w:qFormat/>
    <w:uiPriority w:val="0"/>
    <w:rPr>
      <w:rFonts w:ascii="宋体" w:hAnsi="宋体" w:eastAsia="宋体" w:cs="宋体"/>
      <w:b/>
      <w:snapToGrid/>
      <w:kern w:val="2"/>
      <w:sz w:val="24"/>
      <w:szCs w:val="24"/>
      <w:lang w:val="en-GB" w:eastAsia="zh-CN" w:bidi="ar-SA"/>
    </w:rPr>
  </w:style>
  <w:style w:type="character" w:customStyle="1" w:styleId="272">
    <w:name w:val="Footer1 Char Char"/>
    <w:autoRedefine/>
    <w:qFormat/>
    <w:uiPriority w:val="0"/>
    <w:rPr>
      <w:rFonts w:eastAsia="宋体"/>
      <w:kern w:val="2"/>
      <w:sz w:val="18"/>
      <w:szCs w:val="18"/>
      <w:lang w:val="en-US" w:eastAsia="zh-CN" w:bidi="ar-SA"/>
    </w:rPr>
  </w:style>
  <w:style w:type="character" w:customStyle="1" w:styleId="273">
    <w:name w:val="公式 Char Char"/>
    <w:link w:val="274"/>
    <w:autoRedefine/>
    <w:qFormat/>
    <w:uiPriority w:val="0"/>
    <w:rPr>
      <w:rFonts w:ascii="宋体"/>
      <w:kern w:val="16"/>
      <w:sz w:val="24"/>
    </w:rPr>
  </w:style>
  <w:style w:type="paragraph" w:customStyle="1" w:styleId="274">
    <w:name w:val="公式"/>
    <w:basedOn w:val="1"/>
    <w:link w:val="273"/>
    <w:autoRedefine/>
    <w:qFormat/>
    <w:uiPriority w:val="0"/>
    <w:pPr>
      <w:adjustRightInd w:val="0"/>
      <w:spacing w:before="240" w:after="240" w:line="480" w:lineRule="exact"/>
      <w:ind w:firstLine="200" w:firstLineChars="200"/>
      <w:jc w:val="center"/>
      <w:textAlignment w:val="baseline"/>
    </w:pPr>
    <w:rPr>
      <w:rFonts w:ascii="宋体"/>
      <w:kern w:val="16"/>
      <w:sz w:val="24"/>
      <w:szCs w:val="20"/>
    </w:rPr>
  </w:style>
  <w:style w:type="character" w:customStyle="1" w:styleId="275">
    <w:name w:val="style2_title1"/>
    <w:autoRedefine/>
    <w:qFormat/>
    <w:uiPriority w:val="0"/>
    <w:rPr>
      <w:b/>
      <w:bCs/>
      <w:sz w:val="25"/>
      <w:szCs w:val="25"/>
    </w:rPr>
  </w:style>
  <w:style w:type="character" w:customStyle="1" w:styleId="276">
    <w:name w:val="表格题目 Char"/>
    <w:link w:val="277"/>
    <w:autoRedefine/>
    <w:qFormat/>
    <w:uiPriority w:val="0"/>
    <w:rPr>
      <w:rFonts w:ascii="宋体" w:hAnsi="宋体"/>
      <w:sz w:val="24"/>
      <w:szCs w:val="24"/>
    </w:rPr>
  </w:style>
  <w:style w:type="paragraph" w:customStyle="1" w:styleId="277">
    <w:name w:val="表格题目"/>
    <w:basedOn w:val="1"/>
    <w:link w:val="276"/>
    <w:autoRedefine/>
    <w:qFormat/>
    <w:uiPriority w:val="0"/>
    <w:pPr>
      <w:spacing w:line="360" w:lineRule="auto"/>
      <w:ind w:firstLine="480" w:firstLineChars="200"/>
    </w:pPr>
    <w:rPr>
      <w:rFonts w:ascii="宋体" w:hAnsi="宋体"/>
      <w:kern w:val="0"/>
      <w:sz w:val="24"/>
      <w:shd w:val="clear" w:color="auto" w:fill="FFFFFF"/>
    </w:rPr>
  </w:style>
  <w:style w:type="character" w:customStyle="1" w:styleId="278">
    <w:name w:val="表格 Char Char"/>
    <w:autoRedefine/>
    <w:qFormat/>
    <w:uiPriority w:val="0"/>
    <w:rPr>
      <w:kern w:val="2"/>
      <w:sz w:val="24"/>
      <w:szCs w:val="24"/>
      <w:lang w:bidi="ar-SA"/>
    </w:rPr>
  </w:style>
  <w:style w:type="character" w:customStyle="1" w:styleId="279">
    <w:name w:val="text_edit editable-title"/>
    <w:autoRedefine/>
    <w:qFormat/>
    <w:uiPriority w:val="0"/>
  </w:style>
  <w:style w:type="character" w:customStyle="1" w:styleId="280">
    <w:name w:val="s c c"/>
    <w:autoRedefine/>
    <w:qFormat/>
    <w:uiPriority w:val="0"/>
  </w:style>
  <w:style w:type="character" w:customStyle="1" w:styleId="281">
    <w:name w:val="tpc_content1"/>
    <w:autoRedefine/>
    <w:qFormat/>
    <w:uiPriority w:val="0"/>
    <w:rPr>
      <w:rFonts w:ascii="宋体" w:hAnsi="宋体" w:eastAsia="宋体" w:cs="宋体"/>
      <w:kern w:val="2"/>
      <w:sz w:val="24"/>
      <w:szCs w:val="24"/>
      <w:lang w:val="en-US" w:eastAsia="zh-CN" w:bidi="ar-SA"/>
    </w:rPr>
  </w:style>
  <w:style w:type="character" w:customStyle="1" w:styleId="282">
    <w:name w:val="样式16 Char Char"/>
    <w:link w:val="283"/>
    <w:autoRedefine/>
    <w:qFormat/>
    <w:uiPriority w:val="0"/>
    <w:rPr>
      <w:rFonts w:eastAsia="楷体_GB2312"/>
      <w:b/>
      <w:bCs/>
      <w:color w:val="000000"/>
      <w:sz w:val="32"/>
      <w:szCs w:val="32"/>
    </w:rPr>
  </w:style>
  <w:style w:type="paragraph" w:customStyle="1" w:styleId="283">
    <w:name w:val="样式16"/>
    <w:basedOn w:val="6"/>
    <w:link w:val="282"/>
    <w:autoRedefine/>
    <w:qFormat/>
    <w:uiPriority w:val="0"/>
    <w:pPr>
      <w:tabs>
        <w:tab w:val="left" w:pos="390"/>
      </w:tabs>
      <w:overflowPunct/>
      <w:snapToGrid/>
      <w:spacing w:before="340" w:beforeLines="100" w:after="330" w:afterLines="100" w:line="240" w:lineRule="auto"/>
      <w:ind w:left="390" w:firstLine="0"/>
      <w:jc w:val="center"/>
    </w:pPr>
    <w:rPr>
      <w:rFonts w:eastAsia="楷体_GB2312"/>
      <w:kern w:val="0"/>
      <w:sz w:val="32"/>
      <w:szCs w:val="32"/>
    </w:rPr>
  </w:style>
  <w:style w:type="character" w:customStyle="1" w:styleId="284">
    <w:name w:val="su21"/>
    <w:autoRedefine/>
    <w:qFormat/>
    <w:uiPriority w:val="0"/>
  </w:style>
  <w:style w:type="character" w:customStyle="1" w:styleId="285">
    <w:name w:val="文本 Char Char"/>
    <w:link w:val="286"/>
    <w:autoRedefine/>
    <w:qFormat/>
    <w:uiPriority w:val="0"/>
    <w:rPr>
      <w:rFonts w:ascii="宋体" w:hAnsi="宋体"/>
      <w:sz w:val="24"/>
      <w:szCs w:val="24"/>
    </w:rPr>
  </w:style>
  <w:style w:type="paragraph" w:customStyle="1" w:styleId="286">
    <w:name w:val="文本"/>
    <w:basedOn w:val="1"/>
    <w:link w:val="285"/>
    <w:autoRedefine/>
    <w:qFormat/>
    <w:uiPriority w:val="0"/>
    <w:pPr>
      <w:spacing w:after="60" w:line="440" w:lineRule="exact"/>
      <w:ind w:firstLine="480" w:firstLineChars="200"/>
    </w:pPr>
    <w:rPr>
      <w:rFonts w:ascii="宋体" w:hAnsi="宋体"/>
      <w:kern w:val="0"/>
      <w:sz w:val="24"/>
    </w:rPr>
  </w:style>
  <w:style w:type="character" w:customStyle="1" w:styleId="287">
    <w:name w:val="样式19 Char Char"/>
    <w:link w:val="288"/>
    <w:autoRedefine/>
    <w:qFormat/>
    <w:uiPriority w:val="0"/>
    <w:rPr>
      <w:b/>
      <w:bCs/>
      <w:kern w:val="44"/>
      <w:sz w:val="32"/>
      <w:szCs w:val="44"/>
    </w:rPr>
  </w:style>
  <w:style w:type="paragraph" w:customStyle="1" w:styleId="288">
    <w:name w:val="样式19"/>
    <w:basedOn w:val="6"/>
    <w:link w:val="287"/>
    <w:autoRedefine/>
    <w:qFormat/>
    <w:uiPriority w:val="0"/>
    <w:pPr>
      <w:keepLines/>
      <w:numPr>
        <w:ilvl w:val="0"/>
        <w:numId w:val="2"/>
      </w:numPr>
      <w:overflowPunct/>
      <w:snapToGrid/>
      <w:spacing w:before="0" w:after="0" w:line="360" w:lineRule="auto"/>
    </w:pPr>
    <w:rPr>
      <w:rFonts w:eastAsia="宋体"/>
      <w:color w:val="auto"/>
      <w:sz w:val="32"/>
      <w:szCs w:val="44"/>
    </w:rPr>
  </w:style>
  <w:style w:type="character" w:customStyle="1" w:styleId="289">
    <w:name w:val="source"/>
    <w:autoRedefine/>
    <w:qFormat/>
    <w:uiPriority w:val="0"/>
  </w:style>
  <w:style w:type="character" w:customStyle="1" w:styleId="290">
    <w:name w:val="表内字 Char1"/>
    <w:link w:val="291"/>
    <w:autoRedefine/>
    <w:qFormat/>
    <w:uiPriority w:val="0"/>
    <w:rPr>
      <w:kern w:val="2"/>
      <w:sz w:val="21"/>
    </w:rPr>
  </w:style>
  <w:style w:type="paragraph" w:customStyle="1" w:styleId="291">
    <w:name w:val="表内字"/>
    <w:link w:val="290"/>
    <w:autoRedefine/>
    <w:qFormat/>
    <w:uiPriority w:val="0"/>
    <w:pPr>
      <w:spacing w:before="80" w:after="80"/>
      <w:jc w:val="both"/>
    </w:pPr>
    <w:rPr>
      <w:rFonts w:ascii="Times New Roman" w:hAnsi="Times New Roman" w:eastAsia="宋体" w:cs="Times New Roman"/>
      <w:kern w:val="2"/>
      <w:sz w:val="21"/>
      <w:lang w:val="en-US" w:eastAsia="zh-CN" w:bidi="ar-SA"/>
    </w:rPr>
  </w:style>
  <w:style w:type="character" w:customStyle="1" w:styleId="292">
    <w:name w:val="标题 2 Char"/>
    <w:autoRedefine/>
    <w:qFormat/>
    <w:uiPriority w:val="9"/>
    <w:rPr>
      <w:rFonts w:ascii="Cambria" w:hAnsi="Cambria" w:eastAsia="宋体" w:cs="Times New Roman"/>
      <w:b/>
      <w:bCs/>
      <w:sz w:val="32"/>
      <w:szCs w:val="32"/>
    </w:rPr>
  </w:style>
  <w:style w:type="character" w:customStyle="1" w:styleId="293">
    <w:name w:val="报告书正文 Char1"/>
    <w:link w:val="294"/>
    <w:autoRedefine/>
    <w:qFormat/>
    <w:uiPriority w:val="0"/>
    <w:rPr>
      <w:sz w:val="18"/>
      <w:szCs w:val="18"/>
      <w:lang w:val="zh-CN"/>
    </w:rPr>
  </w:style>
  <w:style w:type="paragraph" w:customStyle="1" w:styleId="294">
    <w:name w:val="报告书正文"/>
    <w:basedOn w:val="1"/>
    <w:link w:val="293"/>
    <w:autoRedefine/>
    <w:qFormat/>
    <w:uiPriority w:val="0"/>
    <w:pPr>
      <w:adjustRightInd w:val="0"/>
      <w:spacing w:beforeLines="50" w:line="360" w:lineRule="auto"/>
      <w:ind w:firstLine="480" w:firstLineChars="200"/>
      <w:textAlignment w:val="baseline"/>
    </w:pPr>
    <w:rPr>
      <w:kern w:val="0"/>
      <w:sz w:val="18"/>
      <w:szCs w:val="18"/>
      <w:lang w:val="zh-CN"/>
    </w:rPr>
  </w:style>
  <w:style w:type="character" w:customStyle="1" w:styleId="295">
    <w:name w:val="css-text3"/>
    <w:autoRedefine/>
    <w:qFormat/>
    <w:uiPriority w:val="0"/>
  </w:style>
  <w:style w:type="character" w:customStyle="1" w:styleId="296">
    <w:name w:val="样式 标题 3H31.1.1标题 3条标题1.1.1h3level_3PIM 3Level 3 HeadHead...1 Char Char"/>
    <w:link w:val="297"/>
    <w:autoRedefine/>
    <w:qFormat/>
    <w:uiPriority w:val="0"/>
    <w:rPr>
      <w:rFonts w:ascii="黑体" w:hAnsi="黑体" w:eastAsia="黑体"/>
      <w:b/>
      <w:bCs/>
      <w:sz w:val="28"/>
      <w:szCs w:val="32"/>
    </w:rPr>
  </w:style>
  <w:style w:type="paragraph" w:customStyle="1" w:styleId="297">
    <w:name w:val="样式 标题 3H31.1.1标题 3条标题1.1.1h3level_3PIM 3Level 3 HeadHead...1"/>
    <w:basedOn w:val="8"/>
    <w:link w:val="296"/>
    <w:autoRedefine/>
    <w:qFormat/>
    <w:uiPriority w:val="0"/>
    <w:pPr>
      <w:tabs>
        <w:tab w:val="left" w:pos="1260"/>
      </w:tabs>
      <w:ind w:left="1260" w:hanging="420"/>
    </w:pPr>
    <w:rPr>
      <w:rFonts w:ascii="黑体" w:hAnsi="黑体" w:eastAsia="黑体"/>
      <w:kern w:val="0"/>
      <w:sz w:val="28"/>
    </w:rPr>
  </w:style>
  <w:style w:type="character" w:customStyle="1" w:styleId="298">
    <w:name w:val="默认段落字体 Para Char Char Char Char Char"/>
    <w:link w:val="299"/>
    <w:autoRedefine/>
    <w:qFormat/>
    <w:uiPriority w:val="0"/>
    <w:rPr>
      <w:kern w:val="2"/>
      <w:sz w:val="21"/>
      <w:szCs w:val="21"/>
    </w:rPr>
  </w:style>
  <w:style w:type="paragraph" w:customStyle="1" w:styleId="299">
    <w:name w:val="默认段落字体 Para Char Char Char Char"/>
    <w:basedOn w:val="1"/>
    <w:link w:val="298"/>
    <w:autoRedefine/>
    <w:qFormat/>
    <w:uiPriority w:val="0"/>
  </w:style>
  <w:style w:type="character" w:customStyle="1" w:styleId="300">
    <w:name w:val="博泵1 Char Char"/>
    <w:link w:val="301"/>
    <w:autoRedefine/>
    <w:qFormat/>
    <w:uiPriority w:val="0"/>
    <w:rPr>
      <w:rFonts w:hAnsi="宋体"/>
      <w:color w:val="000000"/>
      <w:sz w:val="24"/>
    </w:rPr>
  </w:style>
  <w:style w:type="paragraph" w:customStyle="1" w:styleId="301">
    <w:name w:val="博泵1"/>
    <w:basedOn w:val="1"/>
    <w:link w:val="300"/>
    <w:autoRedefine/>
    <w:qFormat/>
    <w:uiPriority w:val="0"/>
    <w:pPr>
      <w:adjustRightInd w:val="0"/>
      <w:spacing w:line="480" w:lineRule="exact"/>
      <w:ind w:firstLine="200" w:firstLineChars="200"/>
      <w:jc w:val="left"/>
      <w:textAlignment w:val="baseline"/>
    </w:pPr>
    <w:rPr>
      <w:rFonts w:hAnsi="宋体"/>
      <w:color w:val="000000"/>
      <w:kern w:val="0"/>
      <w:sz w:val="24"/>
      <w:szCs w:val="20"/>
    </w:rPr>
  </w:style>
  <w:style w:type="character" w:customStyle="1" w:styleId="302">
    <w:name w:val="特点标题 Char1"/>
    <w:autoRedefine/>
    <w:qFormat/>
    <w:uiPriority w:val="0"/>
    <w:rPr>
      <w:rFonts w:eastAsia="宋体"/>
      <w:kern w:val="2"/>
      <w:sz w:val="24"/>
      <w:szCs w:val="21"/>
      <w:lang w:val="en-US" w:eastAsia="zh-CN" w:bidi="ar-SA"/>
    </w:rPr>
  </w:style>
  <w:style w:type="character" w:customStyle="1" w:styleId="303">
    <w:name w:val="报告标题3 Char Char"/>
    <w:link w:val="304"/>
    <w:autoRedefine/>
    <w:qFormat/>
    <w:uiPriority w:val="0"/>
    <w:rPr>
      <w:b/>
      <w:bCs/>
      <w:color w:val="000000"/>
      <w:sz w:val="28"/>
      <w:szCs w:val="28"/>
    </w:rPr>
  </w:style>
  <w:style w:type="paragraph" w:customStyle="1" w:styleId="304">
    <w:name w:val="报告标题3"/>
    <w:basedOn w:val="8"/>
    <w:link w:val="303"/>
    <w:autoRedefine/>
    <w:qFormat/>
    <w:uiPriority w:val="0"/>
    <w:pPr>
      <w:tabs>
        <w:tab w:val="left" w:pos="1260"/>
      </w:tabs>
      <w:spacing w:before="60" w:after="60" w:line="360" w:lineRule="auto"/>
      <w:ind w:left="1260" w:hanging="420"/>
    </w:pPr>
    <w:rPr>
      <w:color w:val="000000"/>
      <w:kern w:val="0"/>
      <w:sz w:val="28"/>
      <w:szCs w:val="28"/>
    </w:rPr>
  </w:style>
  <w:style w:type="character" w:customStyle="1" w:styleId="305">
    <w:name w:val="f141"/>
    <w:autoRedefine/>
    <w:qFormat/>
    <w:uiPriority w:val="0"/>
    <w:rPr>
      <w:color w:val="000000"/>
      <w:sz w:val="21"/>
      <w:szCs w:val="21"/>
    </w:rPr>
  </w:style>
  <w:style w:type="character" w:customStyle="1" w:styleId="306">
    <w:name w:val="Plain Text Char1 Char2"/>
    <w:autoRedefine/>
    <w:qFormat/>
    <w:uiPriority w:val="0"/>
    <w:rPr>
      <w:rFonts w:ascii="宋体" w:hAnsi="Courier New" w:eastAsia="宋体"/>
      <w:kern w:val="2"/>
      <w:sz w:val="21"/>
      <w:szCs w:val="21"/>
      <w:lang w:val="en-US" w:eastAsia="zh-CN" w:bidi="ar-SA"/>
    </w:rPr>
  </w:style>
  <w:style w:type="character" w:customStyle="1" w:styleId="307">
    <w:name w:val="ourfont11"/>
    <w:autoRedefine/>
    <w:qFormat/>
    <w:uiPriority w:val="0"/>
    <w:rPr>
      <w:sz w:val="20"/>
    </w:rPr>
  </w:style>
  <w:style w:type="character" w:customStyle="1" w:styleId="308">
    <w:name w:val="Footer1 Char2"/>
    <w:autoRedefine/>
    <w:qFormat/>
    <w:uiPriority w:val="0"/>
    <w:rPr>
      <w:sz w:val="18"/>
      <w:szCs w:val="18"/>
      <w:lang w:bidi="ar-SA"/>
    </w:rPr>
  </w:style>
  <w:style w:type="character" w:customStyle="1" w:styleId="309">
    <w:name w:val="文本正文 Char"/>
    <w:link w:val="310"/>
    <w:autoRedefine/>
    <w:semiHidden/>
    <w:qFormat/>
    <w:uiPriority w:val="0"/>
    <w:rPr>
      <w:snapToGrid/>
      <w:sz w:val="24"/>
      <w:szCs w:val="24"/>
    </w:rPr>
  </w:style>
  <w:style w:type="paragraph" w:customStyle="1" w:styleId="310">
    <w:name w:val="文本正文"/>
    <w:basedOn w:val="1"/>
    <w:link w:val="309"/>
    <w:autoRedefine/>
    <w:semiHidden/>
    <w:qFormat/>
    <w:uiPriority w:val="0"/>
    <w:pPr>
      <w:spacing w:line="360" w:lineRule="auto"/>
      <w:ind w:firstLine="200" w:firstLineChars="200"/>
      <w:jc w:val="left"/>
    </w:pPr>
    <w:rPr>
      <w:snapToGrid w:val="0"/>
      <w:kern w:val="0"/>
      <w:sz w:val="24"/>
    </w:rPr>
  </w:style>
  <w:style w:type="character" w:customStyle="1" w:styleId="311">
    <w:name w:val="content"/>
    <w:autoRedefine/>
    <w:qFormat/>
    <w:uiPriority w:val="0"/>
    <w:rPr>
      <w:rFonts w:ascii="宋体" w:hAnsi="宋体" w:eastAsia="宋体" w:cs="宋体"/>
      <w:kern w:val="2"/>
      <w:sz w:val="24"/>
      <w:szCs w:val="24"/>
      <w:lang w:val="en-US" w:eastAsia="zh-CN" w:bidi="ar-SA"/>
    </w:rPr>
  </w:style>
  <w:style w:type="character" w:customStyle="1" w:styleId="312">
    <w:name w:val="dectext1"/>
    <w:autoRedefine/>
    <w:qFormat/>
    <w:uiPriority w:val="0"/>
    <w:rPr>
      <w:rFonts w:hint="eastAsia" w:ascii="宋体" w:hAnsi="宋体" w:eastAsia="宋体"/>
      <w:color w:val="333333"/>
      <w:sz w:val="21"/>
      <w:szCs w:val="21"/>
      <w:u w:val="none"/>
    </w:rPr>
  </w:style>
  <w:style w:type="character" w:customStyle="1" w:styleId="313">
    <w:name w:val="图片居中 大王 20100426 Char"/>
    <w:link w:val="314"/>
    <w:autoRedefine/>
    <w:qFormat/>
    <w:uiPriority w:val="0"/>
    <w:rPr>
      <w:snapToGrid/>
      <w:spacing w:val="10"/>
      <w:sz w:val="24"/>
    </w:rPr>
  </w:style>
  <w:style w:type="paragraph" w:customStyle="1" w:styleId="314">
    <w:name w:val="图片居中 大王 20100426"/>
    <w:basedOn w:val="1"/>
    <w:link w:val="313"/>
    <w:autoRedefine/>
    <w:qFormat/>
    <w:uiPriority w:val="0"/>
    <w:pPr>
      <w:snapToGrid w:val="0"/>
      <w:spacing w:beforeLines="20" w:afterLines="20"/>
      <w:jc w:val="center"/>
    </w:pPr>
    <w:rPr>
      <w:snapToGrid w:val="0"/>
      <w:spacing w:val="10"/>
      <w:kern w:val="0"/>
      <w:sz w:val="24"/>
      <w:szCs w:val="20"/>
    </w:rPr>
  </w:style>
  <w:style w:type="character" w:customStyle="1" w:styleId="315">
    <w:name w:val="fontstyle01"/>
    <w:autoRedefine/>
    <w:qFormat/>
    <w:uiPriority w:val="0"/>
    <w:rPr>
      <w:rFonts w:hint="eastAsia" w:ascii="宋体" w:hAnsi="宋体" w:eastAsia="宋体"/>
      <w:color w:val="000000"/>
      <w:sz w:val="24"/>
      <w:szCs w:val="24"/>
    </w:rPr>
  </w:style>
  <w:style w:type="character" w:customStyle="1" w:styleId="316">
    <w:name w:val="样式24 Char Char"/>
    <w:link w:val="317"/>
    <w:autoRedefine/>
    <w:qFormat/>
    <w:uiPriority w:val="0"/>
    <w:rPr>
      <w:rFonts w:ascii="宋体" w:hAnsi="宋体"/>
      <w:b/>
      <w:bCs/>
      <w:spacing w:val="4"/>
      <w:sz w:val="32"/>
      <w:szCs w:val="32"/>
    </w:rPr>
  </w:style>
  <w:style w:type="paragraph" w:customStyle="1" w:styleId="317">
    <w:name w:val="样式24"/>
    <w:basedOn w:val="1"/>
    <w:link w:val="316"/>
    <w:autoRedefine/>
    <w:qFormat/>
    <w:uiPriority w:val="0"/>
    <w:pPr>
      <w:keepNext/>
      <w:jc w:val="center"/>
      <w:outlineLvl w:val="1"/>
    </w:pPr>
    <w:rPr>
      <w:rFonts w:ascii="宋体" w:hAnsi="宋体"/>
      <w:b/>
      <w:bCs/>
      <w:spacing w:val="4"/>
      <w:kern w:val="0"/>
      <w:sz w:val="32"/>
      <w:szCs w:val="32"/>
    </w:rPr>
  </w:style>
  <w:style w:type="character" w:customStyle="1" w:styleId="318">
    <w:name w:val="表头1 Char Char Char"/>
    <w:autoRedefine/>
    <w:qFormat/>
    <w:uiPriority w:val="0"/>
    <w:rPr>
      <w:rFonts w:eastAsia="黑体"/>
      <w:sz w:val="21"/>
      <w:szCs w:val="28"/>
      <w:lang w:val="en-US" w:eastAsia="zh-CN" w:bidi="ar-SA"/>
    </w:rPr>
  </w:style>
  <w:style w:type="character" w:customStyle="1" w:styleId="319">
    <w:name w:val="表、图名 Char"/>
    <w:link w:val="320"/>
    <w:autoRedefine/>
    <w:semiHidden/>
    <w:qFormat/>
    <w:uiPriority w:val="0"/>
    <w:rPr>
      <w:rFonts w:ascii="宋体" w:eastAsia="黑体"/>
      <w:kern w:val="2"/>
      <w:sz w:val="21"/>
      <w:szCs w:val="24"/>
    </w:rPr>
  </w:style>
  <w:style w:type="paragraph" w:customStyle="1" w:styleId="320">
    <w:name w:val="表、图名"/>
    <w:basedOn w:val="1"/>
    <w:link w:val="319"/>
    <w:autoRedefine/>
    <w:semiHidden/>
    <w:qFormat/>
    <w:uiPriority w:val="0"/>
    <w:pPr>
      <w:adjustRightInd w:val="0"/>
      <w:snapToGrid w:val="0"/>
      <w:spacing w:line="312" w:lineRule="atLeast"/>
      <w:jc w:val="center"/>
    </w:pPr>
    <w:rPr>
      <w:rFonts w:ascii="宋体" w:eastAsia="黑体"/>
    </w:rPr>
  </w:style>
  <w:style w:type="character" w:customStyle="1" w:styleId="321">
    <w:name w:val="Char Char Char Char Char Char Char Char Char"/>
    <w:autoRedefine/>
    <w:qFormat/>
    <w:uiPriority w:val="0"/>
    <w:rPr>
      <w:rFonts w:eastAsia="宋体"/>
      <w:kern w:val="2"/>
      <w:sz w:val="18"/>
      <w:szCs w:val="18"/>
      <w:lang w:val="en-US" w:eastAsia="zh-CN" w:bidi="ar-SA"/>
    </w:rPr>
  </w:style>
  <w:style w:type="character" w:customStyle="1" w:styleId="322">
    <w:name w:val="css11"/>
    <w:autoRedefine/>
    <w:qFormat/>
    <w:uiPriority w:val="0"/>
    <w:rPr>
      <w:rFonts w:hint="eastAsia" w:ascii="宋体" w:hAnsi="宋体" w:eastAsia="宋体"/>
      <w:color w:val="336633"/>
      <w:sz w:val="18"/>
      <w:szCs w:val="18"/>
    </w:rPr>
  </w:style>
  <w:style w:type="character" w:customStyle="1" w:styleId="323">
    <w:name w:val="表格内容 Char"/>
    <w:link w:val="324"/>
    <w:autoRedefine/>
    <w:qFormat/>
    <w:uiPriority w:val="0"/>
    <w:rPr>
      <w:sz w:val="21"/>
      <w:szCs w:val="21"/>
    </w:rPr>
  </w:style>
  <w:style w:type="paragraph" w:customStyle="1" w:styleId="324">
    <w:name w:val="表格内容"/>
    <w:basedOn w:val="11"/>
    <w:link w:val="323"/>
    <w:autoRedefine/>
    <w:qFormat/>
    <w:uiPriority w:val="99"/>
    <w:pPr>
      <w:autoSpaceDE w:val="0"/>
      <w:autoSpaceDN w:val="0"/>
      <w:adjustRightInd w:val="0"/>
      <w:jc w:val="left"/>
    </w:pPr>
    <w:rPr>
      <w:kern w:val="0"/>
    </w:rPr>
  </w:style>
  <w:style w:type="character" w:customStyle="1" w:styleId="325">
    <w:name w:val="样式69 Char Char"/>
    <w:link w:val="326"/>
    <w:autoRedefine/>
    <w:qFormat/>
    <w:uiPriority w:val="0"/>
    <w:rPr>
      <w:rFonts w:ascii="宋体" w:hAnsi="宋体"/>
      <w:color w:val="000000"/>
    </w:rPr>
  </w:style>
  <w:style w:type="paragraph" w:customStyle="1" w:styleId="326">
    <w:name w:val="样式69"/>
    <w:basedOn w:val="1"/>
    <w:link w:val="325"/>
    <w:autoRedefine/>
    <w:qFormat/>
    <w:uiPriority w:val="0"/>
    <w:pPr>
      <w:numPr>
        <w:ilvl w:val="0"/>
        <w:numId w:val="3"/>
      </w:numPr>
      <w:ind w:left="0" w:firstLine="0"/>
      <w:jc w:val="center"/>
    </w:pPr>
    <w:rPr>
      <w:rFonts w:ascii="宋体" w:hAnsi="宋体"/>
      <w:color w:val="000000"/>
      <w:kern w:val="0"/>
      <w:sz w:val="20"/>
      <w:szCs w:val="20"/>
    </w:rPr>
  </w:style>
  <w:style w:type="character" w:customStyle="1" w:styleId="327">
    <w:name w:val="s19n338"/>
    <w:autoRedefine/>
    <w:qFormat/>
    <w:uiPriority w:val="0"/>
  </w:style>
  <w:style w:type="character" w:customStyle="1" w:styleId="328">
    <w:name w:val="1.1.1 Char Char"/>
    <w:link w:val="329"/>
    <w:autoRedefine/>
    <w:qFormat/>
    <w:uiPriority w:val="0"/>
    <w:rPr>
      <w:rFonts w:eastAsia="黑体"/>
      <w:sz w:val="28"/>
      <w:szCs w:val="24"/>
    </w:rPr>
  </w:style>
  <w:style w:type="paragraph" w:customStyle="1" w:styleId="329">
    <w:name w:val="1.1.1"/>
    <w:basedOn w:val="1"/>
    <w:link w:val="328"/>
    <w:autoRedefine/>
    <w:qFormat/>
    <w:uiPriority w:val="0"/>
    <w:pPr>
      <w:spacing w:line="600" w:lineRule="exact"/>
      <w:outlineLvl w:val="0"/>
    </w:pPr>
    <w:rPr>
      <w:rFonts w:eastAsia="黑体"/>
      <w:kern w:val="0"/>
      <w:sz w:val="28"/>
    </w:rPr>
  </w:style>
  <w:style w:type="character" w:customStyle="1" w:styleId="330">
    <w:name w:val="s6wwf"/>
    <w:autoRedefine/>
    <w:qFormat/>
    <w:uiPriority w:val="0"/>
  </w:style>
  <w:style w:type="character" w:customStyle="1" w:styleId="331">
    <w:name w:val="正文 大王 20100426 Char"/>
    <w:link w:val="332"/>
    <w:autoRedefine/>
    <w:qFormat/>
    <w:uiPriority w:val="0"/>
    <w:rPr>
      <w:snapToGrid/>
      <w:spacing w:val="10"/>
      <w:sz w:val="24"/>
    </w:rPr>
  </w:style>
  <w:style w:type="paragraph" w:customStyle="1" w:styleId="332">
    <w:name w:val="正文 大王 20100426"/>
    <w:basedOn w:val="1"/>
    <w:link w:val="331"/>
    <w:autoRedefine/>
    <w:qFormat/>
    <w:uiPriority w:val="0"/>
    <w:pPr>
      <w:numPr>
        <w:ilvl w:val="2"/>
        <w:numId w:val="4"/>
      </w:numPr>
      <w:snapToGrid w:val="0"/>
      <w:spacing w:beforeLines="20" w:afterLines="20" w:line="360" w:lineRule="auto"/>
      <w:ind w:left="0" w:firstLine="520" w:firstLineChars="200"/>
    </w:pPr>
    <w:rPr>
      <w:snapToGrid w:val="0"/>
      <w:spacing w:val="10"/>
      <w:kern w:val="0"/>
      <w:sz w:val="24"/>
      <w:szCs w:val="20"/>
    </w:rPr>
  </w:style>
  <w:style w:type="character" w:customStyle="1" w:styleId="333">
    <w:name w:val="unnamed3"/>
    <w:autoRedefine/>
    <w:qFormat/>
    <w:uiPriority w:val="0"/>
  </w:style>
  <w:style w:type="character" w:customStyle="1" w:styleId="334">
    <w:name w:val="表内容 Char Char"/>
    <w:autoRedefine/>
    <w:qFormat/>
    <w:uiPriority w:val="0"/>
    <w:rPr>
      <w:rFonts w:eastAsia="宋体"/>
      <w:lang w:bidi="ar-SA"/>
    </w:rPr>
  </w:style>
  <w:style w:type="character" w:customStyle="1" w:styleId="335">
    <w:name w:val="question-title2"/>
    <w:autoRedefine/>
    <w:qFormat/>
    <w:uiPriority w:val="0"/>
  </w:style>
  <w:style w:type="character" w:customStyle="1" w:styleId="336">
    <w:name w:val="表内文字 Char"/>
    <w:link w:val="337"/>
    <w:autoRedefine/>
    <w:qFormat/>
    <w:uiPriority w:val="0"/>
    <w:rPr>
      <w:kern w:val="2"/>
      <w:sz w:val="21"/>
      <w:szCs w:val="24"/>
    </w:rPr>
  </w:style>
  <w:style w:type="paragraph" w:customStyle="1" w:styleId="337">
    <w:name w:val="表内文字"/>
    <w:basedOn w:val="1"/>
    <w:next w:val="1"/>
    <w:link w:val="336"/>
    <w:autoRedefine/>
    <w:qFormat/>
    <w:uiPriority w:val="0"/>
    <w:pPr>
      <w:jc w:val="center"/>
    </w:pPr>
  </w:style>
  <w:style w:type="character" w:customStyle="1" w:styleId="338">
    <w:name w:val="postbody1"/>
    <w:autoRedefine/>
    <w:qFormat/>
    <w:uiPriority w:val="0"/>
    <w:rPr>
      <w:sz w:val="21"/>
      <w:szCs w:val="21"/>
    </w:rPr>
  </w:style>
  <w:style w:type="character" w:customStyle="1" w:styleId="339">
    <w:name w:val="!正文_ALT+Z Char Char"/>
    <w:link w:val="340"/>
    <w:autoRedefine/>
    <w:qFormat/>
    <w:uiPriority w:val="0"/>
    <w:rPr>
      <w:rFonts w:eastAsia="仿宋_GB2312"/>
      <w:kern w:val="2"/>
      <w:sz w:val="28"/>
      <w:szCs w:val="28"/>
    </w:rPr>
  </w:style>
  <w:style w:type="paragraph" w:customStyle="1" w:styleId="340">
    <w:name w:val="!正文_ALT+Z"/>
    <w:basedOn w:val="1"/>
    <w:link w:val="339"/>
    <w:autoRedefine/>
    <w:qFormat/>
    <w:uiPriority w:val="0"/>
    <w:pPr>
      <w:spacing w:line="520" w:lineRule="exact"/>
      <w:ind w:firstLine="200" w:firstLineChars="200"/>
    </w:pPr>
    <w:rPr>
      <w:rFonts w:eastAsia="仿宋_GB2312"/>
      <w:sz w:val="28"/>
      <w:szCs w:val="28"/>
    </w:rPr>
  </w:style>
  <w:style w:type="character" w:customStyle="1" w:styleId="341">
    <w:name w:val="表头1 Char Char"/>
    <w:autoRedefine/>
    <w:qFormat/>
    <w:uiPriority w:val="0"/>
    <w:rPr>
      <w:b/>
      <w:bCs/>
      <w:color w:val="000000"/>
      <w:sz w:val="24"/>
      <w:szCs w:val="24"/>
      <w:lang w:bidi="ar-SA"/>
    </w:rPr>
  </w:style>
  <w:style w:type="character" w:customStyle="1" w:styleId="342">
    <w:name w:val="正文文本缩进 Char Char"/>
    <w:autoRedefine/>
    <w:qFormat/>
    <w:uiPriority w:val="0"/>
    <w:rPr>
      <w:rFonts w:ascii="Times New Roman" w:hAnsi="Times New Roman"/>
      <w:sz w:val="24"/>
    </w:rPr>
  </w:style>
  <w:style w:type="character" w:customStyle="1" w:styleId="343">
    <w:name w:val="Char Char11"/>
    <w:autoRedefine/>
    <w:qFormat/>
    <w:uiPriority w:val="0"/>
    <w:rPr>
      <w:rFonts w:ascii="宋体" w:hAnsi="宋体" w:eastAsia="宋体" w:cs="宋体"/>
      <w:kern w:val="2"/>
      <w:sz w:val="18"/>
      <w:szCs w:val="18"/>
      <w:lang w:val="en-US" w:eastAsia="zh-CN" w:bidi="ar-SA"/>
    </w:rPr>
  </w:style>
  <w:style w:type="character" w:customStyle="1" w:styleId="344">
    <w:name w:val="日期 字符"/>
    <w:autoRedefine/>
    <w:qFormat/>
    <w:uiPriority w:val="99"/>
    <w:rPr>
      <w:rFonts w:ascii="Times New Roman" w:hAnsi="Times New Roman" w:eastAsia="宋体"/>
      <w:sz w:val="24"/>
    </w:rPr>
  </w:style>
  <w:style w:type="character" w:customStyle="1" w:styleId="345">
    <w:name w:val="z-窗体顶端 Char"/>
    <w:link w:val="346"/>
    <w:autoRedefine/>
    <w:qFormat/>
    <w:uiPriority w:val="0"/>
    <w:rPr>
      <w:rFonts w:ascii="宋体" w:hAnsi="Courier New" w:cs="宋体"/>
      <w:szCs w:val="24"/>
    </w:rPr>
  </w:style>
  <w:style w:type="paragraph" w:customStyle="1" w:styleId="346">
    <w:name w:val="z-窗体顶端1"/>
    <w:basedOn w:val="1"/>
    <w:next w:val="1"/>
    <w:link w:val="345"/>
    <w:autoRedefine/>
    <w:qFormat/>
    <w:uiPriority w:val="0"/>
    <w:pPr>
      <w:pBdr>
        <w:bottom w:val="single" w:color="auto" w:sz="6" w:space="1"/>
      </w:pBdr>
      <w:adjustRightInd w:val="0"/>
      <w:snapToGrid w:val="0"/>
      <w:spacing w:line="300" w:lineRule="auto"/>
      <w:jc w:val="center"/>
    </w:pPr>
    <w:rPr>
      <w:rFonts w:ascii="宋体" w:hAnsi="Courier New" w:cs="宋体"/>
      <w:kern w:val="0"/>
      <w:sz w:val="20"/>
    </w:rPr>
  </w:style>
  <w:style w:type="character" w:customStyle="1" w:styleId="347">
    <w:name w:val="tpc_content"/>
    <w:autoRedefine/>
    <w:qFormat/>
    <w:uiPriority w:val="0"/>
    <w:rPr>
      <w:rFonts w:ascii="宋体" w:hAnsi="宋体" w:eastAsia="宋体" w:cs="宋体"/>
      <w:kern w:val="2"/>
      <w:sz w:val="24"/>
      <w:szCs w:val="24"/>
      <w:lang w:val="en-US" w:eastAsia="zh-CN" w:bidi="ar-SA"/>
    </w:rPr>
  </w:style>
  <w:style w:type="character" w:customStyle="1" w:styleId="348">
    <w:name w:val="text_new"/>
    <w:autoRedefine/>
    <w:qFormat/>
    <w:uiPriority w:val="0"/>
  </w:style>
  <w:style w:type="character" w:customStyle="1" w:styleId="349">
    <w:name w:val="Char Char12"/>
    <w:autoRedefine/>
    <w:qFormat/>
    <w:uiPriority w:val="0"/>
    <w:rPr>
      <w:rFonts w:eastAsia="宋体"/>
      <w:kern w:val="2"/>
      <w:sz w:val="18"/>
      <w:szCs w:val="18"/>
      <w:lang w:val="en-US" w:eastAsia="zh-CN" w:bidi="ar-SA"/>
    </w:rPr>
  </w:style>
  <w:style w:type="character" w:customStyle="1" w:styleId="350">
    <w:name w:val="表 标题 Char Char"/>
    <w:link w:val="351"/>
    <w:autoRedefine/>
    <w:qFormat/>
    <w:uiPriority w:val="0"/>
    <w:rPr>
      <w:b/>
      <w:sz w:val="24"/>
    </w:rPr>
  </w:style>
  <w:style w:type="paragraph" w:customStyle="1" w:styleId="351">
    <w:name w:val="表 标题"/>
    <w:basedOn w:val="68"/>
    <w:next w:val="1"/>
    <w:link w:val="350"/>
    <w:autoRedefine/>
    <w:qFormat/>
    <w:uiPriority w:val="0"/>
    <w:pPr>
      <w:tabs>
        <w:tab w:val="clear" w:pos="8312"/>
      </w:tabs>
      <w:adjustRightInd/>
      <w:spacing w:beforeLines="50" w:line="240" w:lineRule="auto"/>
      <w:jc w:val="center"/>
      <w:textAlignment w:val="auto"/>
    </w:pPr>
    <w:rPr>
      <w:rFonts w:ascii="Times New Roman"/>
      <w:b/>
      <w:sz w:val="24"/>
    </w:rPr>
  </w:style>
  <w:style w:type="character" w:customStyle="1" w:styleId="352">
    <w:name w:val="content1"/>
    <w:autoRedefine/>
    <w:qFormat/>
    <w:uiPriority w:val="0"/>
    <w:rPr>
      <w:sz w:val="21"/>
      <w:szCs w:val="21"/>
    </w:rPr>
  </w:style>
  <w:style w:type="character" w:customStyle="1" w:styleId="353">
    <w:name w:val="表格内容 Char Char"/>
    <w:autoRedefine/>
    <w:qFormat/>
    <w:uiPriority w:val="0"/>
    <w:rPr>
      <w:rFonts w:eastAsia="宋体"/>
      <w:sz w:val="24"/>
      <w:lang w:bidi="ar-SA"/>
    </w:rPr>
  </w:style>
  <w:style w:type="character" w:customStyle="1" w:styleId="354">
    <w:name w:val="表格标题新 Char Char"/>
    <w:link w:val="355"/>
    <w:autoRedefine/>
    <w:qFormat/>
    <w:uiPriority w:val="0"/>
    <w:rPr>
      <w:rFonts w:eastAsia="仿宋_GB2312"/>
      <w:b/>
      <w:sz w:val="28"/>
      <w:szCs w:val="24"/>
    </w:rPr>
  </w:style>
  <w:style w:type="paragraph" w:customStyle="1" w:styleId="355">
    <w:name w:val="表格标题新"/>
    <w:basedOn w:val="178"/>
    <w:link w:val="354"/>
    <w:autoRedefine/>
    <w:qFormat/>
    <w:uiPriority w:val="0"/>
    <w:pPr>
      <w:spacing w:beforeLines="50" w:line="360" w:lineRule="auto"/>
      <w:ind w:firstLine="561" w:firstLineChars="200"/>
    </w:pPr>
    <w:rPr>
      <w:b/>
      <w:kern w:val="0"/>
      <w:sz w:val="28"/>
    </w:rPr>
  </w:style>
  <w:style w:type="character" w:customStyle="1" w:styleId="356">
    <w:name w:val="sz3evj"/>
    <w:autoRedefine/>
    <w:qFormat/>
    <w:uiPriority w:val="0"/>
  </w:style>
  <w:style w:type="character" w:customStyle="1" w:styleId="357">
    <w:name w:val="宏文本 Char1"/>
    <w:autoRedefine/>
    <w:semiHidden/>
    <w:qFormat/>
    <w:uiPriority w:val="99"/>
    <w:rPr>
      <w:rFonts w:ascii="Courier New" w:hAnsi="Courier New" w:eastAsia="宋体" w:cs="Courier New"/>
      <w:sz w:val="24"/>
      <w:szCs w:val="24"/>
    </w:rPr>
  </w:style>
  <w:style w:type="character" w:customStyle="1" w:styleId="358">
    <w:name w:val="sl0m"/>
    <w:autoRedefine/>
    <w:qFormat/>
    <w:uiPriority w:val="0"/>
  </w:style>
  <w:style w:type="character" w:customStyle="1" w:styleId="359">
    <w:name w:val="标题3 Char"/>
    <w:link w:val="360"/>
    <w:autoRedefine/>
    <w:qFormat/>
    <w:uiPriority w:val="0"/>
    <w:rPr>
      <w:rFonts w:eastAsia="黑体"/>
      <w:sz w:val="24"/>
    </w:rPr>
  </w:style>
  <w:style w:type="paragraph" w:customStyle="1" w:styleId="360">
    <w:name w:val="标题3"/>
    <w:basedOn w:val="1"/>
    <w:next w:val="1"/>
    <w:link w:val="359"/>
    <w:autoRedefine/>
    <w:qFormat/>
    <w:uiPriority w:val="0"/>
    <w:pPr>
      <w:keepNext/>
      <w:keepLines/>
      <w:adjustRightInd w:val="0"/>
      <w:snapToGrid w:val="0"/>
      <w:spacing w:after="50" w:line="416" w:lineRule="atLeast"/>
      <w:outlineLvl w:val="2"/>
    </w:pPr>
    <w:rPr>
      <w:rFonts w:eastAsia="黑体"/>
      <w:kern w:val="0"/>
      <w:sz w:val="24"/>
      <w:szCs w:val="20"/>
    </w:rPr>
  </w:style>
  <w:style w:type="character" w:customStyle="1" w:styleId="361">
    <w:name w:val="段落1 Char"/>
    <w:link w:val="362"/>
    <w:autoRedefine/>
    <w:qFormat/>
    <w:uiPriority w:val="0"/>
    <w:rPr>
      <w:rFonts w:ascii="宋体" w:hAnsi="宋体"/>
      <w:color w:val="000000"/>
      <w:kern w:val="28"/>
      <w:sz w:val="28"/>
      <w:szCs w:val="28"/>
    </w:rPr>
  </w:style>
  <w:style w:type="paragraph" w:customStyle="1" w:styleId="362">
    <w:name w:val="段落1"/>
    <w:basedOn w:val="1"/>
    <w:link w:val="361"/>
    <w:autoRedefine/>
    <w:qFormat/>
    <w:uiPriority w:val="0"/>
    <w:pPr>
      <w:snapToGrid w:val="0"/>
      <w:spacing w:beforeLines="10" w:afterLines="10" w:line="360" w:lineRule="auto"/>
      <w:ind w:firstLine="420" w:firstLineChars="150"/>
    </w:pPr>
    <w:rPr>
      <w:rFonts w:ascii="宋体" w:hAnsi="宋体"/>
      <w:color w:val="000000"/>
      <w:kern w:val="28"/>
      <w:sz w:val="28"/>
      <w:szCs w:val="28"/>
    </w:rPr>
  </w:style>
  <w:style w:type="character" w:customStyle="1" w:styleId="363">
    <w:name w:val="表内式样 Char1"/>
    <w:link w:val="364"/>
    <w:autoRedefine/>
    <w:qFormat/>
    <w:uiPriority w:val="0"/>
    <w:rPr>
      <w:rFonts w:ascii="宋体"/>
      <w:sz w:val="21"/>
      <w:szCs w:val="21"/>
    </w:rPr>
  </w:style>
  <w:style w:type="paragraph" w:customStyle="1" w:styleId="364">
    <w:name w:val="表内式样"/>
    <w:link w:val="363"/>
    <w:autoRedefine/>
    <w:qFormat/>
    <w:uiPriority w:val="0"/>
    <w:pPr>
      <w:keepLines/>
      <w:widowControl w:val="0"/>
      <w:kinsoku w:val="0"/>
      <w:overflowPunct w:val="0"/>
      <w:adjustRightInd w:val="0"/>
      <w:jc w:val="center"/>
    </w:pPr>
    <w:rPr>
      <w:rFonts w:ascii="宋体" w:hAnsi="Times New Roman" w:eastAsia="宋体" w:cs="Times New Roman"/>
      <w:sz w:val="21"/>
      <w:szCs w:val="21"/>
      <w:lang w:val="en-US" w:eastAsia="zh-CN" w:bidi="ar-SA"/>
    </w:rPr>
  </w:style>
  <w:style w:type="character" w:customStyle="1" w:styleId="365">
    <w:name w:val="标题 3 Char1 Char1"/>
    <w:autoRedefine/>
    <w:qFormat/>
    <w:uiPriority w:val="0"/>
    <w:rPr>
      <w:rFonts w:ascii="宋体" w:hAnsi="宋体" w:eastAsia="宋体" w:cs="宋体"/>
      <w:b/>
      <w:bCs/>
      <w:caps/>
      <w:color w:val="000000"/>
      <w:kern w:val="2"/>
      <w:sz w:val="24"/>
      <w:szCs w:val="24"/>
      <w:lang w:val="zh-CN" w:eastAsia="zh-CN" w:bidi="ar-SA"/>
    </w:rPr>
  </w:style>
  <w:style w:type="character" w:customStyle="1" w:styleId="366">
    <w:name w:val="3zw1"/>
    <w:autoRedefine/>
    <w:qFormat/>
    <w:uiPriority w:val="0"/>
    <w:rPr>
      <w:color w:val="000000"/>
      <w:sz w:val="21"/>
      <w:szCs w:val="21"/>
    </w:rPr>
  </w:style>
  <w:style w:type="character" w:customStyle="1" w:styleId="367">
    <w:name w:val="s0s4w"/>
    <w:autoRedefine/>
    <w:qFormat/>
    <w:uiPriority w:val="0"/>
  </w:style>
  <w:style w:type="character" w:customStyle="1" w:styleId="368">
    <w:name w:val="表 Char"/>
    <w:link w:val="369"/>
    <w:autoRedefine/>
    <w:qFormat/>
    <w:uiPriority w:val="0"/>
    <w:rPr>
      <w:spacing w:val="2"/>
      <w:kern w:val="2"/>
      <w:sz w:val="24"/>
    </w:rPr>
  </w:style>
  <w:style w:type="paragraph" w:customStyle="1" w:styleId="369">
    <w:name w:val="表"/>
    <w:basedOn w:val="1"/>
    <w:link w:val="368"/>
    <w:autoRedefine/>
    <w:qFormat/>
    <w:uiPriority w:val="0"/>
    <w:pPr>
      <w:adjustRightInd w:val="0"/>
      <w:snapToGrid w:val="0"/>
      <w:jc w:val="center"/>
    </w:pPr>
    <w:rPr>
      <w:spacing w:val="2"/>
      <w:sz w:val="24"/>
      <w:szCs w:val="20"/>
    </w:rPr>
  </w:style>
  <w:style w:type="character" w:customStyle="1" w:styleId="370">
    <w:name w:val="style391"/>
    <w:autoRedefine/>
    <w:qFormat/>
    <w:uiPriority w:val="0"/>
    <w:rPr>
      <w:b/>
      <w:bCs/>
      <w:color w:val="005984"/>
      <w:sz w:val="21"/>
      <w:szCs w:val="21"/>
    </w:rPr>
  </w:style>
  <w:style w:type="character" w:customStyle="1" w:styleId="371">
    <w:name w:val="正文 首行缩进:  2 字符 Char"/>
    <w:link w:val="372"/>
    <w:autoRedefine/>
    <w:semiHidden/>
    <w:qFormat/>
    <w:uiPriority w:val="0"/>
    <w:rPr>
      <w:rFonts w:cs="宋体"/>
      <w:kern w:val="2"/>
      <w:sz w:val="24"/>
    </w:rPr>
  </w:style>
  <w:style w:type="paragraph" w:customStyle="1" w:styleId="372">
    <w:name w:val="正文 首行缩进:  2 字符"/>
    <w:basedOn w:val="1"/>
    <w:link w:val="371"/>
    <w:autoRedefine/>
    <w:semiHidden/>
    <w:qFormat/>
    <w:uiPriority w:val="0"/>
    <w:pPr>
      <w:snapToGrid w:val="0"/>
      <w:spacing w:line="500" w:lineRule="exact"/>
      <w:ind w:firstLine="480" w:firstLineChars="200"/>
      <w:jc w:val="left"/>
    </w:pPr>
    <w:rPr>
      <w:rFonts w:cs="宋体"/>
      <w:sz w:val="24"/>
      <w:szCs w:val="20"/>
    </w:rPr>
  </w:style>
  <w:style w:type="character" w:customStyle="1" w:styleId="373">
    <w:name w:val="样式91 Char Char"/>
    <w:link w:val="374"/>
    <w:autoRedefine/>
    <w:qFormat/>
    <w:uiPriority w:val="0"/>
    <w:rPr>
      <w:rFonts w:ascii="宋体" w:hAnsi="宋体"/>
      <w:color w:val="000000"/>
      <w:sz w:val="28"/>
      <w:szCs w:val="28"/>
    </w:rPr>
  </w:style>
  <w:style w:type="paragraph" w:customStyle="1" w:styleId="374">
    <w:name w:val="样式91"/>
    <w:basedOn w:val="1"/>
    <w:link w:val="373"/>
    <w:autoRedefine/>
    <w:qFormat/>
    <w:uiPriority w:val="0"/>
    <w:pPr>
      <w:spacing w:line="480" w:lineRule="exact"/>
      <w:ind w:firstLine="560" w:firstLineChars="200"/>
    </w:pPr>
    <w:rPr>
      <w:rFonts w:ascii="宋体" w:hAnsi="宋体"/>
      <w:color w:val="000000"/>
      <w:kern w:val="0"/>
      <w:sz w:val="28"/>
      <w:szCs w:val="28"/>
    </w:rPr>
  </w:style>
  <w:style w:type="character" w:customStyle="1" w:styleId="375">
    <w:name w:val="表内容 Char"/>
    <w:link w:val="376"/>
    <w:autoRedefine/>
    <w:qFormat/>
    <w:uiPriority w:val="0"/>
    <w:rPr>
      <w:kern w:val="2"/>
      <w:sz w:val="21"/>
    </w:rPr>
  </w:style>
  <w:style w:type="paragraph" w:customStyle="1" w:styleId="376">
    <w:name w:val="表内容"/>
    <w:basedOn w:val="1"/>
    <w:next w:val="1"/>
    <w:link w:val="375"/>
    <w:autoRedefine/>
    <w:qFormat/>
    <w:uiPriority w:val="0"/>
    <w:pPr>
      <w:spacing w:line="320" w:lineRule="exact"/>
      <w:jc w:val="center"/>
    </w:pPr>
    <w:rPr>
      <w:szCs w:val="20"/>
    </w:rPr>
  </w:style>
  <w:style w:type="character" w:customStyle="1" w:styleId="377">
    <w:name w:val="style81"/>
    <w:autoRedefine/>
    <w:qFormat/>
    <w:uiPriority w:val="0"/>
    <w:rPr>
      <w:rFonts w:hint="eastAsia" w:ascii="宋体" w:hAnsi="宋体" w:eastAsia="宋体"/>
    </w:rPr>
  </w:style>
  <w:style w:type="character" w:customStyle="1" w:styleId="378">
    <w:name w:val="s5y7c"/>
    <w:autoRedefine/>
    <w:qFormat/>
    <w:uiPriority w:val="0"/>
  </w:style>
  <w:style w:type="character" w:customStyle="1" w:styleId="379">
    <w:name w:val="title41"/>
    <w:autoRedefine/>
    <w:qFormat/>
    <w:uiPriority w:val="0"/>
  </w:style>
  <w:style w:type="character" w:customStyle="1" w:styleId="380">
    <w:name w:val="报告正文 Char"/>
    <w:link w:val="381"/>
    <w:autoRedefine/>
    <w:qFormat/>
    <w:uiPriority w:val="0"/>
    <w:rPr>
      <w:kern w:val="2"/>
      <w:sz w:val="24"/>
      <w:szCs w:val="24"/>
      <w:lang w:val="zh-CN"/>
    </w:rPr>
  </w:style>
  <w:style w:type="paragraph" w:customStyle="1" w:styleId="381">
    <w:name w:val="报告正文"/>
    <w:basedOn w:val="1"/>
    <w:link w:val="380"/>
    <w:autoRedefine/>
    <w:qFormat/>
    <w:uiPriority w:val="0"/>
    <w:pPr>
      <w:adjustRightInd w:val="0"/>
      <w:snapToGrid w:val="0"/>
      <w:spacing w:line="360" w:lineRule="auto"/>
      <w:ind w:firstLine="200" w:firstLineChars="200"/>
    </w:pPr>
    <w:rPr>
      <w:sz w:val="24"/>
      <w:lang w:val="zh-CN"/>
    </w:rPr>
  </w:style>
  <w:style w:type="character" w:customStyle="1" w:styleId="382">
    <w:name w:val="paragragh1"/>
    <w:autoRedefine/>
    <w:qFormat/>
    <w:uiPriority w:val="0"/>
    <w:rPr>
      <w:color w:val="004040"/>
      <w:sz w:val="21"/>
      <w:szCs w:val="21"/>
    </w:rPr>
  </w:style>
  <w:style w:type="character" w:customStyle="1" w:styleId="383">
    <w:name w:val="标题 1 Char Char"/>
    <w:autoRedefine/>
    <w:qFormat/>
    <w:uiPriority w:val="0"/>
    <w:rPr>
      <w:rFonts w:ascii="宋体" w:hAnsi="宋体" w:eastAsia="宋体" w:cs="宋体"/>
      <w:b/>
      <w:bCs/>
      <w:kern w:val="44"/>
      <w:sz w:val="44"/>
      <w:szCs w:val="44"/>
      <w:lang w:val="en-US" w:eastAsia="zh-CN" w:bidi="ar-SA"/>
    </w:rPr>
  </w:style>
  <w:style w:type="character" w:customStyle="1" w:styleId="384">
    <w:name w:val="表标题 Char Char"/>
    <w:autoRedefine/>
    <w:qFormat/>
    <w:uiPriority w:val="0"/>
    <w:rPr>
      <w:rFonts w:eastAsia="宋体"/>
      <w:b/>
      <w:bCs/>
      <w:sz w:val="24"/>
      <w:szCs w:val="18"/>
      <w:lang w:bidi="ar-SA"/>
    </w:rPr>
  </w:style>
  <w:style w:type="character" w:customStyle="1" w:styleId="385">
    <w:name w:val="t_tag"/>
    <w:autoRedefine/>
    <w:qFormat/>
    <w:uiPriority w:val="0"/>
    <w:rPr>
      <w:rFonts w:ascii="宋体" w:hAnsi="宋体" w:eastAsia="宋体" w:cs="宋体"/>
      <w:kern w:val="2"/>
      <w:sz w:val="24"/>
      <w:szCs w:val="24"/>
      <w:lang w:val="en-US" w:eastAsia="zh-CN" w:bidi="ar-SA"/>
    </w:rPr>
  </w:style>
  <w:style w:type="character" w:customStyle="1" w:styleId="386">
    <w:name w:val="s2ze7v"/>
    <w:autoRedefine/>
    <w:qFormat/>
    <w:uiPriority w:val="0"/>
  </w:style>
  <w:style w:type="character" w:customStyle="1" w:styleId="387">
    <w:name w:val="tpc_title"/>
    <w:autoRedefine/>
    <w:qFormat/>
    <w:uiPriority w:val="0"/>
    <w:rPr>
      <w:rFonts w:ascii="宋体" w:hAnsi="宋体" w:eastAsia="宋体" w:cs="宋体"/>
      <w:kern w:val="2"/>
      <w:sz w:val="24"/>
      <w:szCs w:val="24"/>
      <w:lang w:val="en-US" w:eastAsia="zh-CN" w:bidi="ar-SA"/>
    </w:rPr>
  </w:style>
  <w:style w:type="character" w:customStyle="1" w:styleId="388">
    <w:name w:val="gray_text12"/>
    <w:autoRedefine/>
    <w:qFormat/>
    <w:uiPriority w:val="0"/>
  </w:style>
  <w:style w:type="character" w:customStyle="1" w:styleId="389">
    <w:name w:val="样式 表格内容 + (符号) 宋体 Char"/>
    <w:link w:val="390"/>
    <w:autoRedefine/>
    <w:qFormat/>
    <w:uiPriority w:val="0"/>
    <w:rPr>
      <w:sz w:val="21"/>
      <w:szCs w:val="21"/>
    </w:rPr>
  </w:style>
  <w:style w:type="paragraph" w:customStyle="1" w:styleId="390">
    <w:name w:val="样式 表格内容 + (符号) 宋体"/>
    <w:basedOn w:val="324"/>
    <w:link w:val="389"/>
    <w:autoRedefine/>
    <w:qFormat/>
    <w:uiPriority w:val="0"/>
  </w:style>
  <w:style w:type="character" w:customStyle="1" w:styleId="391">
    <w:name w:val="报告书正文 Char"/>
    <w:autoRedefine/>
    <w:qFormat/>
    <w:uiPriority w:val="0"/>
    <w:rPr>
      <w:rFonts w:ascii="宋体" w:hAnsi="宋体" w:eastAsia="宋体" w:cs="宋体"/>
      <w:kern w:val="2"/>
      <w:sz w:val="24"/>
      <w:szCs w:val="24"/>
      <w:lang w:val="en-US" w:eastAsia="zh-CN" w:bidi="ar-SA"/>
    </w:rPr>
  </w:style>
  <w:style w:type="character" w:customStyle="1" w:styleId="392">
    <w:name w:val="甲乙酮正文 Char Char"/>
    <w:link w:val="393"/>
    <w:autoRedefine/>
    <w:qFormat/>
    <w:uiPriority w:val="0"/>
    <w:rPr>
      <w:color w:val="000000"/>
      <w:sz w:val="24"/>
      <w:szCs w:val="24"/>
    </w:rPr>
  </w:style>
  <w:style w:type="paragraph" w:customStyle="1" w:styleId="393">
    <w:name w:val="甲乙酮正文"/>
    <w:basedOn w:val="80"/>
    <w:link w:val="392"/>
    <w:autoRedefine/>
    <w:qFormat/>
    <w:uiPriority w:val="0"/>
    <w:pPr>
      <w:spacing w:after="0" w:line="360" w:lineRule="auto"/>
      <w:ind w:firstLine="200" w:firstLineChars="200"/>
      <w:jc w:val="left"/>
    </w:pPr>
    <w:rPr>
      <w:color w:val="000000"/>
      <w:kern w:val="0"/>
      <w:sz w:val="24"/>
    </w:rPr>
  </w:style>
  <w:style w:type="character" w:customStyle="1" w:styleId="394">
    <w:name w:val="正文文字 Char Char"/>
    <w:autoRedefine/>
    <w:qFormat/>
    <w:uiPriority w:val="0"/>
    <w:rPr>
      <w:rFonts w:ascii="宋体" w:hAnsi="宋体" w:eastAsia="宋体" w:cs="宋体"/>
      <w:kern w:val="2"/>
      <w:sz w:val="24"/>
      <w:szCs w:val="24"/>
      <w:lang w:val="en-US" w:eastAsia="zh-CN" w:bidi="ar-SA"/>
    </w:rPr>
  </w:style>
  <w:style w:type="character" w:customStyle="1" w:styleId="395">
    <w:name w:val="headline-content2"/>
    <w:autoRedefine/>
    <w:qFormat/>
    <w:uiPriority w:val="0"/>
  </w:style>
  <w:style w:type="character" w:customStyle="1" w:styleId="396">
    <w:name w:val="grame"/>
    <w:autoRedefine/>
    <w:qFormat/>
    <w:uiPriority w:val="0"/>
  </w:style>
  <w:style w:type="character" w:customStyle="1" w:styleId="397">
    <w:name w:val="报告 Char"/>
    <w:link w:val="398"/>
    <w:autoRedefine/>
    <w:qFormat/>
    <w:uiPriority w:val="0"/>
    <w:rPr>
      <w:sz w:val="24"/>
    </w:rPr>
  </w:style>
  <w:style w:type="paragraph" w:customStyle="1" w:styleId="398">
    <w:name w:val="报告"/>
    <w:basedOn w:val="1"/>
    <w:link w:val="397"/>
    <w:autoRedefine/>
    <w:qFormat/>
    <w:uiPriority w:val="0"/>
    <w:pPr>
      <w:adjustRightInd w:val="0"/>
      <w:spacing w:line="360" w:lineRule="auto"/>
      <w:ind w:firstLine="505"/>
      <w:textAlignment w:val="baseline"/>
    </w:pPr>
    <w:rPr>
      <w:kern w:val="0"/>
      <w:sz w:val="24"/>
      <w:szCs w:val="20"/>
    </w:rPr>
  </w:style>
  <w:style w:type="character" w:customStyle="1" w:styleId="399">
    <w:name w:val="dash6b63-6587--char"/>
    <w:autoRedefine/>
    <w:qFormat/>
    <w:uiPriority w:val="0"/>
    <w:rPr>
      <w:rFonts w:ascii="宋体" w:hAnsi="宋体" w:eastAsia="宋体" w:cs="宋体"/>
      <w:kern w:val="2"/>
      <w:sz w:val="24"/>
      <w:szCs w:val="24"/>
      <w:lang w:val="en-US" w:eastAsia="zh-CN" w:bidi="ar-SA"/>
    </w:rPr>
  </w:style>
  <w:style w:type="character" w:customStyle="1" w:styleId="400">
    <w:name w:val="dz1"/>
    <w:autoRedefine/>
    <w:qFormat/>
    <w:uiPriority w:val="0"/>
    <w:rPr>
      <w:rFonts w:hint="default" w:ascii="ˎ̥" w:hAnsi="ˎ̥"/>
      <w:sz w:val="30"/>
      <w:szCs w:val="30"/>
    </w:rPr>
  </w:style>
  <w:style w:type="character" w:customStyle="1" w:styleId="401">
    <w:name w:val="seecix"/>
    <w:autoRedefine/>
    <w:qFormat/>
    <w:uiPriority w:val="0"/>
  </w:style>
  <w:style w:type="character" w:customStyle="1" w:styleId="402">
    <w:name w:val="表头王 Char"/>
    <w:link w:val="403"/>
    <w:autoRedefine/>
    <w:semiHidden/>
    <w:qFormat/>
    <w:uiPriority w:val="0"/>
    <w:rPr>
      <w:rFonts w:ascii="宋体" w:hAnsi="宋体"/>
      <w:b/>
      <w:color w:val="000000"/>
      <w:sz w:val="24"/>
      <w:szCs w:val="24"/>
      <w:lang w:val="zh-CN"/>
    </w:rPr>
  </w:style>
  <w:style w:type="paragraph" w:customStyle="1" w:styleId="403">
    <w:name w:val="表头王"/>
    <w:basedOn w:val="1"/>
    <w:link w:val="402"/>
    <w:autoRedefine/>
    <w:semiHidden/>
    <w:qFormat/>
    <w:uiPriority w:val="0"/>
    <w:pPr>
      <w:adjustRightInd w:val="0"/>
      <w:snapToGrid w:val="0"/>
      <w:spacing w:line="360" w:lineRule="auto"/>
      <w:jc w:val="center"/>
    </w:pPr>
    <w:rPr>
      <w:rFonts w:ascii="宋体" w:hAnsi="宋体"/>
      <w:b/>
      <w:color w:val="000000"/>
      <w:kern w:val="0"/>
      <w:sz w:val="24"/>
      <w:lang w:val="zh-CN"/>
    </w:rPr>
  </w:style>
  <w:style w:type="character" w:customStyle="1" w:styleId="404">
    <w:name w:val="s8h0t"/>
    <w:autoRedefine/>
    <w:qFormat/>
    <w:uiPriority w:val="0"/>
  </w:style>
  <w:style w:type="character" w:customStyle="1" w:styleId="405">
    <w:name w:val="样式1 Char"/>
    <w:autoRedefine/>
    <w:qFormat/>
    <w:uiPriority w:val="0"/>
    <w:rPr>
      <w:rFonts w:ascii="宋体" w:hAnsi="宋体" w:eastAsia="宋体" w:cs="宋体"/>
      <w:b/>
      <w:bCs/>
      <w:kern w:val="2"/>
      <w:sz w:val="24"/>
      <w:szCs w:val="24"/>
      <w:lang w:val="en-US" w:eastAsia="zh-CN" w:bidi="ar-SA"/>
    </w:rPr>
  </w:style>
  <w:style w:type="character" w:styleId="406">
    <w:name w:val="Placeholder Text"/>
    <w:autoRedefine/>
    <w:qFormat/>
    <w:uiPriority w:val="0"/>
    <w:rPr>
      <w:color w:val="808080"/>
    </w:rPr>
  </w:style>
  <w:style w:type="character" w:customStyle="1" w:styleId="407">
    <w:name w:val="正文文本 Char Char"/>
    <w:autoRedefine/>
    <w:qFormat/>
    <w:uiPriority w:val="0"/>
    <w:rPr>
      <w:rFonts w:eastAsia="宋体"/>
      <w:kern w:val="2"/>
      <w:sz w:val="28"/>
      <w:szCs w:val="24"/>
      <w:lang w:val="en-US" w:eastAsia="zh-CN" w:bidi="ar-SA"/>
    </w:rPr>
  </w:style>
  <w:style w:type="character" w:customStyle="1" w:styleId="408">
    <w:name w:val="Char Char19"/>
    <w:autoRedefine/>
    <w:qFormat/>
    <w:uiPriority w:val="0"/>
    <w:rPr>
      <w:rFonts w:eastAsia="仿宋_GB2312"/>
      <w:sz w:val="18"/>
      <w:lang w:val="en-US" w:eastAsia="zh-CN" w:bidi="ar-SA"/>
    </w:rPr>
  </w:style>
  <w:style w:type="character" w:customStyle="1" w:styleId="409">
    <w:name w:val="尾注文本 字符1"/>
    <w:autoRedefine/>
    <w:qFormat/>
    <w:uiPriority w:val="0"/>
    <w:rPr>
      <w:kern w:val="2"/>
      <w:sz w:val="21"/>
      <w:szCs w:val="24"/>
    </w:rPr>
  </w:style>
  <w:style w:type="character" w:customStyle="1" w:styleId="410">
    <w:name w:val="样式 正文 首行缩进:  2 字符 + (中文) 楷体_GB2312 Char"/>
    <w:link w:val="411"/>
    <w:autoRedefine/>
    <w:semiHidden/>
    <w:qFormat/>
    <w:uiPriority w:val="0"/>
    <w:rPr>
      <w:rFonts w:eastAsia="楷体_GB2312" w:cs="宋体"/>
      <w:kern w:val="2"/>
      <w:sz w:val="24"/>
      <w:szCs w:val="24"/>
    </w:rPr>
  </w:style>
  <w:style w:type="paragraph" w:customStyle="1" w:styleId="411">
    <w:name w:val="样式 正文 首行缩进:  2 字符 + (中文) 楷体_GB2312"/>
    <w:basedOn w:val="372"/>
    <w:link w:val="410"/>
    <w:autoRedefine/>
    <w:semiHidden/>
    <w:qFormat/>
    <w:uiPriority w:val="0"/>
    <w:pPr>
      <w:adjustRightInd w:val="0"/>
      <w:ind w:firstLine="200"/>
      <w:jc w:val="both"/>
    </w:pPr>
    <w:rPr>
      <w:rFonts w:eastAsia="楷体_GB2312"/>
      <w:szCs w:val="24"/>
    </w:rPr>
  </w:style>
  <w:style w:type="character" w:customStyle="1" w:styleId="412">
    <w:name w:val="样式 小四 行距: 1.5 倍行距 Char Char"/>
    <w:link w:val="413"/>
    <w:autoRedefine/>
    <w:qFormat/>
    <w:uiPriority w:val="0"/>
    <w:rPr>
      <w:sz w:val="24"/>
      <w:szCs w:val="24"/>
    </w:rPr>
  </w:style>
  <w:style w:type="paragraph" w:customStyle="1" w:styleId="413">
    <w:name w:val="样式 小四 行距: 1.5 倍行距"/>
    <w:basedOn w:val="1"/>
    <w:link w:val="412"/>
    <w:autoRedefine/>
    <w:qFormat/>
    <w:uiPriority w:val="0"/>
    <w:pPr>
      <w:spacing w:line="360" w:lineRule="auto"/>
      <w:ind w:firstLine="480" w:firstLineChars="200"/>
    </w:pPr>
    <w:rPr>
      <w:kern w:val="0"/>
      <w:sz w:val="24"/>
    </w:rPr>
  </w:style>
  <w:style w:type="character" w:customStyle="1" w:styleId="414">
    <w:name w:val="正文(首行缩进) Char Char"/>
    <w:link w:val="415"/>
    <w:autoRedefine/>
    <w:qFormat/>
    <w:uiPriority w:val="0"/>
    <w:rPr>
      <w:rFonts w:ascii="宋体" w:hAnsi="宋体"/>
      <w:color w:val="000000"/>
      <w:kern w:val="2"/>
      <w:sz w:val="24"/>
      <w:szCs w:val="24"/>
    </w:rPr>
  </w:style>
  <w:style w:type="paragraph" w:customStyle="1" w:styleId="415">
    <w:name w:val="正文(首行缩进)"/>
    <w:basedOn w:val="1"/>
    <w:link w:val="414"/>
    <w:autoRedefine/>
    <w:qFormat/>
    <w:uiPriority w:val="0"/>
    <w:pPr>
      <w:spacing w:line="360" w:lineRule="auto"/>
      <w:ind w:firstLine="540" w:firstLineChars="225"/>
    </w:pPr>
    <w:rPr>
      <w:rFonts w:ascii="宋体" w:hAnsi="宋体"/>
      <w:color w:val="000000"/>
      <w:sz w:val="24"/>
    </w:rPr>
  </w:style>
  <w:style w:type="character" w:customStyle="1" w:styleId="416">
    <w:name w:val="表格文字 Char Char"/>
    <w:link w:val="417"/>
    <w:autoRedefine/>
    <w:qFormat/>
    <w:uiPriority w:val="0"/>
    <w:rPr>
      <w:rFonts w:ascii="仿宋_GB2312" w:hAnsi="Arial Black" w:eastAsia="仿宋_GB2312"/>
      <w:kern w:val="44"/>
      <w:sz w:val="24"/>
    </w:rPr>
  </w:style>
  <w:style w:type="paragraph" w:customStyle="1" w:styleId="417">
    <w:name w:val="表格文字"/>
    <w:basedOn w:val="1"/>
    <w:link w:val="416"/>
    <w:autoRedefine/>
    <w:qFormat/>
    <w:uiPriority w:val="0"/>
    <w:pPr>
      <w:jc w:val="center"/>
    </w:pPr>
    <w:rPr>
      <w:rFonts w:ascii="仿宋_GB2312" w:hAnsi="Arial Black" w:eastAsia="仿宋_GB2312"/>
      <w:kern w:val="44"/>
      <w:sz w:val="24"/>
      <w:szCs w:val="20"/>
    </w:rPr>
  </w:style>
  <w:style w:type="character" w:customStyle="1" w:styleId="418">
    <w:name w:val="标题 Char Char"/>
    <w:autoRedefine/>
    <w:qFormat/>
    <w:uiPriority w:val="0"/>
    <w:rPr>
      <w:rFonts w:ascii="Arial" w:hAnsi="Arial" w:eastAsia="宋体" w:cs="Arial"/>
      <w:b/>
      <w:bCs/>
      <w:sz w:val="32"/>
      <w:szCs w:val="32"/>
      <w:lang w:val="en-US" w:eastAsia="zh-CN" w:bidi="ar-SA"/>
    </w:rPr>
  </w:style>
  <w:style w:type="character" w:customStyle="1" w:styleId="419">
    <w:name w:val="Char Char4"/>
    <w:autoRedefine/>
    <w:qFormat/>
    <w:uiPriority w:val="0"/>
    <w:rPr>
      <w:rFonts w:ascii="宋体" w:hAnsi="宋体" w:eastAsia="宋体" w:cs="宋体"/>
      <w:kern w:val="2"/>
      <w:sz w:val="24"/>
      <w:szCs w:val="24"/>
      <w:lang w:val="en-US" w:eastAsia="zh-CN" w:bidi="ar-SA"/>
    </w:rPr>
  </w:style>
  <w:style w:type="character" w:customStyle="1" w:styleId="420">
    <w:name w:val="样式35 Char Char"/>
    <w:link w:val="421"/>
    <w:autoRedefine/>
    <w:qFormat/>
    <w:uiPriority w:val="0"/>
    <w:rPr>
      <w:color w:val="000000"/>
      <w:sz w:val="28"/>
      <w:szCs w:val="28"/>
    </w:rPr>
  </w:style>
  <w:style w:type="paragraph" w:customStyle="1" w:styleId="421">
    <w:name w:val="样式35"/>
    <w:basedOn w:val="1"/>
    <w:link w:val="420"/>
    <w:autoRedefine/>
    <w:qFormat/>
    <w:uiPriority w:val="0"/>
    <w:pPr>
      <w:snapToGrid w:val="0"/>
      <w:spacing w:line="360" w:lineRule="auto"/>
      <w:ind w:firstLine="560" w:firstLineChars="200"/>
    </w:pPr>
    <w:rPr>
      <w:color w:val="000000"/>
      <w:kern w:val="0"/>
      <w:sz w:val="28"/>
      <w:szCs w:val="28"/>
    </w:rPr>
  </w:style>
  <w:style w:type="character" w:customStyle="1" w:styleId="422">
    <w:name w:val="bt21"/>
    <w:autoRedefine/>
    <w:qFormat/>
    <w:uiPriority w:val="0"/>
    <w:rPr>
      <w:rFonts w:hint="eastAsia" w:ascii="黑体" w:eastAsia="黑体"/>
      <w:sz w:val="24"/>
      <w:szCs w:val="24"/>
    </w:rPr>
  </w:style>
  <w:style w:type="character" w:customStyle="1" w:styleId="423">
    <w:name w:val="表标题 Char"/>
    <w:link w:val="424"/>
    <w:autoRedefine/>
    <w:qFormat/>
    <w:uiPriority w:val="0"/>
    <w:rPr>
      <w:b/>
      <w:bCs/>
      <w:kern w:val="2"/>
      <w:sz w:val="24"/>
      <w:szCs w:val="18"/>
    </w:rPr>
  </w:style>
  <w:style w:type="paragraph" w:customStyle="1" w:styleId="424">
    <w:name w:val="表标题"/>
    <w:basedOn w:val="80"/>
    <w:link w:val="423"/>
    <w:autoRedefine/>
    <w:qFormat/>
    <w:uiPriority w:val="0"/>
    <w:pPr>
      <w:adjustRightInd w:val="0"/>
      <w:snapToGrid w:val="0"/>
      <w:spacing w:before="60" w:after="60" w:line="500" w:lineRule="exact"/>
      <w:ind w:firstLine="0" w:firstLineChars="0"/>
      <w:jc w:val="center"/>
    </w:pPr>
    <w:rPr>
      <w:b/>
      <w:bCs/>
      <w:sz w:val="24"/>
      <w:szCs w:val="18"/>
    </w:rPr>
  </w:style>
  <w:style w:type="character" w:customStyle="1" w:styleId="425">
    <w:name w:val="样式 标题 3H31.1.1标题 3条标题1.1.1h3level_3PIM 3Level 3 HeadHead... Char Char"/>
    <w:link w:val="426"/>
    <w:autoRedefine/>
    <w:qFormat/>
    <w:uiPriority w:val="0"/>
    <w:rPr>
      <w:rFonts w:ascii="黑体" w:hAnsi="黑体" w:eastAsia="黑体"/>
      <w:sz w:val="28"/>
      <w:szCs w:val="32"/>
    </w:rPr>
  </w:style>
  <w:style w:type="paragraph" w:customStyle="1" w:styleId="426">
    <w:name w:val="样式 标题 3H31.1.1标题 3条标题1.1.1h3level_3PIM 3Level 3 HeadHead..."/>
    <w:basedOn w:val="8"/>
    <w:link w:val="425"/>
    <w:autoRedefine/>
    <w:qFormat/>
    <w:uiPriority w:val="0"/>
    <w:pPr>
      <w:tabs>
        <w:tab w:val="left" w:pos="1260"/>
      </w:tabs>
      <w:spacing w:line="360" w:lineRule="auto"/>
      <w:ind w:left="1260" w:hanging="420"/>
    </w:pPr>
    <w:rPr>
      <w:rFonts w:ascii="黑体" w:hAnsi="黑体" w:eastAsia="黑体"/>
      <w:b w:val="0"/>
      <w:bCs w:val="0"/>
      <w:kern w:val="0"/>
      <w:sz w:val="28"/>
    </w:rPr>
  </w:style>
  <w:style w:type="character" w:customStyle="1" w:styleId="427">
    <w:name w:val="sovnn"/>
    <w:autoRedefine/>
    <w:qFormat/>
    <w:uiPriority w:val="0"/>
  </w:style>
  <w:style w:type="character" w:customStyle="1" w:styleId="428">
    <w:name w:val="si16"/>
    <w:autoRedefine/>
    <w:qFormat/>
    <w:uiPriority w:val="0"/>
  </w:style>
  <w:style w:type="character" w:customStyle="1" w:styleId="429">
    <w:name w:val="样式26 Char Char"/>
    <w:link w:val="430"/>
    <w:autoRedefine/>
    <w:qFormat/>
    <w:uiPriority w:val="0"/>
    <w:rPr>
      <w:rFonts w:ascii="宋体" w:hAnsi="宋体"/>
      <w:color w:val="000000"/>
      <w:sz w:val="28"/>
      <w:szCs w:val="24"/>
    </w:rPr>
  </w:style>
  <w:style w:type="paragraph" w:customStyle="1" w:styleId="430">
    <w:name w:val="样式26"/>
    <w:basedOn w:val="1"/>
    <w:link w:val="429"/>
    <w:autoRedefine/>
    <w:qFormat/>
    <w:uiPriority w:val="0"/>
    <w:pPr>
      <w:spacing w:line="520" w:lineRule="exact"/>
      <w:ind w:firstLine="560" w:firstLineChars="200"/>
      <w:jc w:val="left"/>
    </w:pPr>
    <w:rPr>
      <w:rFonts w:ascii="宋体" w:hAnsi="宋体"/>
      <w:color w:val="000000"/>
      <w:kern w:val="0"/>
      <w:sz w:val="28"/>
    </w:rPr>
  </w:style>
  <w:style w:type="character" w:customStyle="1" w:styleId="431">
    <w:name w:val="c"/>
    <w:autoRedefine/>
    <w:qFormat/>
    <w:uiPriority w:val="0"/>
    <w:rPr>
      <w:rFonts w:ascii="宋体" w:hAnsi="宋体" w:eastAsia="宋体" w:cs="宋体"/>
      <w:kern w:val="2"/>
      <w:sz w:val="24"/>
      <w:szCs w:val="24"/>
      <w:lang w:val="en-US" w:eastAsia="zh-CN" w:bidi="ar-SA"/>
    </w:rPr>
  </w:style>
  <w:style w:type="character" w:customStyle="1" w:styleId="432">
    <w:name w:val="条标题1.1.1 Char1"/>
    <w:autoRedefine/>
    <w:qFormat/>
    <w:uiPriority w:val="0"/>
    <w:rPr>
      <w:b/>
      <w:bCs/>
      <w:sz w:val="24"/>
      <w:szCs w:val="32"/>
    </w:rPr>
  </w:style>
  <w:style w:type="character" w:customStyle="1" w:styleId="433">
    <w:name w:val="正文四号ss Char Char"/>
    <w:link w:val="434"/>
    <w:autoRedefine/>
    <w:qFormat/>
    <w:uiPriority w:val="0"/>
    <w:rPr>
      <w:rFonts w:ascii="宋体" w:hAnsi="宋体"/>
      <w:sz w:val="28"/>
      <w:szCs w:val="28"/>
    </w:rPr>
  </w:style>
  <w:style w:type="paragraph" w:customStyle="1" w:styleId="434">
    <w:name w:val="正文四号ss"/>
    <w:basedOn w:val="1"/>
    <w:next w:val="1"/>
    <w:link w:val="433"/>
    <w:autoRedefine/>
    <w:qFormat/>
    <w:uiPriority w:val="0"/>
    <w:pPr>
      <w:spacing w:line="520" w:lineRule="exact"/>
      <w:ind w:firstLine="200" w:firstLineChars="200"/>
    </w:pPr>
    <w:rPr>
      <w:rFonts w:ascii="宋体" w:hAnsi="宋体"/>
      <w:kern w:val="0"/>
      <w:sz w:val="28"/>
      <w:szCs w:val="28"/>
    </w:rPr>
  </w:style>
  <w:style w:type="character" w:customStyle="1" w:styleId="435">
    <w:name w:val="scu4wkd"/>
    <w:autoRedefine/>
    <w:qFormat/>
    <w:uiPriority w:val="0"/>
  </w:style>
  <w:style w:type="character" w:customStyle="1" w:styleId="436">
    <w:name w:val="申兴正文 Char Char"/>
    <w:link w:val="437"/>
    <w:autoRedefine/>
    <w:qFormat/>
    <w:uiPriority w:val="0"/>
    <w:rPr>
      <w:sz w:val="24"/>
      <w:szCs w:val="24"/>
    </w:rPr>
  </w:style>
  <w:style w:type="paragraph" w:customStyle="1" w:styleId="437">
    <w:name w:val="申兴正文"/>
    <w:basedOn w:val="1"/>
    <w:link w:val="436"/>
    <w:autoRedefine/>
    <w:qFormat/>
    <w:uiPriority w:val="0"/>
    <w:pPr>
      <w:spacing w:line="360" w:lineRule="auto"/>
      <w:ind w:firstLine="200" w:firstLineChars="200"/>
    </w:pPr>
    <w:rPr>
      <w:kern w:val="0"/>
      <w:sz w:val="24"/>
    </w:rPr>
  </w:style>
  <w:style w:type="character" w:customStyle="1" w:styleId="438">
    <w:name w:val="标题 7表内5号 Char1"/>
    <w:autoRedefine/>
    <w:qFormat/>
    <w:uiPriority w:val="0"/>
    <w:rPr>
      <w:rFonts w:eastAsia="宋体"/>
      <w:b/>
      <w:bCs/>
      <w:sz w:val="24"/>
      <w:szCs w:val="24"/>
      <w:lang w:bidi="ar-SA"/>
    </w:rPr>
  </w:style>
  <w:style w:type="character" w:customStyle="1" w:styleId="439">
    <w:name w:val="satajq8"/>
    <w:autoRedefine/>
    <w:qFormat/>
    <w:uiPriority w:val="0"/>
  </w:style>
  <w:style w:type="character" w:customStyle="1" w:styleId="440">
    <w:name w:val="样式 标题 4 + 行距: 1.5 倍行距 Char"/>
    <w:link w:val="441"/>
    <w:autoRedefine/>
    <w:qFormat/>
    <w:uiPriority w:val="0"/>
    <w:rPr>
      <w:rFonts w:ascii="Cambria" w:hAnsi="Cambria" w:eastAsia="黑体" w:cs="宋体"/>
      <w:b/>
      <w:bCs/>
      <w:kern w:val="2"/>
      <w:sz w:val="24"/>
      <w:szCs w:val="28"/>
    </w:rPr>
  </w:style>
  <w:style w:type="paragraph" w:customStyle="1" w:styleId="441">
    <w:name w:val="样式 标题 4 + 行距: 1.5 倍行距"/>
    <w:basedOn w:val="9"/>
    <w:link w:val="440"/>
    <w:autoRedefine/>
    <w:qFormat/>
    <w:uiPriority w:val="0"/>
    <w:pPr>
      <w:snapToGrid w:val="0"/>
      <w:spacing w:before="0" w:beforeLines="50" w:after="0" w:line="360" w:lineRule="auto"/>
      <w:ind w:left="2884" w:hanging="2884"/>
      <w:jc w:val="left"/>
    </w:pPr>
    <w:rPr>
      <w:rFonts w:eastAsia="黑体" w:cs="宋体"/>
      <w:sz w:val="24"/>
    </w:rPr>
  </w:style>
  <w:style w:type="character" w:customStyle="1" w:styleId="442">
    <w:name w:val="正文1 Char Char"/>
    <w:autoRedefine/>
    <w:qFormat/>
    <w:uiPriority w:val="0"/>
    <w:rPr>
      <w:rFonts w:ascii="宋体" w:eastAsia="宋体"/>
      <w:snapToGrid/>
      <w:kern w:val="21"/>
      <w:position w:val="2"/>
      <w:sz w:val="24"/>
      <w:lang w:val="en-US" w:eastAsia="zh-CN" w:bidi="ar-SA"/>
    </w:rPr>
  </w:style>
  <w:style w:type="character" w:customStyle="1" w:styleId="443">
    <w:name w:val="正文缩进 Char1"/>
    <w:autoRedefine/>
    <w:qFormat/>
    <w:uiPriority w:val="0"/>
    <w:rPr>
      <w:kern w:val="2"/>
      <w:sz w:val="21"/>
      <w:szCs w:val="24"/>
      <w:lang w:val="zh-CN" w:eastAsia="zh-CN"/>
    </w:rPr>
  </w:style>
  <w:style w:type="character" w:customStyle="1" w:styleId="444">
    <w:name w:val="正文01 Char Char"/>
    <w:link w:val="445"/>
    <w:autoRedefine/>
    <w:qFormat/>
    <w:uiPriority w:val="0"/>
    <w:rPr>
      <w:rFonts w:ascii="Arial" w:hAnsi="Arial"/>
      <w:sz w:val="24"/>
    </w:rPr>
  </w:style>
  <w:style w:type="paragraph" w:customStyle="1" w:styleId="445">
    <w:name w:val="正文01"/>
    <w:basedOn w:val="1"/>
    <w:link w:val="444"/>
    <w:autoRedefine/>
    <w:qFormat/>
    <w:uiPriority w:val="0"/>
    <w:pPr>
      <w:spacing w:before="60" w:line="460" w:lineRule="exact"/>
      <w:ind w:firstLine="200" w:firstLineChars="200"/>
    </w:pPr>
    <w:rPr>
      <w:rFonts w:ascii="Arial" w:hAnsi="Arial"/>
      <w:kern w:val="0"/>
      <w:sz w:val="24"/>
      <w:szCs w:val="20"/>
    </w:rPr>
  </w:style>
  <w:style w:type="character" w:customStyle="1" w:styleId="446">
    <w:name w:val="正文 Char Char"/>
    <w:autoRedefine/>
    <w:qFormat/>
    <w:uiPriority w:val="0"/>
    <w:rPr>
      <w:rFonts w:ascii="仿宋_GB2312" w:hAnsi="宋体" w:eastAsia="仿宋_GB2312"/>
      <w:color w:val="000000"/>
      <w:kern w:val="2"/>
      <w:sz w:val="28"/>
      <w:szCs w:val="24"/>
      <w:lang w:val="en-US" w:eastAsia="zh-CN" w:bidi="ar-SA"/>
    </w:rPr>
  </w:style>
  <w:style w:type="character" w:customStyle="1" w:styleId="447">
    <w:name w:val="甲乙酮正文 Char Char Char"/>
    <w:autoRedefine/>
    <w:qFormat/>
    <w:uiPriority w:val="0"/>
    <w:rPr>
      <w:rFonts w:ascii="Times New Roman" w:hAnsi="Times New Roman" w:eastAsia="宋体" w:cs="Times New Roman"/>
      <w:color w:val="000000"/>
      <w:sz w:val="24"/>
      <w:szCs w:val="24"/>
    </w:rPr>
  </w:style>
  <w:style w:type="character" w:customStyle="1" w:styleId="448">
    <w:name w:val="表格内容 Char Char Char"/>
    <w:autoRedefine/>
    <w:qFormat/>
    <w:uiPriority w:val="0"/>
    <w:rPr>
      <w:rFonts w:ascii="Arial" w:hAnsi="Arial" w:eastAsia="仿宋_GB2312"/>
      <w:sz w:val="24"/>
      <w:lang w:val="en-US" w:eastAsia="zh-CN" w:bidi="ar-SA"/>
    </w:rPr>
  </w:style>
  <w:style w:type="character" w:customStyle="1" w:styleId="449">
    <w:name w:val="表格内文字 Char Char Char"/>
    <w:autoRedefine/>
    <w:qFormat/>
    <w:uiPriority w:val="0"/>
    <w:rPr>
      <w:rFonts w:ascii="仿宋_GB2312" w:eastAsia="仿宋_GB2312"/>
      <w:kern w:val="2"/>
      <w:sz w:val="24"/>
      <w:szCs w:val="24"/>
      <w:lang w:val="en-US" w:eastAsia="zh-CN" w:bidi="ar-SA"/>
    </w:rPr>
  </w:style>
  <w:style w:type="character" w:customStyle="1" w:styleId="450">
    <w:name w:val="part"/>
    <w:autoRedefine/>
    <w:qFormat/>
    <w:uiPriority w:val="0"/>
    <w:rPr>
      <w:rFonts w:ascii="宋体" w:hAnsi="宋体" w:eastAsia="宋体" w:cs="宋体"/>
      <w:kern w:val="2"/>
      <w:sz w:val="24"/>
      <w:szCs w:val="24"/>
      <w:lang w:val="en-US" w:eastAsia="zh-CN" w:bidi="ar-SA"/>
    </w:rPr>
  </w:style>
  <w:style w:type="character" w:customStyle="1" w:styleId="451">
    <w:name w:val="样式2 Char Char"/>
    <w:autoRedefine/>
    <w:qFormat/>
    <w:uiPriority w:val="0"/>
    <w:rPr>
      <w:rFonts w:eastAsia="Times New Roman"/>
      <w:kern w:val="2"/>
      <w:sz w:val="24"/>
      <w:lang w:val="en-US" w:eastAsia="zh-CN" w:bidi="ar-SA"/>
    </w:rPr>
  </w:style>
  <w:style w:type="character" w:customStyle="1" w:styleId="452">
    <w:name w:val="td21"/>
    <w:autoRedefine/>
    <w:qFormat/>
    <w:uiPriority w:val="0"/>
    <w:rPr>
      <w:sz w:val="21"/>
      <w:szCs w:val="21"/>
      <w:u w:val="none"/>
    </w:rPr>
  </w:style>
  <w:style w:type="character" w:customStyle="1" w:styleId="453">
    <w:name w:val="highlight1"/>
    <w:autoRedefine/>
    <w:qFormat/>
    <w:uiPriority w:val="0"/>
    <w:rPr>
      <w:sz w:val="21"/>
    </w:rPr>
  </w:style>
  <w:style w:type="character" w:customStyle="1" w:styleId="454">
    <w:name w:val="宋体4 Char Char"/>
    <w:link w:val="455"/>
    <w:autoRedefine/>
    <w:qFormat/>
    <w:uiPriority w:val="0"/>
    <w:rPr>
      <w:sz w:val="28"/>
      <w:szCs w:val="48"/>
    </w:rPr>
  </w:style>
  <w:style w:type="paragraph" w:customStyle="1" w:styleId="455">
    <w:name w:val="宋体4"/>
    <w:basedOn w:val="1"/>
    <w:link w:val="454"/>
    <w:autoRedefine/>
    <w:qFormat/>
    <w:uiPriority w:val="0"/>
    <w:pPr>
      <w:spacing w:line="360" w:lineRule="auto"/>
      <w:ind w:firstLine="200" w:firstLineChars="200"/>
    </w:pPr>
    <w:rPr>
      <w:kern w:val="0"/>
      <w:sz w:val="28"/>
      <w:szCs w:val="48"/>
    </w:rPr>
  </w:style>
  <w:style w:type="character" w:customStyle="1" w:styleId="456">
    <w:name w:val="indetail1"/>
    <w:autoRedefine/>
    <w:qFormat/>
    <w:uiPriority w:val="0"/>
    <w:rPr>
      <w:sz w:val="18"/>
      <w:szCs w:val="18"/>
      <w:bdr w:val="single" w:color="E2E2E2" w:sz="6" w:space="0"/>
    </w:rPr>
  </w:style>
  <w:style w:type="character" w:customStyle="1" w:styleId="457">
    <w:name w:val="专用字体 Char Char"/>
    <w:link w:val="458"/>
    <w:autoRedefine/>
    <w:qFormat/>
    <w:uiPriority w:val="0"/>
    <w:rPr>
      <w:bCs/>
      <w:sz w:val="24"/>
      <w:szCs w:val="24"/>
    </w:rPr>
  </w:style>
  <w:style w:type="paragraph" w:customStyle="1" w:styleId="458">
    <w:name w:val="专用字体"/>
    <w:basedOn w:val="1"/>
    <w:link w:val="457"/>
    <w:autoRedefine/>
    <w:qFormat/>
    <w:uiPriority w:val="0"/>
    <w:pPr>
      <w:spacing w:line="360" w:lineRule="auto"/>
      <w:ind w:firstLine="200" w:firstLineChars="200"/>
    </w:pPr>
    <w:rPr>
      <w:bCs/>
      <w:kern w:val="0"/>
      <w:sz w:val="24"/>
    </w:rPr>
  </w:style>
  <w:style w:type="character" w:customStyle="1" w:styleId="459">
    <w:name w:val="甲乙酮标题3 Char Char"/>
    <w:link w:val="460"/>
    <w:autoRedefine/>
    <w:qFormat/>
    <w:uiPriority w:val="0"/>
    <w:rPr>
      <w:b/>
      <w:bCs/>
      <w:sz w:val="32"/>
      <w:szCs w:val="32"/>
    </w:rPr>
  </w:style>
  <w:style w:type="paragraph" w:customStyle="1" w:styleId="460">
    <w:name w:val="甲乙酮标题3"/>
    <w:basedOn w:val="8"/>
    <w:link w:val="459"/>
    <w:autoRedefine/>
    <w:qFormat/>
    <w:uiPriority w:val="0"/>
    <w:pPr>
      <w:tabs>
        <w:tab w:val="left" w:pos="1260"/>
      </w:tabs>
      <w:spacing w:before="100" w:after="100" w:line="360" w:lineRule="auto"/>
      <w:ind w:left="1260" w:hanging="420"/>
    </w:pPr>
    <w:rPr>
      <w:kern w:val="0"/>
    </w:rPr>
  </w:style>
  <w:style w:type="character" w:customStyle="1" w:styleId="461">
    <w:name w:val="Char Char Char1"/>
    <w:autoRedefine/>
    <w:qFormat/>
    <w:uiPriority w:val="0"/>
    <w:rPr>
      <w:rFonts w:ascii="宋体" w:hAnsi="Courier New" w:eastAsia="宋体" w:cs="Courier New"/>
      <w:kern w:val="2"/>
      <w:sz w:val="21"/>
      <w:szCs w:val="21"/>
      <w:lang w:val="en-US" w:eastAsia="zh-CN" w:bidi="ar-SA"/>
    </w:rPr>
  </w:style>
  <w:style w:type="character" w:customStyle="1" w:styleId="462">
    <w:name w:val="表格填充1 Char Char"/>
    <w:autoRedefine/>
    <w:qFormat/>
    <w:uiPriority w:val="0"/>
    <w:rPr>
      <w:rFonts w:eastAsia="宋体"/>
      <w:szCs w:val="18"/>
      <w:lang w:bidi="ar-SA"/>
    </w:rPr>
  </w:style>
  <w:style w:type="character" w:customStyle="1" w:styleId="463">
    <w:name w:val="表格文字1 Char Char"/>
    <w:link w:val="464"/>
    <w:autoRedefine/>
    <w:qFormat/>
    <w:uiPriority w:val="0"/>
    <w:rPr>
      <w:bCs/>
      <w:color w:val="000000"/>
      <w:szCs w:val="21"/>
    </w:rPr>
  </w:style>
  <w:style w:type="paragraph" w:customStyle="1" w:styleId="464">
    <w:name w:val="表格文字1"/>
    <w:basedOn w:val="178"/>
    <w:link w:val="463"/>
    <w:autoRedefine/>
    <w:qFormat/>
    <w:uiPriority w:val="0"/>
    <w:rPr>
      <w:rFonts w:eastAsia="宋体"/>
      <w:bCs/>
      <w:color w:val="000000"/>
      <w:kern w:val="0"/>
      <w:sz w:val="20"/>
    </w:rPr>
  </w:style>
  <w:style w:type="character" w:customStyle="1" w:styleId="465">
    <w:name w:val="标题1.1.1.1.1.1 Char1"/>
    <w:autoRedefine/>
    <w:qFormat/>
    <w:uiPriority w:val="0"/>
    <w:rPr>
      <w:rFonts w:ascii="Arial" w:hAnsi="Arial" w:eastAsia="黑体"/>
      <w:b/>
      <w:bCs/>
      <w:sz w:val="24"/>
      <w:szCs w:val="24"/>
      <w:lang w:bidi="ar-SA"/>
    </w:rPr>
  </w:style>
  <w:style w:type="character" w:customStyle="1" w:styleId="466">
    <w:name w:val="s1"/>
    <w:autoRedefine/>
    <w:qFormat/>
    <w:uiPriority w:val="0"/>
    <w:rPr>
      <w:sz w:val="18"/>
      <w:szCs w:val="18"/>
    </w:rPr>
  </w:style>
  <w:style w:type="character" w:customStyle="1" w:styleId="467">
    <w:name w:val="正文5号 Char Char1"/>
    <w:autoRedefine/>
    <w:qFormat/>
    <w:uiPriority w:val="0"/>
    <w:rPr>
      <w:sz w:val="24"/>
      <w:lang w:bidi="ar-SA"/>
    </w:rPr>
  </w:style>
  <w:style w:type="character" w:customStyle="1" w:styleId="468">
    <w:name w:val="what"/>
    <w:autoRedefine/>
    <w:qFormat/>
    <w:uiPriority w:val="0"/>
    <w:rPr>
      <w:rFonts w:eastAsia="宋体"/>
      <w:kern w:val="2"/>
      <w:sz w:val="24"/>
      <w:szCs w:val="24"/>
      <w:lang w:val="en-US" w:eastAsia="zh-CN" w:bidi="ar-SA"/>
    </w:rPr>
  </w:style>
  <w:style w:type="character" w:customStyle="1" w:styleId="469">
    <w:name w:val="报告正文1 Char Char"/>
    <w:link w:val="470"/>
    <w:autoRedefine/>
    <w:qFormat/>
    <w:uiPriority w:val="0"/>
    <w:rPr>
      <w:color w:val="000000"/>
      <w:sz w:val="24"/>
      <w:szCs w:val="24"/>
    </w:rPr>
  </w:style>
  <w:style w:type="paragraph" w:customStyle="1" w:styleId="470">
    <w:name w:val="报告正文1"/>
    <w:basedOn w:val="2"/>
    <w:link w:val="469"/>
    <w:autoRedefine/>
    <w:qFormat/>
    <w:uiPriority w:val="0"/>
    <w:pPr>
      <w:spacing w:line="360" w:lineRule="auto"/>
      <w:ind w:firstLine="200"/>
    </w:pPr>
    <w:rPr>
      <w:color w:val="000000"/>
      <w:kern w:val="0"/>
      <w:sz w:val="24"/>
    </w:rPr>
  </w:style>
  <w:style w:type="character" w:customStyle="1" w:styleId="471">
    <w:name w:val="b1 Char2"/>
    <w:autoRedefine/>
    <w:qFormat/>
    <w:uiPriority w:val="0"/>
    <w:rPr>
      <w:rFonts w:ascii="Calibri" w:hAnsi="Calibri"/>
      <w:b/>
      <w:bCs/>
      <w:kern w:val="44"/>
      <w:sz w:val="44"/>
      <w:szCs w:val="44"/>
    </w:rPr>
  </w:style>
  <w:style w:type="character" w:customStyle="1" w:styleId="472">
    <w:name w:val="nine-11"/>
    <w:autoRedefine/>
    <w:qFormat/>
    <w:uiPriority w:val="0"/>
    <w:rPr>
      <w:rFonts w:hint="default"/>
      <w:sz w:val="18"/>
      <w:szCs w:val="18"/>
    </w:rPr>
  </w:style>
  <w:style w:type="character" w:customStyle="1" w:styleId="473">
    <w:name w:val="sf6tjlp"/>
    <w:autoRedefine/>
    <w:qFormat/>
    <w:uiPriority w:val="0"/>
  </w:style>
  <w:style w:type="character" w:customStyle="1" w:styleId="474">
    <w:name w:val="兴武正文 Char Char"/>
    <w:link w:val="475"/>
    <w:autoRedefine/>
    <w:qFormat/>
    <w:uiPriority w:val="0"/>
    <w:rPr>
      <w:sz w:val="24"/>
    </w:rPr>
  </w:style>
  <w:style w:type="paragraph" w:customStyle="1" w:styleId="475">
    <w:name w:val="兴武正文"/>
    <w:basedOn w:val="1"/>
    <w:link w:val="474"/>
    <w:autoRedefine/>
    <w:qFormat/>
    <w:uiPriority w:val="0"/>
    <w:pPr>
      <w:spacing w:line="480" w:lineRule="exact"/>
      <w:ind w:firstLine="200" w:firstLineChars="200"/>
    </w:pPr>
    <w:rPr>
      <w:kern w:val="0"/>
      <w:sz w:val="24"/>
      <w:szCs w:val="20"/>
    </w:rPr>
  </w:style>
  <w:style w:type="character" w:customStyle="1" w:styleId="476">
    <w:name w:val="a11"/>
    <w:autoRedefine/>
    <w:qFormat/>
    <w:uiPriority w:val="0"/>
  </w:style>
  <w:style w:type="character" w:customStyle="1" w:styleId="477">
    <w:name w:val="main-1"/>
    <w:autoRedefine/>
    <w:qFormat/>
    <w:uiPriority w:val="0"/>
  </w:style>
  <w:style w:type="character" w:customStyle="1" w:styleId="478">
    <w:name w:val="s4y5"/>
    <w:autoRedefine/>
    <w:qFormat/>
    <w:uiPriority w:val="0"/>
  </w:style>
  <w:style w:type="character" w:customStyle="1" w:styleId="479">
    <w:name w:val="lh131"/>
    <w:autoRedefine/>
    <w:qFormat/>
    <w:uiPriority w:val="0"/>
  </w:style>
  <w:style w:type="character" w:customStyle="1" w:styleId="480">
    <w:name w:val="Char Char27"/>
    <w:autoRedefine/>
    <w:qFormat/>
    <w:uiPriority w:val="0"/>
    <w:rPr>
      <w:kern w:val="2"/>
      <w:sz w:val="24"/>
      <w:szCs w:val="21"/>
      <w:lang w:bidi="ar-SA"/>
    </w:rPr>
  </w:style>
  <w:style w:type="character" w:customStyle="1" w:styleId="481">
    <w:name w:val="shekj8m"/>
    <w:autoRedefine/>
    <w:qFormat/>
    <w:uiPriority w:val="0"/>
  </w:style>
  <w:style w:type="character" w:customStyle="1" w:styleId="482">
    <w:name w:val="正文样式 Char Char Char Char Char Char Char"/>
    <w:link w:val="483"/>
    <w:autoRedefine/>
    <w:qFormat/>
    <w:uiPriority w:val="0"/>
    <w:rPr>
      <w:rFonts w:ascii="宋体" w:hAnsi="宋体"/>
      <w:color w:val="000000"/>
      <w:sz w:val="24"/>
      <w:szCs w:val="24"/>
    </w:rPr>
  </w:style>
  <w:style w:type="paragraph" w:customStyle="1" w:styleId="483">
    <w:name w:val="正文样式 Char Char Char Char Char"/>
    <w:basedOn w:val="1"/>
    <w:link w:val="482"/>
    <w:autoRedefine/>
    <w:qFormat/>
    <w:uiPriority w:val="0"/>
    <w:pPr>
      <w:spacing w:line="360" w:lineRule="auto"/>
      <w:ind w:firstLine="480" w:firstLineChars="200"/>
    </w:pPr>
    <w:rPr>
      <w:rFonts w:ascii="宋体" w:hAnsi="宋体"/>
      <w:color w:val="000000"/>
      <w:kern w:val="0"/>
      <w:sz w:val="24"/>
    </w:rPr>
  </w:style>
  <w:style w:type="character" w:customStyle="1" w:styleId="484">
    <w:name w:val="样式14 Char Char"/>
    <w:link w:val="485"/>
    <w:autoRedefine/>
    <w:qFormat/>
    <w:uiPriority w:val="0"/>
    <w:rPr>
      <w:rFonts w:ascii="仿宋_GB2312" w:hAnsi="宋体" w:eastAsia="仿宋_GB2312"/>
      <w:bCs/>
      <w:sz w:val="24"/>
    </w:rPr>
  </w:style>
  <w:style w:type="paragraph" w:customStyle="1" w:styleId="485">
    <w:name w:val="样式14"/>
    <w:basedOn w:val="486"/>
    <w:link w:val="484"/>
    <w:autoRedefine/>
    <w:qFormat/>
    <w:uiPriority w:val="0"/>
    <w:pPr>
      <w:adjustRightInd w:val="0"/>
      <w:spacing w:line="240" w:lineRule="auto"/>
      <w:textAlignment w:val="baseline"/>
    </w:pPr>
    <w:rPr>
      <w:rFonts w:ascii="仿宋_GB2312" w:eastAsia="仿宋_GB2312"/>
      <w:bCs/>
      <w:kern w:val="0"/>
      <w:sz w:val="24"/>
      <w:szCs w:val="20"/>
    </w:rPr>
  </w:style>
  <w:style w:type="paragraph" w:customStyle="1" w:styleId="486">
    <w:name w:val="图表文字"/>
    <w:basedOn w:val="1"/>
    <w:autoRedefine/>
    <w:qFormat/>
    <w:uiPriority w:val="0"/>
    <w:pPr>
      <w:spacing w:line="320" w:lineRule="exact"/>
      <w:jc w:val="center"/>
    </w:pPr>
    <w:rPr>
      <w:rFonts w:ascii="宋体" w:hAnsi="宋体"/>
    </w:rPr>
  </w:style>
  <w:style w:type="character" w:customStyle="1" w:styleId="487">
    <w:name w:val="s9n1k0c"/>
    <w:autoRedefine/>
    <w:qFormat/>
    <w:uiPriority w:val="0"/>
  </w:style>
  <w:style w:type="character" w:customStyle="1" w:styleId="488">
    <w:name w:val="Char Char5"/>
    <w:autoRedefine/>
    <w:qFormat/>
    <w:uiPriority w:val="0"/>
    <w:rPr>
      <w:rFonts w:ascii="宋体" w:hAnsi="宋体" w:eastAsia="宋体"/>
      <w:kern w:val="2"/>
      <w:sz w:val="21"/>
      <w:szCs w:val="24"/>
      <w:lang w:val="en-US" w:eastAsia="zh-CN" w:bidi="ar-SA"/>
    </w:rPr>
  </w:style>
  <w:style w:type="character" w:customStyle="1" w:styleId="489">
    <w:name w:val="正文2 Char Char"/>
    <w:link w:val="490"/>
    <w:autoRedefine/>
    <w:qFormat/>
    <w:uiPriority w:val="0"/>
    <w:rPr>
      <w:bCs/>
      <w:sz w:val="24"/>
      <w:szCs w:val="44"/>
    </w:rPr>
  </w:style>
  <w:style w:type="paragraph" w:customStyle="1" w:styleId="490">
    <w:name w:val="正文21"/>
    <w:basedOn w:val="1"/>
    <w:link w:val="489"/>
    <w:autoRedefine/>
    <w:qFormat/>
    <w:uiPriority w:val="0"/>
    <w:pPr>
      <w:adjustRightInd w:val="0"/>
      <w:spacing w:line="360" w:lineRule="auto"/>
      <w:ind w:firstLine="200" w:firstLineChars="200"/>
    </w:pPr>
    <w:rPr>
      <w:bCs/>
      <w:kern w:val="0"/>
      <w:sz w:val="24"/>
      <w:szCs w:val="44"/>
    </w:rPr>
  </w:style>
  <w:style w:type="character" w:customStyle="1" w:styleId="491">
    <w:name w:val="title31"/>
    <w:autoRedefine/>
    <w:qFormat/>
    <w:uiPriority w:val="0"/>
  </w:style>
  <w:style w:type="character" w:customStyle="1" w:styleId="492">
    <w:name w:val="sfmq"/>
    <w:autoRedefine/>
    <w:qFormat/>
    <w:uiPriority w:val="0"/>
  </w:style>
  <w:style w:type="character" w:customStyle="1" w:styleId="493">
    <w:name w:val="f121"/>
    <w:autoRedefine/>
    <w:qFormat/>
    <w:uiPriority w:val="0"/>
    <w:rPr>
      <w:sz w:val="18"/>
      <w:szCs w:val="18"/>
      <w:u w:val="none"/>
    </w:rPr>
  </w:style>
  <w:style w:type="character" w:customStyle="1" w:styleId="494">
    <w:name w:val="sxwt2u"/>
    <w:autoRedefine/>
    <w:qFormat/>
    <w:uiPriority w:val="0"/>
  </w:style>
  <w:style w:type="character" w:customStyle="1" w:styleId="495">
    <w:name w:val="style191"/>
    <w:autoRedefine/>
    <w:qFormat/>
    <w:uiPriority w:val="0"/>
    <w:rPr>
      <w:b/>
      <w:bCs/>
      <w:color w:val="FF0000"/>
    </w:rPr>
  </w:style>
  <w:style w:type="character" w:customStyle="1" w:styleId="496">
    <w:name w:val="sv1hyw"/>
    <w:autoRedefine/>
    <w:qFormat/>
    <w:uiPriority w:val="0"/>
  </w:style>
  <w:style w:type="character" w:customStyle="1" w:styleId="497">
    <w:name w:val="td1"/>
    <w:autoRedefine/>
    <w:qFormat/>
    <w:uiPriority w:val="0"/>
    <w:rPr>
      <w:color w:val="000000"/>
      <w:sz w:val="21"/>
      <w:szCs w:val="21"/>
    </w:rPr>
  </w:style>
  <w:style w:type="character" w:customStyle="1" w:styleId="498">
    <w:name w:val="样式82 Char Char"/>
    <w:link w:val="499"/>
    <w:autoRedefine/>
    <w:qFormat/>
    <w:uiPriority w:val="0"/>
    <w:rPr>
      <w:rFonts w:ascii="宋体" w:hAnsi="宋体"/>
      <w:sz w:val="28"/>
      <w:szCs w:val="28"/>
    </w:rPr>
  </w:style>
  <w:style w:type="paragraph" w:customStyle="1" w:styleId="499">
    <w:name w:val="样式82"/>
    <w:basedOn w:val="1"/>
    <w:link w:val="498"/>
    <w:autoRedefine/>
    <w:qFormat/>
    <w:uiPriority w:val="0"/>
    <w:pPr>
      <w:spacing w:line="360" w:lineRule="auto"/>
      <w:ind w:firstLine="560" w:firstLineChars="200"/>
    </w:pPr>
    <w:rPr>
      <w:rFonts w:ascii="宋体" w:hAnsi="宋体"/>
      <w:kern w:val="0"/>
      <w:sz w:val="28"/>
      <w:szCs w:val="28"/>
    </w:rPr>
  </w:style>
  <w:style w:type="character" w:customStyle="1" w:styleId="500">
    <w:name w:val="s lh15"/>
    <w:autoRedefine/>
    <w:qFormat/>
    <w:uiPriority w:val="0"/>
  </w:style>
  <w:style w:type="character" w:customStyle="1" w:styleId="501">
    <w:name w:val="s8xye"/>
    <w:autoRedefine/>
    <w:qFormat/>
    <w:uiPriority w:val="0"/>
  </w:style>
  <w:style w:type="character" w:customStyle="1" w:styleId="502">
    <w:name w:val="style61"/>
    <w:autoRedefine/>
    <w:qFormat/>
    <w:uiPriority w:val="0"/>
    <w:rPr>
      <w:sz w:val="45"/>
      <w:szCs w:val="45"/>
    </w:rPr>
  </w:style>
  <w:style w:type="character" w:customStyle="1" w:styleId="503">
    <w:name w:val="表格001 Char Char"/>
    <w:link w:val="504"/>
    <w:autoRedefine/>
    <w:qFormat/>
    <w:uiPriority w:val="0"/>
  </w:style>
  <w:style w:type="paragraph" w:customStyle="1" w:styleId="504">
    <w:name w:val="表格001"/>
    <w:basedOn w:val="1"/>
    <w:link w:val="503"/>
    <w:autoRedefine/>
    <w:qFormat/>
    <w:uiPriority w:val="0"/>
    <w:pPr>
      <w:jc w:val="center"/>
    </w:pPr>
    <w:rPr>
      <w:kern w:val="0"/>
      <w:sz w:val="20"/>
      <w:szCs w:val="20"/>
    </w:rPr>
  </w:style>
  <w:style w:type="character" w:customStyle="1" w:styleId="505">
    <w:name w:val="style421"/>
    <w:autoRedefine/>
    <w:qFormat/>
    <w:uiPriority w:val="0"/>
    <w:rPr>
      <w:color w:val="287D3C"/>
      <w:sz w:val="21"/>
      <w:szCs w:val="21"/>
    </w:rPr>
  </w:style>
  <w:style w:type="character" w:customStyle="1" w:styleId="506">
    <w:name w:val="高表单 Char Char"/>
    <w:autoRedefine/>
    <w:qFormat/>
    <w:uiPriority w:val="0"/>
    <w:rPr>
      <w:rFonts w:ascii="Arial" w:hAnsi="Arial" w:eastAsia="宋体"/>
      <w:kern w:val="2"/>
      <w:sz w:val="21"/>
      <w:szCs w:val="21"/>
      <w:lang w:val="en-US" w:eastAsia="zh-CN" w:bidi="ar-SA"/>
    </w:rPr>
  </w:style>
  <w:style w:type="character" w:customStyle="1" w:styleId="507">
    <w:name w:val="soqzabs"/>
    <w:autoRedefine/>
    <w:qFormat/>
    <w:uiPriority w:val="0"/>
  </w:style>
  <w:style w:type="character" w:customStyle="1" w:styleId="508">
    <w:name w:val="pccs1"/>
    <w:autoRedefine/>
    <w:qFormat/>
    <w:uiPriority w:val="0"/>
    <w:rPr>
      <w:sz w:val="18"/>
      <w:szCs w:val="18"/>
    </w:rPr>
  </w:style>
  <w:style w:type="character" w:customStyle="1" w:styleId="509">
    <w:name w:val="s9zsb3q"/>
    <w:autoRedefine/>
    <w:qFormat/>
    <w:uiPriority w:val="0"/>
  </w:style>
  <w:style w:type="character" w:customStyle="1" w:styleId="510">
    <w:name w:val="unnamed91"/>
    <w:autoRedefine/>
    <w:qFormat/>
    <w:uiPriority w:val="0"/>
    <w:rPr>
      <w:rFonts w:hint="eastAsia" w:ascii="宋体" w:hAnsi="宋体" w:eastAsia="宋体"/>
      <w:color w:val="000000"/>
      <w:sz w:val="18"/>
      <w:szCs w:val="18"/>
      <w:u w:val="none"/>
    </w:rPr>
  </w:style>
  <w:style w:type="character" w:customStyle="1" w:styleId="511">
    <w:name w:val="sj4lab"/>
    <w:autoRedefine/>
    <w:qFormat/>
    <w:uiPriority w:val="0"/>
  </w:style>
  <w:style w:type="character" w:customStyle="1" w:styleId="512">
    <w:name w:val="ttitle1"/>
    <w:autoRedefine/>
    <w:qFormat/>
    <w:uiPriority w:val="0"/>
    <w:rPr>
      <w:spacing w:val="120"/>
      <w:sz w:val="21"/>
      <w:szCs w:val="21"/>
    </w:rPr>
  </w:style>
  <w:style w:type="character" w:customStyle="1" w:styleId="513">
    <w:name w:val="style21"/>
    <w:autoRedefine/>
    <w:qFormat/>
    <w:uiPriority w:val="0"/>
    <w:rPr>
      <w:color w:val="00007F"/>
    </w:rPr>
  </w:style>
  <w:style w:type="character" w:customStyle="1" w:styleId="514">
    <w:name w:val="sdi8io"/>
    <w:autoRedefine/>
    <w:qFormat/>
    <w:uiPriority w:val="0"/>
  </w:style>
  <w:style w:type="character" w:customStyle="1" w:styleId="515">
    <w:name w:val="正文缩进 Cha Char"/>
    <w:autoRedefine/>
    <w:qFormat/>
    <w:uiPriority w:val="0"/>
    <w:rPr>
      <w:rFonts w:eastAsia="宋体"/>
      <w:kern w:val="2"/>
      <w:sz w:val="28"/>
      <w:szCs w:val="24"/>
      <w:lang w:val="en-US" w:eastAsia="zh-CN" w:bidi="ar-SA"/>
    </w:rPr>
  </w:style>
  <w:style w:type="character" w:customStyle="1" w:styleId="516">
    <w:name w:val="表文字 Char Char"/>
    <w:link w:val="517"/>
    <w:autoRedefine/>
    <w:qFormat/>
    <w:uiPriority w:val="0"/>
    <w:rPr>
      <w:sz w:val="24"/>
    </w:rPr>
  </w:style>
  <w:style w:type="paragraph" w:customStyle="1" w:styleId="517">
    <w:name w:val="表文字"/>
    <w:basedOn w:val="1"/>
    <w:link w:val="516"/>
    <w:autoRedefine/>
    <w:qFormat/>
    <w:uiPriority w:val="0"/>
    <w:pPr>
      <w:overflowPunct w:val="0"/>
      <w:autoSpaceDE w:val="0"/>
      <w:autoSpaceDN w:val="0"/>
      <w:adjustRightInd w:val="0"/>
      <w:spacing w:line="240" w:lineRule="atLeast"/>
      <w:jc w:val="center"/>
      <w:textAlignment w:val="baseline"/>
    </w:pPr>
    <w:rPr>
      <w:kern w:val="0"/>
      <w:sz w:val="24"/>
      <w:szCs w:val="20"/>
    </w:rPr>
  </w:style>
  <w:style w:type="character" w:customStyle="1" w:styleId="518">
    <w:name w:val="soa7bda"/>
    <w:autoRedefine/>
    <w:qFormat/>
    <w:uiPriority w:val="0"/>
  </w:style>
  <w:style w:type="character" w:customStyle="1" w:styleId="519">
    <w:name w:val="sxuoj4"/>
    <w:autoRedefine/>
    <w:qFormat/>
    <w:uiPriority w:val="0"/>
  </w:style>
  <w:style w:type="character" w:customStyle="1" w:styleId="520">
    <w:name w:val="报告 Char Char"/>
    <w:autoRedefine/>
    <w:qFormat/>
    <w:uiPriority w:val="0"/>
    <w:rPr>
      <w:sz w:val="24"/>
      <w:lang w:bidi="ar-SA"/>
    </w:rPr>
  </w:style>
  <w:style w:type="character" w:customStyle="1" w:styleId="521">
    <w:name w:val="标题 21"/>
    <w:autoRedefine/>
    <w:qFormat/>
    <w:uiPriority w:val="0"/>
    <w:rPr>
      <w:rFonts w:ascii="黑体" w:hAnsi="Arial" w:eastAsia="黑体"/>
      <w:kern w:val="2"/>
      <w:sz w:val="36"/>
      <w:szCs w:val="32"/>
      <w:lang w:val="en-US" w:eastAsia="zh-CN" w:bidi="ar-SA"/>
    </w:rPr>
  </w:style>
  <w:style w:type="character" w:customStyle="1" w:styleId="522">
    <w:name w:val="样式21 Char Char"/>
    <w:link w:val="523"/>
    <w:autoRedefine/>
    <w:qFormat/>
    <w:uiPriority w:val="0"/>
    <w:rPr>
      <w:rFonts w:ascii="宋体" w:hAnsi="宋体"/>
      <w:b/>
      <w:bCs/>
      <w:color w:val="000000"/>
      <w:sz w:val="28"/>
      <w:szCs w:val="28"/>
      <w:lang w:val="zh-CN"/>
    </w:rPr>
  </w:style>
  <w:style w:type="paragraph" w:customStyle="1" w:styleId="523">
    <w:name w:val="样式21"/>
    <w:basedOn w:val="283"/>
    <w:link w:val="522"/>
    <w:autoRedefine/>
    <w:qFormat/>
    <w:uiPriority w:val="0"/>
    <w:pPr>
      <w:spacing w:beforeLines="0" w:afterLines="0" w:line="480" w:lineRule="auto"/>
      <w:ind w:firstLine="3500" w:firstLineChars="1250"/>
      <w:jc w:val="both"/>
      <w:outlineLvl w:val="9"/>
    </w:pPr>
    <w:rPr>
      <w:rFonts w:ascii="宋体" w:hAnsi="宋体" w:eastAsia="宋体"/>
      <w:sz w:val="28"/>
      <w:szCs w:val="28"/>
      <w:lang w:val="zh-CN"/>
    </w:rPr>
  </w:style>
  <w:style w:type="character" w:customStyle="1" w:styleId="524">
    <w:name w:val="zjgblk1"/>
    <w:autoRedefine/>
    <w:qFormat/>
    <w:uiPriority w:val="0"/>
    <w:rPr>
      <w:rFonts w:hint="default"/>
      <w:color w:val="000000"/>
      <w:sz w:val="18"/>
      <w:szCs w:val="18"/>
      <w:u w:val="none"/>
    </w:rPr>
  </w:style>
  <w:style w:type="character" w:customStyle="1" w:styleId="525">
    <w:name w:val="sub42"/>
    <w:autoRedefine/>
    <w:qFormat/>
    <w:uiPriority w:val="0"/>
  </w:style>
  <w:style w:type="character" w:customStyle="1" w:styleId="526">
    <w:name w:val="smuvt"/>
    <w:autoRedefine/>
    <w:qFormat/>
    <w:uiPriority w:val="0"/>
  </w:style>
  <w:style w:type="character" w:customStyle="1" w:styleId="527">
    <w:name w:val="sgiivq"/>
    <w:autoRedefine/>
    <w:qFormat/>
    <w:uiPriority w:val="0"/>
  </w:style>
  <w:style w:type="character" w:customStyle="1" w:styleId="528">
    <w:name w:val="标题 12"/>
    <w:autoRedefine/>
    <w:qFormat/>
    <w:uiPriority w:val="0"/>
    <w:rPr>
      <w:rFonts w:ascii="黑体" w:eastAsia="黑体"/>
      <w:kern w:val="44"/>
      <w:sz w:val="44"/>
      <w:lang w:val="en-US" w:eastAsia="zh-CN" w:bidi="ar-SA"/>
    </w:rPr>
  </w:style>
  <w:style w:type="character" w:customStyle="1" w:styleId="529">
    <w:name w:val="nava61"/>
    <w:autoRedefine/>
    <w:qFormat/>
    <w:uiPriority w:val="0"/>
    <w:rPr>
      <w:color w:val="000000"/>
      <w:sz w:val="21"/>
      <w:szCs w:val="21"/>
      <w:u w:val="none"/>
    </w:rPr>
  </w:style>
  <w:style w:type="character" w:customStyle="1" w:styleId="530">
    <w:name w:val="Char Char Char11"/>
    <w:autoRedefine/>
    <w:qFormat/>
    <w:uiPriority w:val="0"/>
    <w:rPr>
      <w:rFonts w:eastAsia="宋体"/>
      <w:kern w:val="2"/>
      <w:sz w:val="21"/>
      <w:szCs w:val="24"/>
      <w:lang w:val="en-US" w:eastAsia="zh-CN" w:bidi="ar-SA"/>
    </w:rPr>
  </w:style>
  <w:style w:type="character" w:customStyle="1" w:styleId="531">
    <w:name w:val="sc2f7tt"/>
    <w:autoRedefine/>
    <w:qFormat/>
    <w:uiPriority w:val="0"/>
  </w:style>
  <w:style w:type="character" w:customStyle="1" w:styleId="532">
    <w:name w:val="oblog_text"/>
    <w:autoRedefine/>
    <w:qFormat/>
    <w:uiPriority w:val="0"/>
  </w:style>
  <w:style w:type="character" w:customStyle="1" w:styleId="533">
    <w:name w:val="xiaozhiti1"/>
    <w:autoRedefine/>
    <w:qFormat/>
    <w:uiPriority w:val="0"/>
    <w:rPr>
      <w:sz w:val="18"/>
      <w:szCs w:val="18"/>
    </w:rPr>
  </w:style>
  <w:style w:type="character" w:customStyle="1" w:styleId="534">
    <w:name w:val="标题 Char1"/>
    <w:autoRedefine/>
    <w:qFormat/>
    <w:uiPriority w:val="0"/>
    <w:rPr>
      <w:rFonts w:ascii="Arial" w:hAnsi="Arial" w:eastAsia="黑体" w:cs="Arial"/>
      <w:b/>
      <w:bCs/>
      <w:kern w:val="2"/>
      <w:sz w:val="32"/>
      <w:szCs w:val="32"/>
      <w:lang w:val="en-US" w:eastAsia="zh-CN" w:bidi="ar-SA"/>
    </w:rPr>
  </w:style>
  <w:style w:type="character" w:customStyle="1" w:styleId="535">
    <w:name w:val="sub_title1"/>
    <w:autoRedefine/>
    <w:qFormat/>
    <w:uiPriority w:val="0"/>
    <w:rPr>
      <w:rFonts w:hint="default"/>
      <w:color w:val="FF6600"/>
      <w:sz w:val="21"/>
      <w:szCs w:val="21"/>
    </w:rPr>
  </w:style>
  <w:style w:type="character" w:customStyle="1" w:styleId="536">
    <w:name w:val="s6lx"/>
    <w:autoRedefine/>
    <w:qFormat/>
    <w:uiPriority w:val="0"/>
  </w:style>
  <w:style w:type="character" w:customStyle="1" w:styleId="537">
    <w:name w:val="sy7t"/>
    <w:autoRedefine/>
    <w:qFormat/>
    <w:uiPriority w:val="0"/>
  </w:style>
  <w:style w:type="character" w:customStyle="1" w:styleId="538">
    <w:name w:val="样式78 Char Char"/>
    <w:link w:val="539"/>
    <w:autoRedefine/>
    <w:qFormat/>
    <w:uiPriority w:val="0"/>
    <w:rPr>
      <w:rFonts w:ascii="黑体" w:eastAsia="黑体"/>
      <w:b/>
      <w:kern w:val="44"/>
      <w:sz w:val="32"/>
    </w:rPr>
  </w:style>
  <w:style w:type="paragraph" w:customStyle="1" w:styleId="539">
    <w:name w:val="样式78"/>
    <w:basedOn w:val="1"/>
    <w:link w:val="538"/>
    <w:autoRedefine/>
    <w:qFormat/>
    <w:uiPriority w:val="0"/>
    <w:pPr>
      <w:keepNext/>
      <w:keepLines/>
      <w:spacing w:before="290" w:after="290" w:line="360" w:lineRule="auto"/>
      <w:jc w:val="center"/>
      <w:outlineLvl w:val="0"/>
    </w:pPr>
    <w:rPr>
      <w:rFonts w:ascii="黑体" w:eastAsia="黑体"/>
      <w:b/>
      <w:kern w:val="44"/>
      <w:sz w:val="32"/>
      <w:szCs w:val="20"/>
    </w:rPr>
  </w:style>
  <w:style w:type="character" w:customStyle="1" w:styleId="540">
    <w:name w:val="样式45 Char Char"/>
    <w:link w:val="541"/>
    <w:autoRedefine/>
    <w:qFormat/>
    <w:uiPriority w:val="0"/>
    <w:rPr>
      <w:rFonts w:ascii="宋体" w:hAnsi="宋体"/>
      <w:color w:val="000000"/>
      <w:sz w:val="28"/>
      <w:szCs w:val="28"/>
    </w:rPr>
  </w:style>
  <w:style w:type="paragraph" w:customStyle="1" w:styleId="541">
    <w:name w:val="样式45"/>
    <w:basedOn w:val="1"/>
    <w:link w:val="540"/>
    <w:autoRedefine/>
    <w:qFormat/>
    <w:uiPriority w:val="0"/>
    <w:pPr>
      <w:spacing w:line="360" w:lineRule="auto"/>
      <w:ind w:firstLine="560" w:firstLineChars="200"/>
    </w:pPr>
    <w:rPr>
      <w:rFonts w:ascii="宋体" w:hAnsi="宋体"/>
      <w:color w:val="000000"/>
      <w:kern w:val="0"/>
      <w:sz w:val="28"/>
      <w:szCs w:val="28"/>
    </w:rPr>
  </w:style>
  <w:style w:type="character" w:customStyle="1" w:styleId="542">
    <w:name w:val="样式90 Char Char"/>
    <w:link w:val="543"/>
    <w:autoRedefine/>
    <w:qFormat/>
    <w:uiPriority w:val="0"/>
    <w:rPr>
      <w:rFonts w:ascii="黑体" w:hAnsi="宋体" w:eastAsia="黑体"/>
      <w:color w:val="000000"/>
      <w:sz w:val="24"/>
      <w:szCs w:val="24"/>
    </w:rPr>
  </w:style>
  <w:style w:type="paragraph" w:customStyle="1" w:styleId="543">
    <w:name w:val="样式90"/>
    <w:basedOn w:val="1"/>
    <w:link w:val="542"/>
    <w:autoRedefine/>
    <w:qFormat/>
    <w:uiPriority w:val="0"/>
    <w:pPr>
      <w:widowControl/>
      <w:spacing w:beforeLines="50" w:afterLines="50" w:line="360" w:lineRule="auto"/>
      <w:ind w:firstLine="480" w:firstLineChars="200"/>
      <w:jc w:val="center"/>
    </w:pPr>
    <w:rPr>
      <w:rFonts w:ascii="黑体" w:hAnsi="宋体" w:eastAsia="黑体"/>
      <w:color w:val="000000"/>
      <w:kern w:val="0"/>
      <w:sz w:val="24"/>
    </w:rPr>
  </w:style>
  <w:style w:type="character" w:customStyle="1" w:styleId="544">
    <w:name w:val="样式70 Char Char"/>
    <w:link w:val="545"/>
    <w:autoRedefine/>
    <w:qFormat/>
    <w:uiPriority w:val="0"/>
    <w:rPr>
      <w:rFonts w:ascii="宋体" w:hAnsi="宋体"/>
      <w:color w:val="000000"/>
      <w:kern w:val="28"/>
      <w:sz w:val="28"/>
      <w:szCs w:val="28"/>
    </w:rPr>
  </w:style>
  <w:style w:type="paragraph" w:customStyle="1" w:styleId="545">
    <w:name w:val="样式70"/>
    <w:basedOn w:val="1"/>
    <w:link w:val="544"/>
    <w:autoRedefine/>
    <w:qFormat/>
    <w:uiPriority w:val="0"/>
    <w:pPr>
      <w:spacing w:line="460" w:lineRule="exact"/>
      <w:ind w:firstLine="560" w:firstLineChars="200"/>
      <w:jc w:val="left"/>
    </w:pPr>
    <w:rPr>
      <w:rFonts w:ascii="宋体" w:hAnsi="宋体"/>
      <w:color w:val="000000"/>
      <w:kern w:val="28"/>
      <w:sz w:val="28"/>
      <w:szCs w:val="28"/>
    </w:rPr>
  </w:style>
  <w:style w:type="character" w:customStyle="1" w:styleId="546">
    <w:name w:val="标题 Char2"/>
    <w:autoRedefine/>
    <w:qFormat/>
    <w:uiPriority w:val="0"/>
    <w:rPr>
      <w:rFonts w:ascii="Cambria" w:hAnsi="Cambria" w:cs="Times New Roman"/>
      <w:b/>
      <w:bCs/>
      <w:kern w:val="2"/>
      <w:sz w:val="32"/>
      <w:szCs w:val="32"/>
    </w:rPr>
  </w:style>
  <w:style w:type="character" w:customStyle="1" w:styleId="547">
    <w:name w:val="甲乙酮正文 Char"/>
    <w:autoRedefine/>
    <w:qFormat/>
    <w:uiPriority w:val="0"/>
    <w:rPr>
      <w:rFonts w:eastAsia="宋体"/>
      <w:color w:val="000000"/>
      <w:kern w:val="2"/>
      <w:sz w:val="24"/>
      <w:szCs w:val="24"/>
      <w:lang w:val="en-US" w:eastAsia="zh-CN" w:bidi="ar-SA"/>
    </w:rPr>
  </w:style>
  <w:style w:type="character" w:customStyle="1" w:styleId="548">
    <w:name w:val="甲乙酮标题3 Char"/>
    <w:autoRedefine/>
    <w:qFormat/>
    <w:uiPriority w:val="0"/>
    <w:rPr>
      <w:rFonts w:eastAsia="宋体"/>
      <w:b/>
      <w:bCs/>
      <w:kern w:val="2"/>
      <w:sz w:val="32"/>
      <w:szCs w:val="32"/>
      <w:lang w:val="en-US" w:eastAsia="zh-CN" w:bidi="ar-SA"/>
    </w:rPr>
  </w:style>
  <w:style w:type="character" w:customStyle="1" w:styleId="549">
    <w:name w:val="报告正文1 Char"/>
    <w:autoRedefine/>
    <w:qFormat/>
    <w:uiPriority w:val="0"/>
    <w:rPr>
      <w:rFonts w:eastAsia="宋体"/>
      <w:color w:val="000000"/>
      <w:kern w:val="2"/>
      <w:sz w:val="24"/>
      <w:szCs w:val="24"/>
      <w:lang w:val="en-US" w:eastAsia="zh-CN" w:bidi="ar-SA"/>
    </w:rPr>
  </w:style>
  <w:style w:type="character" w:customStyle="1" w:styleId="550">
    <w:name w:val="文本 Char"/>
    <w:autoRedefine/>
    <w:qFormat/>
    <w:uiPriority w:val="0"/>
    <w:rPr>
      <w:kern w:val="2"/>
      <w:sz w:val="24"/>
      <w:szCs w:val="24"/>
    </w:rPr>
  </w:style>
  <w:style w:type="character" w:customStyle="1" w:styleId="551">
    <w:name w:val="表 标题 Char"/>
    <w:autoRedefine/>
    <w:qFormat/>
    <w:uiPriority w:val="0"/>
    <w:rPr>
      <w:rFonts w:cs="宋体"/>
      <w:b/>
      <w:kern w:val="2"/>
      <w:sz w:val="24"/>
    </w:rPr>
  </w:style>
  <w:style w:type="character" w:customStyle="1" w:styleId="552">
    <w:name w:val="环正文 Char4"/>
    <w:link w:val="553"/>
    <w:autoRedefine/>
    <w:qFormat/>
    <w:uiPriority w:val="0"/>
    <w:rPr>
      <w:rFonts w:ascii="仿宋_GB2312" w:hAnsi="宋体" w:eastAsia="仿宋_GB2312"/>
      <w:sz w:val="28"/>
    </w:rPr>
  </w:style>
  <w:style w:type="paragraph" w:customStyle="1" w:styleId="553">
    <w:name w:val="环正文"/>
    <w:basedOn w:val="1"/>
    <w:link w:val="552"/>
    <w:autoRedefine/>
    <w:qFormat/>
    <w:uiPriority w:val="0"/>
    <w:pPr>
      <w:widowControl/>
      <w:suppressAutoHyphens/>
      <w:adjustRightInd w:val="0"/>
      <w:snapToGrid w:val="0"/>
      <w:spacing w:line="300" w:lineRule="auto"/>
      <w:ind w:firstLine="560"/>
      <w:textAlignment w:val="baseline"/>
    </w:pPr>
    <w:rPr>
      <w:rFonts w:ascii="仿宋_GB2312" w:hAnsi="宋体" w:eastAsia="仿宋_GB2312"/>
      <w:kern w:val="0"/>
      <w:sz w:val="28"/>
      <w:szCs w:val="20"/>
    </w:rPr>
  </w:style>
  <w:style w:type="character" w:customStyle="1" w:styleId="554">
    <w:name w:val="副标题 Char1"/>
    <w:autoRedefine/>
    <w:qFormat/>
    <w:uiPriority w:val="11"/>
    <w:rPr>
      <w:rFonts w:ascii="Cambria" w:hAnsi="Cambria" w:eastAsia="宋体" w:cs="Times New Roman"/>
      <w:b/>
      <w:bCs/>
      <w:kern w:val="28"/>
      <w:sz w:val="32"/>
      <w:szCs w:val="32"/>
    </w:rPr>
  </w:style>
  <w:style w:type="character" w:customStyle="1" w:styleId="555">
    <w:name w:val="三级 Char"/>
    <w:link w:val="556"/>
    <w:autoRedefine/>
    <w:qFormat/>
    <w:uiPriority w:val="0"/>
    <w:rPr>
      <w:b/>
      <w:kern w:val="2"/>
      <w:sz w:val="28"/>
    </w:rPr>
  </w:style>
  <w:style w:type="paragraph" w:customStyle="1" w:styleId="556">
    <w:name w:val="三级"/>
    <w:basedOn w:val="1"/>
    <w:link w:val="555"/>
    <w:autoRedefine/>
    <w:qFormat/>
    <w:uiPriority w:val="0"/>
    <w:pPr>
      <w:adjustRightInd w:val="0"/>
      <w:textAlignment w:val="baseline"/>
    </w:pPr>
    <w:rPr>
      <w:b/>
      <w:sz w:val="28"/>
      <w:szCs w:val="20"/>
    </w:rPr>
  </w:style>
  <w:style w:type="character" w:customStyle="1" w:styleId="557">
    <w:name w:val="兴武正文 Char"/>
    <w:autoRedefine/>
    <w:qFormat/>
    <w:uiPriority w:val="0"/>
    <w:rPr>
      <w:rFonts w:eastAsia="宋体" w:cs="宋体"/>
      <w:kern w:val="2"/>
      <w:sz w:val="24"/>
      <w:lang w:val="en-US" w:eastAsia="zh-CN" w:bidi="ar-SA"/>
    </w:rPr>
  </w:style>
  <w:style w:type="character" w:customStyle="1" w:styleId="558">
    <w:name w:val="表格yy Char Char"/>
    <w:link w:val="559"/>
    <w:autoRedefine/>
    <w:qFormat/>
    <w:uiPriority w:val="0"/>
    <w:rPr>
      <w:rFonts w:eastAsia="仿宋_GB2312"/>
      <w:szCs w:val="24"/>
    </w:rPr>
  </w:style>
  <w:style w:type="paragraph" w:customStyle="1" w:styleId="559">
    <w:name w:val="表格yy"/>
    <w:basedOn w:val="1"/>
    <w:link w:val="558"/>
    <w:autoRedefine/>
    <w:qFormat/>
    <w:uiPriority w:val="0"/>
    <w:pPr>
      <w:snapToGrid w:val="0"/>
      <w:spacing w:line="240" w:lineRule="atLeast"/>
      <w:jc w:val="center"/>
    </w:pPr>
    <w:rPr>
      <w:rFonts w:eastAsia="仿宋_GB2312"/>
      <w:kern w:val="0"/>
      <w:sz w:val="20"/>
    </w:rPr>
  </w:style>
  <w:style w:type="character" w:customStyle="1" w:styleId="560">
    <w:name w:val="正文缩进 Char Char"/>
    <w:autoRedefine/>
    <w:qFormat/>
    <w:uiPriority w:val="0"/>
    <w:rPr>
      <w:rFonts w:eastAsia="宋体"/>
      <w:kern w:val="2"/>
      <w:sz w:val="21"/>
      <w:szCs w:val="24"/>
      <w:lang w:val="en-US" w:eastAsia="zh-CN" w:bidi="ar-SA"/>
    </w:rPr>
  </w:style>
  <w:style w:type="character" w:customStyle="1" w:styleId="561">
    <w:name w:val="页眉1 Char1"/>
    <w:autoRedefine/>
    <w:qFormat/>
    <w:uiPriority w:val="0"/>
    <w:rPr>
      <w:rFonts w:eastAsia="宋体"/>
      <w:kern w:val="2"/>
      <w:sz w:val="18"/>
      <w:szCs w:val="18"/>
      <w:lang w:val="en-US" w:eastAsia="zh-CN" w:bidi="ar-SA"/>
    </w:rPr>
  </w:style>
  <w:style w:type="character" w:customStyle="1" w:styleId="562">
    <w:name w:val="Char Char48"/>
    <w:autoRedefine/>
    <w:qFormat/>
    <w:uiPriority w:val="0"/>
    <w:rPr>
      <w:b/>
      <w:bCs/>
      <w:kern w:val="44"/>
      <w:sz w:val="44"/>
      <w:szCs w:val="44"/>
    </w:rPr>
  </w:style>
  <w:style w:type="character" w:customStyle="1" w:styleId="563">
    <w:name w:val="14588 Char"/>
    <w:link w:val="564"/>
    <w:autoRedefine/>
    <w:qFormat/>
    <w:uiPriority w:val="0"/>
    <w:rPr>
      <w:rFonts w:ascii="Calibri" w:hAnsi="Calibri" w:cs="宋体"/>
      <w:kern w:val="2"/>
      <w:sz w:val="24"/>
      <w:lang w:val="de-DE"/>
    </w:rPr>
  </w:style>
  <w:style w:type="paragraph" w:customStyle="1" w:styleId="564">
    <w:name w:val="14588"/>
    <w:basedOn w:val="1"/>
    <w:link w:val="563"/>
    <w:autoRedefine/>
    <w:qFormat/>
    <w:uiPriority w:val="0"/>
    <w:pPr>
      <w:spacing w:line="360" w:lineRule="auto"/>
      <w:ind w:firstLine="480" w:firstLineChars="200"/>
    </w:pPr>
    <w:rPr>
      <w:rFonts w:ascii="Calibri" w:hAnsi="Calibri" w:cs="宋体"/>
      <w:sz w:val="24"/>
      <w:szCs w:val="20"/>
      <w:lang w:val="de-DE"/>
    </w:rPr>
  </w:style>
  <w:style w:type="character" w:customStyle="1" w:styleId="565">
    <w:name w:val="茂名 正文 Char"/>
    <w:link w:val="566"/>
    <w:autoRedefine/>
    <w:qFormat/>
    <w:uiPriority w:val="0"/>
    <w:rPr>
      <w:rFonts w:ascii="Symbol" w:hAnsi="Symbol" w:eastAsia="微软雅黑" w:cs="Symbol"/>
      <w:sz w:val="24"/>
      <w:szCs w:val="24"/>
    </w:rPr>
  </w:style>
  <w:style w:type="paragraph" w:customStyle="1" w:styleId="566">
    <w:name w:val="茂名 正文"/>
    <w:basedOn w:val="1"/>
    <w:link w:val="565"/>
    <w:autoRedefine/>
    <w:qFormat/>
    <w:uiPriority w:val="0"/>
    <w:pPr>
      <w:widowControl/>
      <w:topLinePunct/>
      <w:spacing w:line="480" w:lineRule="exact"/>
      <w:ind w:firstLine="539"/>
    </w:pPr>
    <w:rPr>
      <w:rFonts w:ascii="Symbol" w:hAnsi="Symbol" w:eastAsia="微软雅黑" w:cs="Symbol"/>
      <w:kern w:val="0"/>
      <w:sz w:val="24"/>
    </w:rPr>
  </w:style>
  <w:style w:type="character" w:customStyle="1" w:styleId="567">
    <w:name w:val="正文(康健城) Char"/>
    <w:link w:val="568"/>
    <w:autoRedefine/>
    <w:qFormat/>
    <w:uiPriority w:val="0"/>
    <w:rPr>
      <w:sz w:val="24"/>
      <w:szCs w:val="24"/>
    </w:rPr>
  </w:style>
  <w:style w:type="paragraph" w:customStyle="1" w:styleId="568">
    <w:name w:val="正文(康健城)"/>
    <w:basedOn w:val="1"/>
    <w:link w:val="567"/>
    <w:autoRedefine/>
    <w:qFormat/>
    <w:uiPriority w:val="0"/>
    <w:pPr>
      <w:adjustRightInd w:val="0"/>
      <w:snapToGrid w:val="0"/>
      <w:spacing w:line="360" w:lineRule="auto"/>
      <w:ind w:firstLine="480" w:firstLineChars="200"/>
      <w:textAlignment w:val="baseline"/>
    </w:pPr>
    <w:rPr>
      <w:kern w:val="0"/>
      <w:sz w:val="24"/>
    </w:rPr>
  </w:style>
  <w:style w:type="character" w:customStyle="1" w:styleId="569">
    <w:name w:val="标题1.1.1.1.1.1 Char"/>
    <w:autoRedefine/>
    <w:qFormat/>
    <w:uiPriority w:val="0"/>
    <w:rPr>
      <w:rFonts w:ascii="Arial" w:hAnsi="Arial" w:eastAsia="黑体" w:cs="宋体"/>
      <w:b/>
      <w:color w:val="FF0000"/>
      <w:kern w:val="0"/>
      <w:szCs w:val="20"/>
    </w:rPr>
  </w:style>
  <w:style w:type="character" w:customStyle="1" w:styleId="570">
    <w:name w:val="标题 7表内5号 Char"/>
    <w:autoRedefine/>
    <w:qFormat/>
    <w:uiPriority w:val="0"/>
    <w:rPr>
      <w:rFonts w:ascii="Times New Roman" w:hAnsi="Times New Roman" w:eastAsia="宋体" w:cs="宋体"/>
      <w:b/>
      <w:color w:val="FF0000"/>
      <w:kern w:val="0"/>
      <w:szCs w:val="20"/>
    </w:rPr>
  </w:style>
  <w:style w:type="character" w:customStyle="1" w:styleId="571">
    <w:name w:val="目标题 1) Char"/>
    <w:autoRedefine/>
    <w:qFormat/>
    <w:uiPriority w:val="0"/>
    <w:rPr>
      <w:rFonts w:ascii="Arial" w:hAnsi="Arial" w:eastAsia="黑体" w:cs="宋体"/>
      <w:b/>
      <w:color w:val="FF0000"/>
      <w:kern w:val="0"/>
      <w:szCs w:val="20"/>
    </w:rPr>
  </w:style>
  <w:style w:type="character" w:customStyle="1" w:styleId="572">
    <w:name w:val="干标题(a) Char"/>
    <w:autoRedefine/>
    <w:qFormat/>
    <w:uiPriority w:val="0"/>
    <w:rPr>
      <w:rFonts w:ascii="Arial" w:hAnsi="Arial" w:eastAsia="黑体" w:cs="宋体"/>
      <w:b/>
      <w:color w:val="FF0000"/>
      <w:kern w:val="0"/>
      <w:szCs w:val="20"/>
    </w:rPr>
  </w:style>
  <w:style w:type="character" w:customStyle="1" w:styleId="573">
    <w:name w:val="CN normal Char"/>
    <w:link w:val="574"/>
    <w:autoRedefine/>
    <w:qFormat/>
    <w:uiPriority w:val="0"/>
    <w:rPr>
      <w:rFonts w:ascii="Arial" w:hAnsi="Arial"/>
      <w:lang w:val="en-GB"/>
    </w:rPr>
  </w:style>
  <w:style w:type="paragraph" w:customStyle="1" w:styleId="574">
    <w:name w:val="CN normal"/>
    <w:basedOn w:val="1"/>
    <w:link w:val="573"/>
    <w:autoRedefine/>
    <w:qFormat/>
    <w:uiPriority w:val="0"/>
    <w:pPr>
      <w:widowControl/>
      <w:spacing w:line="280" w:lineRule="atLeast"/>
      <w:contextualSpacing/>
    </w:pPr>
    <w:rPr>
      <w:rFonts w:ascii="Arial" w:hAnsi="Arial"/>
      <w:kern w:val="0"/>
      <w:sz w:val="20"/>
      <w:szCs w:val="20"/>
      <w:lang w:val="en-GB"/>
    </w:rPr>
  </w:style>
  <w:style w:type="character" w:customStyle="1" w:styleId="575">
    <w:name w:val="li_正文 Char"/>
    <w:link w:val="576"/>
    <w:autoRedefine/>
    <w:qFormat/>
    <w:uiPriority w:val="0"/>
    <w:rPr>
      <w:rFonts w:ascii="Calibri" w:hAnsi="Calibri"/>
      <w:kern w:val="2"/>
      <w:sz w:val="21"/>
      <w:szCs w:val="24"/>
    </w:rPr>
  </w:style>
  <w:style w:type="paragraph" w:customStyle="1" w:styleId="576">
    <w:name w:val="li_正文"/>
    <w:basedOn w:val="1"/>
    <w:link w:val="575"/>
    <w:autoRedefine/>
    <w:qFormat/>
    <w:uiPriority w:val="0"/>
    <w:pPr>
      <w:ind w:firstLine="480" w:firstLineChars="200"/>
      <w:contextualSpacing/>
    </w:pPr>
    <w:rPr>
      <w:rFonts w:ascii="Calibri" w:hAnsi="Calibri"/>
    </w:rPr>
  </w:style>
  <w:style w:type="character" w:customStyle="1" w:styleId="577">
    <w:name w:val="表名 Char1"/>
    <w:link w:val="578"/>
    <w:autoRedefine/>
    <w:semiHidden/>
    <w:qFormat/>
    <w:uiPriority w:val="0"/>
    <w:rPr>
      <w:rFonts w:ascii="Arial" w:hAnsi="Arial" w:eastAsia="楷体_GB2312" w:cs="宋体"/>
      <w:b/>
      <w:sz w:val="21"/>
    </w:rPr>
  </w:style>
  <w:style w:type="paragraph" w:customStyle="1" w:styleId="578">
    <w:name w:val="表名"/>
    <w:basedOn w:val="1"/>
    <w:link w:val="577"/>
    <w:autoRedefine/>
    <w:semiHidden/>
    <w:qFormat/>
    <w:uiPriority w:val="0"/>
    <w:pPr>
      <w:widowControl/>
      <w:adjustRightInd w:val="0"/>
      <w:spacing w:before="120" w:afterLines="10" w:line="312" w:lineRule="auto"/>
      <w:contextualSpacing/>
      <w:jc w:val="center"/>
      <w:textAlignment w:val="baseline"/>
    </w:pPr>
    <w:rPr>
      <w:rFonts w:ascii="Arial" w:hAnsi="Arial" w:eastAsia="楷体_GB2312" w:cs="宋体"/>
      <w:b/>
      <w:kern w:val="0"/>
      <w:szCs w:val="20"/>
    </w:rPr>
  </w:style>
  <w:style w:type="character" w:customStyle="1" w:styleId="579">
    <w:name w:val="表名 1 Char"/>
    <w:link w:val="580"/>
    <w:autoRedefine/>
    <w:qFormat/>
    <w:uiPriority w:val="0"/>
    <w:rPr>
      <w:rFonts w:ascii="Arial" w:hAnsi="Arial" w:eastAsia="楷体_GB2312" w:cs="宋体"/>
      <w:b/>
      <w:sz w:val="21"/>
    </w:rPr>
  </w:style>
  <w:style w:type="paragraph" w:customStyle="1" w:styleId="580">
    <w:name w:val="表名 1"/>
    <w:basedOn w:val="578"/>
    <w:link w:val="579"/>
    <w:autoRedefine/>
    <w:qFormat/>
    <w:uiPriority w:val="0"/>
    <w:pPr>
      <w:spacing w:after="31"/>
    </w:pPr>
  </w:style>
  <w:style w:type="character" w:customStyle="1" w:styleId="581">
    <w:name w:val="hangju"/>
    <w:autoRedefine/>
    <w:qFormat/>
    <w:uiPriority w:val="0"/>
    <w:rPr>
      <w:rFonts w:ascii="宋体" w:hAnsi="宋体" w:eastAsia="宋体" w:cs="宋体"/>
      <w:kern w:val="2"/>
      <w:sz w:val="24"/>
      <w:szCs w:val="24"/>
      <w:lang w:val="en-US" w:eastAsia="zh-CN" w:bidi="ar-SA"/>
    </w:rPr>
  </w:style>
  <w:style w:type="character" w:customStyle="1" w:styleId="582">
    <w:name w:val="可研报告正文 Char"/>
    <w:link w:val="583"/>
    <w:autoRedefine/>
    <w:qFormat/>
    <w:uiPriority w:val="0"/>
    <w:rPr>
      <w:rFonts w:ascii="Calibri" w:hAnsi="Calibri" w:cs="宋体"/>
      <w:sz w:val="21"/>
      <w:szCs w:val="24"/>
    </w:rPr>
  </w:style>
  <w:style w:type="paragraph" w:customStyle="1" w:styleId="583">
    <w:name w:val="可研报告正文"/>
    <w:basedOn w:val="1"/>
    <w:link w:val="582"/>
    <w:autoRedefine/>
    <w:qFormat/>
    <w:uiPriority w:val="0"/>
    <w:pPr>
      <w:widowControl/>
      <w:tabs>
        <w:tab w:val="left" w:pos="5880"/>
      </w:tabs>
      <w:spacing w:beforeLines="50" w:line="440" w:lineRule="exact"/>
      <w:ind w:left="425" w:firstLine="482"/>
      <w:contextualSpacing/>
      <w:jc w:val="left"/>
    </w:pPr>
    <w:rPr>
      <w:rFonts w:ascii="Calibri" w:hAnsi="Calibri" w:cs="宋体"/>
      <w:kern w:val="0"/>
    </w:rPr>
  </w:style>
  <w:style w:type="character" w:customStyle="1" w:styleId="584">
    <w:name w:val="csscontent0041"/>
    <w:autoRedefine/>
    <w:qFormat/>
    <w:uiPriority w:val="0"/>
    <w:rPr>
      <w:rFonts w:hint="default" w:ascii="ˎ̥" w:hAnsi="ˎ̥"/>
      <w:color w:val="000000"/>
      <w:sz w:val="16"/>
      <w:szCs w:val="16"/>
      <w:u w:val="none"/>
    </w:rPr>
  </w:style>
  <w:style w:type="character" w:customStyle="1" w:styleId="585">
    <w:name w:val="段落文字 Char"/>
    <w:link w:val="586"/>
    <w:autoRedefine/>
    <w:qFormat/>
    <w:uiPriority w:val="0"/>
    <w:rPr>
      <w:rFonts w:ascii="宋体" w:hAnsi="宋体"/>
      <w:sz w:val="24"/>
      <w:szCs w:val="24"/>
    </w:rPr>
  </w:style>
  <w:style w:type="paragraph" w:customStyle="1" w:styleId="586">
    <w:name w:val="段落文字"/>
    <w:basedOn w:val="1"/>
    <w:link w:val="585"/>
    <w:autoRedefine/>
    <w:qFormat/>
    <w:uiPriority w:val="0"/>
    <w:pPr>
      <w:widowControl/>
      <w:adjustRightInd w:val="0"/>
      <w:snapToGrid w:val="0"/>
      <w:spacing w:line="480" w:lineRule="exact"/>
      <w:contextualSpacing/>
      <w:jc w:val="left"/>
    </w:pPr>
    <w:rPr>
      <w:rFonts w:ascii="宋体" w:hAnsi="宋体"/>
      <w:kern w:val="0"/>
      <w:sz w:val="24"/>
    </w:rPr>
  </w:style>
  <w:style w:type="character" w:customStyle="1" w:styleId="587">
    <w:name w:val="middle1"/>
    <w:autoRedefine/>
    <w:qFormat/>
    <w:uiPriority w:val="0"/>
    <w:rPr>
      <w:rFonts w:hint="eastAsia" w:ascii="宋体" w:hAnsi="宋体" w:eastAsia="宋体"/>
      <w:sz w:val="24"/>
      <w:szCs w:val="24"/>
    </w:rPr>
  </w:style>
  <w:style w:type="character" w:customStyle="1" w:styleId="588">
    <w:name w:val="样式 表内样式 + (符号) 宋体 Char1"/>
    <w:link w:val="589"/>
    <w:autoRedefine/>
    <w:qFormat/>
    <w:uiPriority w:val="0"/>
    <w:rPr>
      <w:rFonts w:ascii="Calibri" w:hAnsi="Calibri" w:cs="宋体"/>
      <w:sz w:val="21"/>
      <w:szCs w:val="21"/>
    </w:rPr>
  </w:style>
  <w:style w:type="paragraph" w:customStyle="1" w:styleId="589">
    <w:name w:val="样式 表内样式 + (符号) 宋体"/>
    <w:basedOn w:val="1"/>
    <w:link w:val="588"/>
    <w:autoRedefine/>
    <w:qFormat/>
    <w:uiPriority w:val="0"/>
    <w:pPr>
      <w:keepLines/>
      <w:widowControl/>
      <w:kinsoku w:val="0"/>
      <w:overflowPunct w:val="0"/>
      <w:adjustRightInd w:val="0"/>
      <w:spacing w:line="320" w:lineRule="exact"/>
      <w:contextualSpacing/>
      <w:jc w:val="center"/>
    </w:pPr>
    <w:rPr>
      <w:rFonts w:ascii="Calibri" w:hAnsi="Calibri" w:cs="宋体"/>
      <w:kern w:val="0"/>
    </w:rPr>
  </w:style>
  <w:style w:type="character" w:customStyle="1" w:styleId="590">
    <w:name w:val="Char Char111"/>
    <w:autoRedefine/>
    <w:qFormat/>
    <w:uiPriority w:val="0"/>
    <w:rPr>
      <w:rFonts w:ascii="Arial" w:hAnsi="Arial" w:eastAsia="黑体"/>
      <w:b/>
      <w:sz w:val="28"/>
    </w:rPr>
  </w:style>
  <w:style w:type="character" w:customStyle="1" w:styleId="591">
    <w:name w:val="Char Char2"/>
    <w:autoRedefine/>
    <w:qFormat/>
    <w:uiPriority w:val="0"/>
    <w:rPr>
      <w:rFonts w:ascii="宋体" w:hAnsi="Courier New" w:eastAsia="宋体"/>
      <w:kern w:val="2"/>
      <w:sz w:val="21"/>
      <w:lang w:val="en-US" w:eastAsia="zh-CN" w:bidi="ar-SA"/>
    </w:rPr>
  </w:style>
  <w:style w:type="character" w:customStyle="1" w:styleId="592">
    <w:name w:val="正文首行缩进2字符! Char"/>
    <w:link w:val="593"/>
    <w:autoRedefine/>
    <w:qFormat/>
    <w:uiPriority w:val="0"/>
    <w:rPr>
      <w:rFonts w:ascii="Calibri" w:hAnsi="Calibri"/>
      <w:kern w:val="2"/>
      <w:sz w:val="28"/>
    </w:rPr>
  </w:style>
  <w:style w:type="paragraph" w:customStyle="1" w:styleId="593">
    <w:name w:val="正文首行缩进2字符!"/>
    <w:basedOn w:val="1"/>
    <w:link w:val="592"/>
    <w:autoRedefine/>
    <w:qFormat/>
    <w:uiPriority w:val="0"/>
    <w:pPr>
      <w:adjustRightInd w:val="0"/>
      <w:snapToGrid w:val="0"/>
      <w:ind w:firstLine="560" w:firstLineChars="200"/>
      <w:contextualSpacing/>
      <w:jc w:val="left"/>
    </w:pPr>
    <w:rPr>
      <w:rFonts w:ascii="Calibri" w:hAnsi="Calibri"/>
      <w:sz w:val="28"/>
      <w:szCs w:val="20"/>
    </w:rPr>
  </w:style>
  <w:style w:type="character" w:customStyle="1" w:styleId="594">
    <w:name w:val="标题5 Char"/>
    <w:link w:val="595"/>
    <w:autoRedefine/>
    <w:qFormat/>
    <w:uiPriority w:val="0"/>
    <w:rPr>
      <w:rFonts w:ascii="Calibri" w:hAnsi="Calibri"/>
      <w:kern w:val="2"/>
      <w:sz w:val="28"/>
      <w:szCs w:val="21"/>
    </w:rPr>
  </w:style>
  <w:style w:type="paragraph" w:customStyle="1" w:styleId="595">
    <w:name w:val="标题5"/>
    <w:basedOn w:val="1"/>
    <w:next w:val="80"/>
    <w:link w:val="594"/>
    <w:autoRedefine/>
    <w:qFormat/>
    <w:uiPriority w:val="0"/>
    <w:pPr>
      <w:numPr>
        <w:ilvl w:val="4"/>
        <w:numId w:val="5"/>
      </w:numPr>
      <w:snapToGrid w:val="0"/>
      <w:contextualSpacing/>
      <w:outlineLvl w:val="4"/>
    </w:pPr>
    <w:rPr>
      <w:rFonts w:ascii="Calibri" w:hAnsi="Calibri"/>
      <w:sz w:val="28"/>
    </w:rPr>
  </w:style>
  <w:style w:type="character" w:customStyle="1" w:styleId="596">
    <w:name w:val="样式 题注 + 首行缩进:  2 字符2 Char"/>
    <w:link w:val="597"/>
    <w:autoRedefine/>
    <w:qFormat/>
    <w:uiPriority w:val="0"/>
    <w:rPr>
      <w:rFonts w:ascii="黑体" w:hAnsi="宋体" w:eastAsia="黑体"/>
      <w:kern w:val="2"/>
      <w:sz w:val="24"/>
      <w:szCs w:val="24"/>
    </w:rPr>
  </w:style>
  <w:style w:type="paragraph" w:customStyle="1" w:styleId="597">
    <w:name w:val="样式 题注 + 首行缩进:  2 字符2"/>
    <w:basedOn w:val="24"/>
    <w:link w:val="596"/>
    <w:autoRedefine/>
    <w:qFormat/>
    <w:uiPriority w:val="0"/>
    <w:pPr>
      <w:snapToGrid/>
      <w:spacing w:line="240" w:lineRule="auto"/>
      <w:contextualSpacing/>
      <w:jc w:val="center"/>
    </w:pPr>
    <w:rPr>
      <w:rFonts w:ascii="黑体" w:hAnsi="宋体" w:cs="Times New Roman"/>
      <w:sz w:val="24"/>
      <w:szCs w:val="24"/>
    </w:rPr>
  </w:style>
  <w:style w:type="character" w:customStyle="1" w:styleId="598">
    <w:name w:val="题注 + 居中! Char"/>
    <w:link w:val="599"/>
    <w:autoRedefine/>
    <w:qFormat/>
    <w:uiPriority w:val="0"/>
    <w:rPr>
      <w:rFonts w:ascii="黑体" w:hAnsi="Arial" w:eastAsia="黑体"/>
      <w:kern w:val="2"/>
      <w:sz w:val="24"/>
      <w:szCs w:val="24"/>
    </w:rPr>
  </w:style>
  <w:style w:type="paragraph" w:customStyle="1" w:styleId="599">
    <w:name w:val="题注 + 居中!"/>
    <w:basedOn w:val="24"/>
    <w:link w:val="598"/>
    <w:autoRedefine/>
    <w:qFormat/>
    <w:uiPriority w:val="0"/>
    <w:pPr>
      <w:adjustRightInd w:val="0"/>
      <w:spacing w:line="240" w:lineRule="auto"/>
      <w:ind w:firstLine="480" w:firstLineChars="200"/>
      <w:contextualSpacing/>
      <w:jc w:val="center"/>
    </w:pPr>
    <w:rPr>
      <w:rFonts w:ascii="黑体" w:cs="Times New Roman"/>
      <w:sz w:val="24"/>
      <w:szCs w:val="24"/>
    </w:rPr>
  </w:style>
  <w:style w:type="character" w:customStyle="1" w:styleId="600">
    <w:name w:val="texd1"/>
    <w:autoRedefine/>
    <w:qFormat/>
    <w:uiPriority w:val="0"/>
    <w:rPr>
      <w:rFonts w:hint="default"/>
      <w:color w:val="000000"/>
      <w:spacing w:val="480"/>
      <w:w w:val="0"/>
      <w:sz w:val="20"/>
      <w:szCs w:val="20"/>
    </w:rPr>
  </w:style>
  <w:style w:type="character" w:customStyle="1" w:styleId="601">
    <w:name w:val="正文（首行缩进两字） Char1 Char Char"/>
    <w:autoRedefine/>
    <w:qFormat/>
    <w:uiPriority w:val="0"/>
    <w:rPr>
      <w:rFonts w:ascii="Times New Roman" w:hAnsi="Times New Roman" w:eastAsia="宋体" w:cs="Times New Roman"/>
      <w:bCs/>
      <w:snapToGrid/>
      <w:kern w:val="0"/>
      <w:szCs w:val="24"/>
      <w:lang w:val="zh-CN"/>
    </w:rPr>
  </w:style>
  <w:style w:type="character" w:customStyle="1" w:styleId="602">
    <w:name w:val="yyp Char"/>
    <w:link w:val="603"/>
    <w:autoRedefine/>
    <w:qFormat/>
    <w:uiPriority w:val="0"/>
    <w:rPr>
      <w:rFonts w:ascii="Calibri" w:hAnsi="Calibri"/>
      <w:kern w:val="2"/>
      <w:sz w:val="24"/>
      <w:szCs w:val="24"/>
    </w:rPr>
  </w:style>
  <w:style w:type="paragraph" w:customStyle="1" w:styleId="603">
    <w:name w:val="yyp"/>
    <w:basedOn w:val="80"/>
    <w:link w:val="602"/>
    <w:autoRedefine/>
    <w:qFormat/>
    <w:uiPriority w:val="0"/>
    <w:pPr>
      <w:spacing w:line="360" w:lineRule="auto"/>
      <w:ind w:firstLine="480" w:firstLineChars="200"/>
    </w:pPr>
    <w:rPr>
      <w:rFonts w:ascii="Calibri" w:hAnsi="Calibri"/>
      <w:sz w:val="24"/>
    </w:rPr>
  </w:style>
  <w:style w:type="character" w:customStyle="1" w:styleId="604">
    <w:name w:val="正文小四首缩1.3行距 Char"/>
    <w:link w:val="605"/>
    <w:autoRedefine/>
    <w:qFormat/>
    <w:uiPriority w:val="0"/>
    <w:rPr>
      <w:rFonts w:ascii="Calibri" w:hAnsi="Calibri"/>
      <w:kern w:val="2"/>
      <w:sz w:val="24"/>
      <w:szCs w:val="24"/>
    </w:rPr>
  </w:style>
  <w:style w:type="paragraph" w:customStyle="1" w:styleId="605">
    <w:name w:val="正文小四首缩1.3行距"/>
    <w:basedOn w:val="1"/>
    <w:link w:val="604"/>
    <w:autoRedefine/>
    <w:qFormat/>
    <w:uiPriority w:val="0"/>
    <w:pPr>
      <w:spacing w:line="312" w:lineRule="auto"/>
      <w:ind w:firstLine="420" w:firstLineChars="200"/>
    </w:pPr>
    <w:rPr>
      <w:rFonts w:ascii="Calibri" w:hAnsi="Calibri"/>
      <w:sz w:val="24"/>
    </w:rPr>
  </w:style>
  <w:style w:type="character" w:customStyle="1" w:styleId="606">
    <w:name w:val="表、图标题 Char Char"/>
    <w:link w:val="607"/>
    <w:autoRedefine/>
    <w:qFormat/>
    <w:uiPriority w:val="0"/>
    <w:rPr>
      <w:rFonts w:ascii="宋体" w:hAnsi="宋体"/>
      <w:b/>
      <w:bCs/>
      <w:snapToGrid/>
      <w:sz w:val="24"/>
      <w:szCs w:val="21"/>
    </w:rPr>
  </w:style>
  <w:style w:type="paragraph" w:customStyle="1" w:styleId="607">
    <w:name w:val="表、图标题"/>
    <w:basedOn w:val="1"/>
    <w:link w:val="606"/>
    <w:autoRedefine/>
    <w:qFormat/>
    <w:uiPriority w:val="0"/>
    <w:pPr>
      <w:adjustRightInd w:val="0"/>
      <w:snapToGrid w:val="0"/>
      <w:spacing w:line="480" w:lineRule="exact"/>
      <w:jc w:val="center"/>
    </w:pPr>
    <w:rPr>
      <w:rFonts w:ascii="宋体" w:hAnsi="宋体"/>
      <w:b/>
      <w:bCs/>
      <w:snapToGrid w:val="0"/>
      <w:kern w:val="0"/>
      <w:sz w:val="24"/>
    </w:rPr>
  </w:style>
  <w:style w:type="character" w:customStyle="1" w:styleId="608">
    <w:name w:val="Footer1 Char1"/>
    <w:autoRedefine/>
    <w:qFormat/>
    <w:uiPriority w:val="0"/>
    <w:rPr>
      <w:sz w:val="18"/>
      <w:szCs w:val="18"/>
    </w:rPr>
  </w:style>
  <w:style w:type="character" w:customStyle="1" w:styleId="609">
    <w:name w:val="font21"/>
    <w:basedOn w:val="87"/>
    <w:autoRedefine/>
    <w:qFormat/>
    <w:uiPriority w:val="0"/>
    <w:rPr>
      <w:rFonts w:hint="default" w:ascii="Times New Roman" w:hAnsi="Times New Roman" w:cs="Times New Roman"/>
      <w:color w:val="000000"/>
      <w:sz w:val="21"/>
      <w:szCs w:val="21"/>
      <w:u w:val="none"/>
    </w:rPr>
  </w:style>
  <w:style w:type="character" w:customStyle="1" w:styleId="610">
    <w:name w:val="节标题 1.1 Char3"/>
    <w:autoRedefine/>
    <w:qFormat/>
    <w:uiPriority w:val="0"/>
    <w:rPr>
      <w:rFonts w:ascii="Times New Roman" w:hAnsi="Times New Roman" w:eastAsia="宋体" w:cs="Times New Roman"/>
      <w:b/>
      <w:bCs/>
      <w:sz w:val="28"/>
      <w:szCs w:val="32"/>
    </w:rPr>
  </w:style>
  <w:style w:type="character" w:customStyle="1" w:styleId="611">
    <w:name w:val="111正文 Char"/>
    <w:link w:val="612"/>
    <w:autoRedefine/>
    <w:qFormat/>
    <w:uiPriority w:val="0"/>
    <w:rPr>
      <w:rFonts w:ascii="Calibri" w:hAnsi="Calibri"/>
      <w:kern w:val="2"/>
      <w:sz w:val="24"/>
      <w:szCs w:val="22"/>
    </w:rPr>
  </w:style>
  <w:style w:type="paragraph" w:customStyle="1" w:styleId="612">
    <w:name w:val="111正文"/>
    <w:basedOn w:val="1"/>
    <w:link w:val="611"/>
    <w:autoRedefine/>
    <w:qFormat/>
    <w:uiPriority w:val="0"/>
    <w:pPr>
      <w:tabs>
        <w:tab w:val="left" w:pos="600"/>
      </w:tabs>
      <w:spacing w:line="360" w:lineRule="auto"/>
      <w:ind w:firstLine="200" w:firstLineChars="200"/>
    </w:pPr>
    <w:rPr>
      <w:rFonts w:ascii="Calibri" w:hAnsi="Calibri"/>
      <w:sz w:val="24"/>
      <w:szCs w:val="22"/>
    </w:rPr>
  </w:style>
  <w:style w:type="character" w:customStyle="1" w:styleId="613">
    <w:name w:val="表格文字 Char1"/>
    <w:autoRedefine/>
    <w:qFormat/>
    <w:uiPriority w:val="0"/>
    <w:rPr>
      <w:rFonts w:ascii="宋体" w:hAnsi="宋体" w:eastAsia="宋体" w:cs="宋体"/>
      <w:kern w:val="2"/>
      <w:sz w:val="21"/>
      <w:szCs w:val="24"/>
      <w:lang w:val="en-US" w:eastAsia="zh-CN" w:bidi="ar-SA"/>
    </w:rPr>
  </w:style>
  <w:style w:type="character" w:customStyle="1" w:styleId="614">
    <w:name w:val="fontstyle21"/>
    <w:autoRedefine/>
    <w:qFormat/>
    <w:uiPriority w:val="0"/>
    <w:rPr>
      <w:rFonts w:hint="eastAsia" w:ascii="黑体" w:hAnsi="黑体" w:eastAsia="黑体"/>
      <w:color w:val="000000"/>
      <w:sz w:val="32"/>
      <w:szCs w:val="32"/>
    </w:rPr>
  </w:style>
  <w:style w:type="character" w:customStyle="1" w:styleId="615">
    <w:name w:val="fontstyle31"/>
    <w:autoRedefine/>
    <w:qFormat/>
    <w:uiPriority w:val="0"/>
    <w:rPr>
      <w:rFonts w:hint="eastAsia" w:ascii="宋体" w:hAnsi="宋体" w:eastAsia="宋体"/>
      <w:color w:val="000000"/>
      <w:sz w:val="24"/>
      <w:szCs w:val="24"/>
    </w:rPr>
  </w:style>
  <w:style w:type="character" w:customStyle="1" w:styleId="616">
    <w:name w:val="表格标题 Char Char"/>
    <w:autoRedefine/>
    <w:qFormat/>
    <w:uiPriority w:val="0"/>
    <w:rPr>
      <w:rFonts w:eastAsia="黑体"/>
      <w:kern w:val="2"/>
      <w:sz w:val="21"/>
      <w:szCs w:val="24"/>
    </w:rPr>
  </w:style>
  <w:style w:type="character" w:customStyle="1" w:styleId="617">
    <w:name w:val="fontstyle11"/>
    <w:autoRedefine/>
    <w:qFormat/>
    <w:uiPriority w:val="0"/>
    <w:rPr>
      <w:rFonts w:hint="default" w:ascii="TimesNewRomanPS-ItalicMT" w:hAnsi="TimesNewRomanPS-ItalicMT"/>
      <w:i/>
      <w:iCs/>
      <w:color w:val="000000"/>
      <w:sz w:val="24"/>
      <w:szCs w:val="24"/>
    </w:rPr>
  </w:style>
  <w:style w:type="character" w:customStyle="1" w:styleId="618">
    <w:name w:val="未处理的提及1"/>
    <w:autoRedefine/>
    <w:unhideWhenUsed/>
    <w:qFormat/>
    <w:uiPriority w:val="99"/>
    <w:rPr>
      <w:color w:val="808080"/>
      <w:shd w:val="clear" w:color="auto" w:fill="E6E6E6"/>
    </w:rPr>
  </w:style>
  <w:style w:type="character" w:customStyle="1" w:styleId="619">
    <w:name w:val="标题 5 Char"/>
    <w:autoRedefine/>
    <w:semiHidden/>
    <w:qFormat/>
    <w:uiPriority w:val="0"/>
    <w:rPr>
      <w:b/>
      <w:bCs/>
      <w:sz w:val="28"/>
      <w:szCs w:val="28"/>
    </w:rPr>
  </w:style>
  <w:style w:type="character" w:customStyle="1" w:styleId="620">
    <w:name w:val="纯文本 Char"/>
    <w:autoRedefine/>
    <w:semiHidden/>
    <w:qFormat/>
    <w:uiPriority w:val="99"/>
    <w:rPr>
      <w:rFonts w:ascii="宋体" w:hAnsi="Courier New" w:eastAsia="宋体" w:cs="Courier New"/>
      <w:szCs w:val="21"/>
    </w:rPr>
  </w:style>
  <w:style w:type="character" w:customStyle="1" w:styleId="621">
    <w:name w:val="表头 Char"/>
    <w:autoRedefine/>
    <w:semiHidden/>
    <w:qFormat/>
    <w:uiPriority w:val="0"/>
    <w:rPr>
      <w:rFonts w:ascii="Times New Roman" w:hAnsi="Times New Roman" w:eastAsia="宋体" w:cs="宋体"/>
      <w:b/>
      <w:bCs/>
      <w:kern w:val="0"/>
      <w:sz w:val="21"/>
      <w:szCs w:val="21"/>
    </w:rPr>
  </w:style>
  <w:style w:type="character" w:customStyle="1" w:styleId="622">
    <w:name w:val="样式 Arial"/>
    <w:autoRedefine/>
    <w:semiHidden/>
    <w:qFormat/>
    <w:uiPriority w:val="0"/>
    <w:rPr>
      <w:rFonts w:ascii="Arial" w:hAnsi="Arial" w:eastAsia="宋体" w:cs="宋体"/>
      <w:kern w:val="2"/>
      <w:sz w:val="24"/>
      <w:szCs w:val="24"/>
      <w:lang w:val="en-US" w:eastAsia="zh-CN" w:bidi="ar-SA"/>
    </w:rPr>
  </w:style>
  <w:style w:type="character" w:customStyle="1" w:styleId="623">
    <w:name w:val="enas"/>
    <w:autoRedefine/>
    <w:semiHidden/>
    <w:qFormat/>
    <w:uiPriority w:val="0"/>
    <w:rPr>
      <w:rFonts w:ascii="Arial" w:hAnsi="Arial" w:eastAsia="宋体" w:cs="Arial"/>
      <w:color w:val="auto"/>
      <w:kern w:val="2"/>
      <w:sz w:val="20"/>
      <w:szCs w:val="20"/>
      <w:lang w:val="en-US" w:eastAsia="zh-CN" w:bidi="ar-SA"/>
    </w:rPr>
  </w:style>
  <w:style w:type="character" w:customStyle="1" w:styleId="624">
    <w:name w:val="Char Char10"/>
    <w:autoRedefine/>
    <w:semiHidden/>
    <w:qFormat/>
    <w:uiPriority w:val="0"/>
    <w:rPr>
      <w:rFonts w:ascii="宋体" w:hAnsi="宋体" w:eastAsia="宋体" w:cs="宋体"/>
      <w:color w:val="FF0000"/>
      <w:kern w:val="2"/>
      <w:sz w:val="24"/>
      <w:szCs w:val="24"/>
      <w:lang w:val="en-US" w:eastAsia="zh-CN" w:bidi="ar-SA"/>
    </w:rPr>
  </w:style>
  <w:style w:type="character" w:customStyle="1" w:styleId="625">
    <w:name w:val="Char Char7"/>
    <w:autoRedefine/>
    <w:semiHidden/>
    <w:qFormat/>
    <w:uiPriority w:val="0"/>
    <w:rPr>
      <w:rFonts w:ascii="宋体" w:hAnsi="宋体" w:eastAsia="宋体" w:cs="宋体"/>
      <w:kern w:val="2"/>
      <w:sz w:val="18"/>
      <w:szCs w:val="18"/>
      <w:lang w:val="en-US" w:eastAsia="zh-CN" w:bidi="ar-SA"/>
    </w:rPr>
  </w:style>
  <w:style w:type="character" w:customStyle="1" w:styleId="626">
    <w:name w:val="HTML 地址 Char1"/>
    <w:autoRedefine/>
    <w:semiHidden/>
    <w:qFormat/>
    <w:uiPriority w:val="99"/>
    <w:rPr>
      <w:i/>
      <w:iCs/>
    </w:rPr>
  </w:style>
  <w:style w:type="character" w:customStyle="1" w:styleId="627">
    <w:name w:val="信息标题 Char1"/>
    <w:autoRedefine/>
    <w:semiHidden/>
    <w:qFormat/>
    <w:uiPriority w:val="99"/>
    <w:rPr>
      <w:rFonts w:ascii="Calibri Light" w:hAnsi="Calibri Light" w:eastAsia="宋体" w:cs="Times New Roman"/>
      <w:sz w:val="24"/>
      <w:szCs w:val="24"/>
      <w:shd w:val="pct20" w:color="auto" w:fill="auto"/>
    </w:rPr>
  </w:style>
  <w:style w:type="character" w:customStyle="1" w:styleId="628">
    <w:name w:val="z-窗体顶端 Char1"/>
    <w:autoRedefine/>
    <w:semiHidden/>
    <w:qFormat/>
    <w:uiPriority w:val="99"/>
    <w:rPr>
      <w:rFonts w:ascii="Arial" w:hAnsi="Arial" w:cs="Arial"/>
      <w:vanish/>
      <w:sz w:val="16"/>
      <w:szCs w:val="16"/>
    </w:rPr>
  </w:style>
  <w:style w:type="character" w:customStyle="1" w:styleId="629">
    <w:name w:val="访问过的超链接1"/>
    <w:autoRedefine/>
    <w:unhideWhenUsed/>
    <w:qFormat/>
    <w:uiPriority w:val="99"/>
    <w:rPr>
      <w:rFonts w:ascii="宋体" w:hAnsi="宋体" w:eastAsia="宋体" w:cs="宋体"/>
      <w:color w:val="954F72"/>
      <w:kern w:val="2"/>
      <w:sz w:val="24"/>
      <w:szCs w:val="24"/>
      <w:u w:val="single"/>
      <w:lang w:val="en-US" w:eastAsia="zh-CN" w:bidi="ar-SA"/>
    </w:rPr>
  </w:style>
  <w:style w:type="character" w:customStyle="1" w:styleId="630">
    <w:name w:val="ref"/>
    <w:autoRedefine/>
    <w:qFormat/>
    <w:uiPriority w:val="0"/>
  </w:style>
  <w:style w:type="paragraph" w:customStyle="1" w:styleId="631">
    <w:name w:val="fcolor"/>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632">
    <w:name w:val="默认段落字体 Para Char Char Char Char Char Char Char Char Char Char"/>
    <w:basedOn w:val="8"/>
    <w:autoRedefine/>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napToGrid w:val="0"/>
      <w:sz w:val="24"/>
      <w:szCs w:val="24"/>
    </w:rPr>
  </w:style>
  <w:style w:type="paragraph" w:customStyle="1" w:styleId="633">
    <w:name w:val="东明_章"/>
    <w:basedOn w:val="6"/>
    <w:autoRedefine/>
    <w:qFormat/>
    <w:uiPriority w:val="0"/>
    <w:pPr>
      <w:keepLines/>
      <w:pBdr>
        <w:top w:val="single" w:color="808080" w:sz="24" w:space="1"/>
        <w:left w:val="single" w:color="808080" w:sz="24" w:space="4"/>
        <w:bottom w:val="single" w:color="808080" w:sz="24" w:space="1"/>
        <w:right w:val="single" w:color="808080" w:sz="24" w:space="4"/>
      </w:pBdr>
      <w:shd w:val="clear" w:color="auto" w:fill="D9D9D9"/>
      <w:tabs>
        <w:tab w:val="left" w:pos="0"/>
        <w:tab w:val="left" w:pos="1400"/>
        <w:tab w:val="left" w:pos="8280"/>
      </w:tabs>
      <w:overflowPunct/>
      <w:snapToGrid/>
      <w:spacing w:before="600" w:after="0" w:line="578" w:lineRule="auto"/>
      <w:ind w:left="1400" w:hanging="840"/>
      <w:jc w:val="center"/>
    </w:pPr>
    <w:rPr>
      <w:rFonts w:ascii="Arial" w:hAnsi="Arial" w:eastAsia="宋体-方正超大字符集"/>
      <w:color w:val="auto"/>
      <w:sz w:val="36"/>
      <w:szCs w:val="20"/>
    </w:rPr>
  </w:style>
  <w:style w:type="paragraph" w:customStyle="1" w:styleId="634">
    <w:name w:val="样式 标题 4 + 宋体 行距: 1.5 倍行距"/>
    <w:basedOn w:val="9"/>
    <w:autoRedefine/>
    <w:qFormat/>
    <w:uiPriority w:val="0"/>
    <w:pPr>
      <w:snapToGrid w:val="0"/>
      <w:spacing w:before="0" w:beforeLines="50" w:after="0" w:line="360" w:lineRule="auto"/>
      <w:ind w:left="1985" w:hanging="1985"/>
      <w:jc w:val="left"/>
    </w:pPr>
    <w:rPr>
      <w:rFonts w:ascii="宋体" w:hAnsi="宋体" w:cs="宋体"/>
      <w:sz w:val="24"/>
      <w:szCs w:val="20"/>
    </w:rPr>
  </w:style>
  <w:style w:type="paragraph" w:customStyle="1" w:styleId="635">
    <w:name w:val="xl179"/>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636">
    <w:name w:val="其他发布日期"/>
    <w:basedOn w:val="1"/>
    <w:autoRedefine/>
    <w:qFormat/>
    <w:uiPriority w:val="0"/>
    <w:pPr>
      <w:widowControl/>
      <w:numPr>
        <w:ilvl w:val="0"/>
        <w:numId w:val="6"/>
      </w:numPr>
      <w:jc w:val="left"/>
    </w:pPr>
    <w:rPr>
      <w:rFonts w:eastAsia="黑体"/>
      <w:kern w:val="0"/>
      <w:sz w:val="28"/>
      <w:szCs w:val="20"/>
    </w:rPr>
  </w:style>
  <w:style w:type="paragraph" w:customStyle="1" w:styleId="637">
    <w:name w:val="1表格"/>
    <w:basedOn w:val="1"/>
    <w:autoRedefine/>
    <w:qFormat/>
    <w:uiPriority w:val="0"/>
    <w:pPr>
      <w:adjustRightInd w:val="0"/>
      <w:snapToGrid w:val="0"/>
      <w:jc w:val="center"/>
      <w:textAlignment w:val="baseline"/>
    </w:pPr>
    <w:rPr>
      <w:rFonts w:ascii="宋体" w:hAnsi="宋体" w:cs="宋体"/>
      <w:spacing w:val="4"/>
      <w:sz w:val="24"/>
    </w:rPr>
  </w:style>
  <w:style w:type="paragraph" w:customStyle="1" w:styleId="638">
    <w:name w:val="xl160"/>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639">
    <w:name w:val="正文标题"/>
    <w:basedOn w:val="1"/>
    <w:autoRedefine/>
    <w:qFormat/>
    <w:uiPriority w:val="0"/>
    <w:pPr>
      <w:spacing w:line="480" w:lineRule="auto"/>
      <w:ind w:firstLine="472" w:firstLineChars="196"/>
    </w:pPr>
    <w:rPr>
      <w:b/>
      <w:sz w:val="24"/>
    </w:rPr>
  </w:style>
  <w:style w:type="paragraph" w:customStyle="1" w:styleId="640">
    <w:name w:val="四级条标题"/>
    <w:basedOn w:val="641"/>
    <w:next w:val="1"/>
    <w:autoRedefine/>
    <w:qFormat/>
    <w:uiPriority w:val="0"/>
    <w:pPr>
      <w:tabs>
        <w:tab w:val="left" w:pos="360"/>
        <w:tab w:val="left" w:pos="903"/>
      </w:tabs>
      <w:outlineLvl w:val="5"/>
    </w:pPr>
  </w:style>
  <w:style w:type="paragraph" w:customStyle="1" w:styleId="641">
    <w:name w:val="三级条标题"/>
    <w:basedOn w:val="642"/>
    <w:next w:val="1"/>
    <w:autoRedefine/>
    <w:qFormat/>
    <w:uiPriority w:val="0"/>
    <w:pPr>
      <w:tabs>
        <w:tab w:val="left" w:pos="360"/>
        <w:tab w:val="left" w:pos="903"/>
      </w:tabs>
      <w:outlineLvl w:val="4"/>
    </w:pPr>
  </w:style>
  <w:style w:type="paragraph" w:customStyle="1" w:styleId="642">
    <w:name w:val="二级条标题"/>
    <w:basedOn w:val="643"/>
    <w:next w:val="1"/>
    <w:autoRedefine/>
    <w:qFormat/>
    <w:uiPriority w:val="0"/>
    <w:pPr>
      <w:tabs>
        <w:tab w:val="left" w:pos="360"/>
        <w:tab w:val="left" w:pos="903"/>
      </w:tabs>
      <w:outlineLvl w:val="3"/>
    </w:pPr>
  </w:style>
  <w:style w:type="paragraph" w:customStyle="1" w:styleId="643">
    <w:name w:val="一级条标题"/>
    <w:basedOn w:val="644"/>
    <w:next w:val="1"/>
    <w:autoRedefine/>
    <w:qFormat/>
    <w:uiPriority w:val="0"/>
    <w:pPr>
      <w:tabs>
        <w:tab w:val="left" w:pos="360"/>
        <w:tab w:val="left" w:pos="903"/>
      </w:tabs>
      <w:spacing w:before="0" w:after="0"/>
      <w:ind w:left="0" w:firstLine="0"/>
      <w:outlineLvl w:val="2"/>
    </w:pPr>
  </w:style>
  <w:style w:type="paragraph" w:customStyle="1" w:styleId="644">
    <w:name w:val="章标题"/>
    <w:next w:val="1"/>
    <w:autoRedefine/>
    <w:qFormat/>
    <w:uiPriority w:val="0"/>
    <w:pPr>
      <w:tabs>
        <w:tab w:val="left" w:pos="903"/>
      </w:tabs>
      <w:spacing w:before="50" w:after="50"/>
      <w:ind w:left="903" w:hanging="315"/>
      <w:jc w:val="both"/>
      <w:outlineLvl w:val="1"/>
    </w:pPr>
    <w:rPr>
      <w:rFonts w:ascii="黑体" w:hAnsi="Times New Roman" w:eastAsia="黑体" w:cs="Times New Roman"/>
      <w:sz w:val="21"/>
      <w:lang w:val="en-US" w:eastAsia="zh-CN" w:bidi="ar-SA"/>
    </w:rPr>
  </w:style>
  <w:style w:type="paragraph" w:customStyle="1" w:styleId="645">
    <w:name w:val="7"/>
    <w:basedOn w:val="1"/>
    <w:next w:val="11"/>
    <w:autoRedefine/>
    <w:qFormat/>
    <w:uiPriority w:val="0"/>
    <w:pPr>
      <w:adjustRightInd w:val="0"/>
      <w:snapToGrid w:val="0"/>
      <w:spacing w:line="312" w:lineRule="auto"/>
      <w:ind w:firstLine="200" w:firstLineChars="200"/>
    </w:pPr>
    <w:rPr>
      <w:rFonts w:ascii="仿宋_GB2312" w:eastAsia="仿宋_GB2312"/>
      <w:sz w:val="28"/>
    </w:rPr>
  </w:style>
  <w:style w:type="paragraph" w:customStyle="1" w:styleId="646">
    <w:name w:val="样式 标题 3东明_小节H3条标题1.1.1二级节名h33rd level3l3CTHeading 3 - ..."/>
    <w:basedOn w:val="8"/>
    <w:autoRedefine/>
    <w:qFormat/>
    <w:uiPriority w:val="0"/>
    <w:pPr>
      <w:spacing w:before="0" w:after="0" w:line="360" w:lineRule="auto"/>
    </w:pPr>
    <w:rPr>
      <w:rFonts w:eastAsia="黑体" w:cs="宋体"/>
      <w:sz w:val="24"/>
      <w:szCs w:val="20"/>
      <w:lang w:val="zh-CN"/>
    </w:rPr>
  </w:style>
  <w:style w:type="paragraph" w:customStyle="1" w:styleId="647">
    <w:name w:val="扉页 黑体-"/>
    <w:basedOn w:val="1"/>
    <w:autoRedefine/>
    <w:qFormat/>
    <w:uiPriority w:val="0"/>
    <w:pPr>
      <w:spacing w:before="240" w:after="240" w:line="480" w:lineRule="exact"/>
      <w:ind w:firstLine="600" w:firstLineChars="200"/>
      <w:jc w:val="left"/>
    </w:pPr>
    <w:rPr>
      <w:rFonts w:eastAsia="黑体"/>
      <w:sz w:val="30"/>
      <w:szCs w:val="20"/>
    </w:rPr>
  </w:style>
  <w:style w:type="paragraph" w:customStyle="1" w:styleId="648">
    <w:name w:val="xl117"/>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rPr>
  </w:style>
  <w:style w:type="paragraph" w:customStyle="1" w:styleId="649">
    <w:name w:val="样式 题注 + 首行缩进:  2 字符"/>
    <w:basedOn w:val="24"/>
    <w:autoRedefine/>
    <w:qFormat/>
    <w:uiPriority w:val="0"/>
    <w:pPr>
      <w:snapToGrid/>
      <w:spacing w:before="152" w:after="160" w:line="360" w:lineRule="auto"/>
      <w:ind w:firstLine="400" w:firstLineChars="200"/>
      <w:jc w:val="both"/>
    </w:pPr>
    <w:rPr>
      <w:rFonts w:cs="宋体"/>
      <w:sz w:val="21"/>
    </w:rPr>
  </w:style>
  <w:style w:type="paragraph" w:customStyle="1" w:styleId="650">
    <w:name w:val="样式 标题 4 + 左侧:  0 厘米 首行缩进:  0 厘米"/>
    <w:basedOn w:val="9"/>
    <w:autoRedefine/>
    <w:qFormat/>
    <w:uiPriority w:val="0"/>
    <w:pPr>
      <w:spacing w:before="0" w:after="0" w:line="360" w:lineRule="auto"/>
    </w:pPr>
    <w:rPr>
      <w:rFonts w:ascii="黑体" w:hAnsi="宋体" w:eastAsia="黑体" w:cs="宋体"/>
      <w:b w:val="0"/>
      <w:sz w:val="24"/>
      <w:szCs w:val="20"/>
    </w:rPr>
  </w:style>
  <w:style w:type="paragraph" w:customStyle="1" w:styleId="651">
    <w:name w:val="xl73"/>
    <w:basedOn w:val="1"/>
    <w:autoRedefine/>
    <w:qFormat/>
    <w:uiPriority w:val="0"/>
    <w:pPr>
      <w:widowControl/>
      <w:spacing w:before="100" w:beforeAutospacing="1" w:after="100" w:afterAutospacing="1"/>
      <w:jc w:val="center"/>
      <w:textAlignment w:val="bottom"/>
    </w:pPr>
    <w:rPr>
      <w:rFonts w:ascii="宋体" w:hAnsi="宋体"/>
      <w:b/>
      <w:bCs/>
      <w:kern w:val="0"/>
      <w:sz w:val="22"/>
      <w:szCs w:val="22"/>
    </w:rPr>
  </w:style>
  <w:style w:type="paragraph" w:customStyle="1" w:styleId="652">
    <w:name w:val="标题小四"/>
    <w:basedOn w:val="1"/>
    <w:next w:val="1"/>
    <w:autoRedefine/>
    <w:qFormat/>
    <w:uiPriority w:val="0"/>
    <w:pPr>
      <w:spacing w:line="360" w:lineRule="auto"/>
      <w:jc w:val="center"/>
    </w:pPr>
    <w:rPr>
      <w:rFonts w:eastAsia="黑体"/>
      <w:sz w:val="24"/>
    </w:rPr>
  </w:style>
  <w:style w:type="paragraph" w:customStyle="1" w:styleId="653">
    <w:name w:val="Char1 Char Char Char2"/>
    <w:basedOn w:val="1"/>
    <w:autoRedefine/>
    <w:qFormat/>
    <w:uiPriority w:val="0"/>
    <w:pPr>
      <w:spacing w:line="360" w:lineRule="auto"/>
      <w:ind w:firstLine="200" w:firstLineChars="200"/>
    </w:pPr>
    <w:rPr>
      <w:rFonts w:ascii="宋体" w:hAnsi="宋体" w:cs="宋体"/>
      <w:sz w:val="24"/>
    </w:rPr>
  </w:style>
  <w:style w:type="paragraph" w:customStyle="1" w:styleId="654">
    <w:name w:val="二级无标题条"/>
    <w:basedOn w:val="1"/>
    <w:autoRedefine/>
    <w:qFormat/>
    <w:uiPriority w:val="0"/>
  </w:style>
  <w:style w:type="paragraph" w:customStyle="1" w:styleId="655">
    <w:name w:val="版式1-表名 Char Char Char"/>
    <w:basedOn w:val="11"/>
    <w:next w:val="1"/>
    <w:autoRedefine/>
    <w:qFormat/>
    <w:uiPriority w:val="0"/>
    <w:pPr>
      <w:overflowPunct w:val="0"/>
      <w:snapToGrid w:val="0"/>
      <w:spacing w:beforeLines="50" w:afterLines="50" w:line="440" w:lineRule="exact"/>
      <w:ind w:firstLine="0" w:firstLineChars="0"/>
      <w:jc w:val="center"/>
    </w:pPr>
    <w:rPr>
      <w:rFonts w:ascii="华文细黑" w:hAnsi="华文细黑" w:eastAsia="华文细黑"/>
      <w:b/>
      <w:sz w:val="24"/>
    </w:rPr>
  </w:style>
  <w:style w:type="paragraph" w:customStyle="1" w:styleId="656">
    <w:name w:val="xl50"/>
    <w:basedOn w:val="1"/>
    <w:autoRedefine/>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b/>
      <w:bCs/>
      <w:color w:val="FF0000"/>
      <w:kern w:val="0"/>
      <w:sz w:val="24"/>
    </w:rPr>
  </w:style>
  <w:style w:type="paragraph" w:customStyle="1" w:styleId="657">
    <w:name w:val="样式 标题 1章标题 11标题 1H1一、 + 行距: 1.5 倍行距1"/>
    <w:basedOn w:val="6"/>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658">
    <w:name w:val="4号两端对齐"/>
    <w:autoRedefine/>
    <w:qFormat/>
    <w:uiPriority w:val="0"/>
    <w:pPr>
      <w:widowControl w:val="0"/>
      <w:adjustRightInd w:val="0"/>
      <w:snapToGrid w:val="0"/>
      <w:jc w:val="both"/>
    </w:pPr>
    <w:rPr>
      <w:rFonts w:ascii="宋体" w:hAnsi="Times New Roman" w:eastAsia="宋体" w:cs="Times New Roman"/>
      <w:sz w:val="28"/>
      <w:lang w:val="en-US" w:eastAsia="zh-CN" w:bidi="ar-SA"/>
    </w:rPr>
  </w:style>
  <w:style w:type="paragraph" w:customStyle="1" w:styleId="659">
    <w:name w:val="Char Char"/>
    <w:basedOn w:val="1"/>
    <w:autoRedefine/>
    <w:qFormat/>
    <w:uiPriority w:val="0"/>
    <w:pPr>
      <w:widowControl/>
      <w:spacing w:after="160" w:line="240" w:lineRule="exact"/>
      <w:jc w:val="left"/>
    </w:pPr>
    <w:rPr>
      <w:rFonts w:ascii="Arial" w:hAnsi="Arial"/>
      <w:kern w:val="0"/>
      <w:sz w:val="20"/>
      <w:szCs w:val="20"/>
      <w:lang w:eastAsia="en-US"/>
    </w:rPr>
  </w:style>
  <w:style w:type="paragraph" w:customStyle="1" w:styleId="660">
    <w:name w:val="表目"/>
    <w:basedOn w:val="1"/>
    <w:autoRedefine/>
    <w:qFormat/>
    <w:uiPriority w:val="0"/>
    <w:pPr>
      <w:adjustRightInd w:val="0"/>
      <w:spacing w:line="480" w:lineRule="atLeast"/>
      <w:ind w:left="-105" w:leftChars="-50" w:right="-105" w:rightChars="-50"/>
      <w:jc w:val="center"/>
      <w:textAlignment w:val="baseline"/>
    </w:pPr>
    <w:rPr>
      <w:rFonts w:ascii="Arial" w:hAnsi="Arial" w:eastAsia="仿宋_GB2312" w:cs="Arial"/>
      <w:kern w:val="0"/>
      <w:sz w:val="24"/>
      <w:szCs w:val="20"/>
    </w:rPr>
  </w:style>
  <w:style w:type="paragraph" w:customStyle="1" w:styleId="661">
    <w:name w:val="地理段落"/>
    <w:basedOn w:val="1"/>
    <w:autoRedefine/>
    <w:qFormat/>
    <w:uiPriority w:val="0"/>
    <w:pPr>
      <w:adjustRightInd w:val="0"/>
      <w:snapToGrid w:val="0"/>
      <w:spacing w:line="360" w:lineRule="auto"/>
      <w:ind w:firstLine="200" w:firstLineChars="200"/>
    </w:pPr>
    <w:rPr>
      <w:rFonts w:ascii="仿宋_GB2312" w:eastAsia="仿宋_GB2312"/>
      <w:sz w:val="28"/>
      <w:szCs w:val="28"/>
    </w:rPr>
  </w:style>
  <w:style w:type="paragraph" w:customStyle="1" w:styleId="662">
    <w:name w:val="Char5"/>
    <w:basedOn w:val="1"/>
    <w:autoRedefine/>
    <w:qFormat/>
    <w:uiPriority w:val="0"/>
  </w:style>
  <w:style w:type="paragraph" w:customStyle="1" w:styleId="663">
    <w:name w:val="综述"/>
    <w:autoRedefine/>
    <w:qFormat/>
    <w:uiPriority w:val="0"/>
    <w:pPr>
      <w:spacing w:beforeLines="50" w:line="440" w:lineRule="exact"/>
      <w:ind w:firstLine="200" w:firstLineChars="200"/>
    </w:pPr>
    <w:rPr>
      <w:rFonts w:ascii="Times New Roman" w:hAnsi="Times New Roman" w:eastAsia="宋体" w:cs="MS Mincho"/>
      <w:b/>
      <w:kern w:val="2"/>
      <w:sz w:val="24"/>
      <w:szCs w:val="24"/>
      <w:lang w:val="en-US" w:eastAsia="zh-CN" w:bidi="ar-SA"/>
    </w:rPr>
  </w:style>
  <w:style w:type="paragraph" w:customStyle="1" w:styleId="664">
    <w:name w:val="样式 标题 3 + 宋体 四号1"/>
    <w:basedOn w:val="8"/>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665">
    <w:name w:val="样式 样式 正文文本缩进 + 行距: 固定值 24 磅1 + 首行缩进:  2 字符"/>
    <w:basedOn w:val="1"/>
    <w:autoRedefine/>
    <w:qFormat/>
    <w:uiPriority w:val="0"/>
    <w:pPr>
      <w:spacing w:line="480" w:lineRule="exact"/>
      <w:ind w:firstLine="480" w:firstLineChars="200"/>
    </w:pPr>
    <w:rPr>
      <w:rFonts w:ascii="宋体" w:hAnsi="宋体" w:cs="宋体"/>
      <w:sz w:val="24"/>
      <w:szCs w:val="20"/>
    </w:rPr>
  </w:style>
  <w:style w:type="paragraph" w:customStyle="1" w:styleId="666">
    <w:name w:val="样式 标题 1 + 两端对齐"/>
    <w:basedOn w:val="6"/>
    <w:autoRedefine/>
    <w:qFormat/>
    <w:uiPriority w:val="0"/>
    <w:pPr>
      <w:keepNext w:val="0"/>
      <w:pageBreakBefore/>
      <w:widowControl/>
      <w:tabs>
        <w:tab w:val="left" w:pos="390"/>
        <w:tab w:val="left" w:pos="420"/>
      </w:tabs>
      <w:overflowPunct/>
      <w:adjustRightInd w:val="0"/>
      <w:spacing w:before="0" w:after="0" w:line="300" w:lineRule="auto"/>
      <w:ind w:left="425" w:hanging="425"/>
      <w:jc w:val="center"/>
    </w:pPr>
    <w:rPr>
      <w:rFonts w:ascii="仿宋_GB2312" w:hAnsi="Calibri" w:eastAsia="仿宋_GB2312" w:cs="宋体"/>
      <w:b w:val="0"/>
      <w:bCs w:val="0"/>
      <w:snapToGrid w:val="0"/>
      <w:color w:val="auto"/>
      <w:kern w:val="0"/>
      <w:sz w:val="32"/>
      <w:szCs w:val="32"/>
    </w:rPr>
  </w:style>
  <w:style w:type="paragraph" w:customStyle="1" w:styleId="667">
    <w:name w:val="xl85"/>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8">
    <w:name w:val="xl11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69">
    <w:name w:val="xl134"/>
    <w:basedOn w:val="1"/>
    <w:autoRedefine/>
    <w:qFormat/>
    <w:uiPriority w:val="0"/>
    <w:pPr>
      <w:widowControl/>
      <w:spacing w:before="100" w:beforeAutospacing="1" w:after="100" w:afterAutospacing="1"/>
      <w:jc w:val="left"/>
    </w:pPr>
    <w:rPr>
      <w:rFonts w:ascii="Arial Unicode MS" w:hAnsi="Arial Unicode MS"/>
      <w:kern w:val="0"/>
      <w:sz w:val="20"/>
      <w:szCs w:val="20"/>
    </w:rPr>
  </w:style>
  <w:style w:type="paragraph" w:customStyle="1" w:styleId="670">
    <w:name w:val="xl168"/>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671">
    <w:name w:val="3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672">
    <w:name w:val="xl7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673">
    <w:name w:val="表蕊"/>
    <w:basedOn w:val="1"/>
    <w:autoRedefine/>
    <w:qFormat/>
    <w:uiPriority w:val="0"/>
    <w:pPr>
      <w:adjustRightInd w:val="0"/>
      <w:spacing w:line="280" w:lineRule="atLeast"/>
      <w:jc w:val="left"/>
      <w:textAlignment w:val="baseline"/>
    </w:pPr>
    <w:rPr>
      <w:rFonts w:eastAsia="楷体_GB2312"/>
      <w:color w:val="000000"/>
      <w:spacing w:val="-10"/>
      <w:kern w:val="0"/>
    </w:rPr>
  </w:style>
  <w:style w:type="paragraph" w:customStyle="1" w:styleId="674">
    <w:name w:val="图"/>
    <w:basedOn w:val="475"/>
    <w:autoRedefine/>
    <w:qFormat/>
    <w:uiPriority w:val="0"/>
    <w:pPr>
      <w:spacing w:line="240" w:lineRule="auto"/>
      <w:ind w:firstLine="0" w:firstLineChars="0"/>
      <w:jc w:val="center"/>
    </w:pPr>
  </w:style>
  <w:style w:type="paragraph" w:customStyle="1" w:styleId="675">
    <w:name w:val="Char Char Char Char1"/>
    <w:basedOn w:val="1"/>
    <w:autoRedefine/>
    <w:qFormat/>
    <w:uiPriority w:val="0"/>
  </w:style>
  <w:style w:type="paragraph" w:customStyle="1" w:styleId="676">
    <w:name w:val="xl162"/>
    <w:basedOn w:val="1"/>
    <w:autoRedefine/>
    <w:qFormat/>
    <w:uiPriority w:val="0"/>
    <w:pPr>
      <w:widowControl/>
      <w:pBdr>
        <w:bottom w:val="single" w:color="auto" w:sz="12" w:space="0"/>
        <w:righ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77">
    <w:name w:val="标题-图表"/>
    <w:basedOn w:val="1"/>
    <w:autoRedefine/>
    <w:qFormat/>
    <w:uiPriority w:val="0"/>
    <w:pPr>
      <w:spacing w:line="500" w:lineRule="exact"/>
      <w:jc w:val="center"/>
    </w:pPr>
    <w:rPr>
      <w:rFonts w:ascii="黑体" w:eastAsia="黑体"/>
      <w:sz w:val="24"/>
    </w:rPr>
  </w:style>
  <w:style w:type="paragraph" w:customStyle="1" w:styleId="678">
    <w:name w:val="BG-WZ"/>
    <w:basedOn w:val="1"/>
    <w:autoRedefine/>
    <w:qFormat/>
    <w:uiPriority w:val="0"/>
    <w:pPr>
      <w:adjustRightInd w:val="0"/>
      <w:snapToGrid w:val="0"/>
      <w:ind w:left="-51" w:right="-51"/>
      <w:jc w:val="center"/>
    </w:pPr>
    <w:rPr>
      <w:rFonts w:ascii="宋体" w:hAnsi="宋体"/>
      <w:szCs w:val="20"/>
    </w:rPr>
  </w:style>
  <w:style w:type="paragraph" w:customStyle="1" w:styleId="679">
    <w:name w:val="甲乙酮标题2"/>
    <w:basedOn w:val="7"/>
    <w:autoRedefine/>
    <w:qFormat/>
    <w:uiPriority w:val="0"/>
    <w:pPr>
      <w:tabs>
        <w:tab w:val="left" w:pos="840"/>
      </w:tabs>
      <w:ind w:left="840"/>
    </w:pPr>
    <w:rPr>
      <w:rFonts w:ascii="Times New Roman" w:hAnsi="Times New Roman" w:eastAsia="宋体"/>
      <w:kern w:val="0"/>
    </w:rPr>
  </w:style>
  <w:style w:type="paragraph" w:customStyle="1" w:styleId="680">
    <w:name w:val="char"/>
    <w:basedOn w:val="1"/>
    <w:autoRedefine/>
    <w:qFormat/>
    <w:uiPriority w:val="0"/>
    <w:pPr>
      <w:widowControl/>
      <w:spacing w:after="160"/>
      <w:jc w:val="left"/>
    </w:pPr>
    <w:rPr>
      <w:rFonts w:ascii="宋体" w:hAnsi="宋体" w:cs="宋体"/>
      <w:sz w:val="24"/>
    </w:rPr>
  </w:style>
  <w:style w:type="paragraph" w:customStyle="1" w:styleId="681">
    <w:name w:val="In Table"/>
    <w:basedOn w:val="1"/>
    <w:autoRedefine/>
    <w:qFormat/>
    <w:uiPriority w:val="0"/>
    <w:pPr>
      <w:keepNext/>
      <w:tabs>
        <w:tab w:val="left" w:pos="3960"/>
        <w:tab w:val="left" w:pos="5280"/>
      </w:tabs>
      <w:snapToGrid w:val="0"/>
      <w:spacing w:beforeLines="40" w:afterLines="40" w:line="0" w:lineRule="atLeast"/>
      <w:contextualSpacing/>
      <w:jc w:val="center"/>
    </w:pPr>
    <w:rPr>
      <w:rFonts w:ascii="Tahoma" w:hAnsi="Tahoma" w:eastAsia="华文中宋" w:cs="Arial"/>
      <w:szCs w:val="20"/>
    </w:rPr>
  </w:style>
  <w:style w:type="paragraph" w:customStyle="1" w:styleId="682">
    <w:name w:val="xl4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683">
    <w:name w:val="表的格式（小四）"/>
    <w:basedOn w:val="1"/>
    <w:autoRedefine/>
    <w:qFormat/>
    <w:uiPriority w:val="0"/>
    <w:pPr>
      <w:adjustRightInd w:val="0"/>
      <w:spacing w:line="360" w:lineRule="atLeast"/>
      <w:jc w:val="center"/>
    </w:pPr>
    <w:rPr>
      <w:kern w:val="0"/>
      <w:sz w:val="24"/>
      <w:szCs w:val="20"/>
    </w:rPr>
  </w:style>
  <w:style w:type="paragraph" w:customStyle="1" w:styleId="684">
    <w:name w:val="术语标题"/>
    <w:basedOn w:val="1"/>
    <w:next w:val="1"/>
    <w:autoRedefine/>
    <w:qFormat/>
    <w:uiPriority w:val="0"/>
    <w:pPr>
      <w:ind w:firstLine="425"/>
    </w:pPr>
    <w:rPr>
      <w:rFonts w:ascii="黑体" w:eastAsia="黑体"/>
      <w:szCs w:val="20"/>
    </w:rPr>
  </w:style>
  <w:style w:type="paragraph" w:customStyle="1" w:styleId="685">
    <w:name w:val="东明_正文 Char Char Char"/>
    <w:basedOn w:val="1"/>
    <w:autoRedefine/>
    <w:qFormat/>
    <w:uiPriority w:val="0"/>
    <w:pPr>
      <w:spacing w:before="240" w:after="240" w:line="480" w:lineRule="exact"/>
      <w:ind w:firstLine="560" w:firstLineChars="200"/>
    </w:pPr>
    <w:rPr>
      <w:sz w:val="28"/>
      <w:szCs w:val="20"/>
    </w:rPr>
  </w:style>
  <w:style w:type="paragraph" w:customStyle="1" w:styleId="686">
    <w:name w:val="样式 表标题4.9 + 居中"/>
    <w:basedOn w:val="1"/>
    <w:autoRedefine/>
    <w:qFormat/>
    <w:uiPriority w:val="0"/>
    <w:pPr>
      <w:numPr>
        <w:ilvl w:val="0"/>
        <w:numId w:val="7"/>
      </w:numPr>
      <w:tabs>
        <w:tab w:val="center" w:pos="4060"/>
        <w:tab w:val="right" w:pos="8261"/>
      </w:tabs>
      <w:suppressAutoHyphens/>
      <w:adjustRightInd w:val="0"/>
      <w:spacing w:before="240" w:line="0" w:lineRule="atLeast"/>
      <w:jc w:val="center"/>
    </w:pPr>
    <w:rPr>
      <w:rFonts w:ascii="黑体" w:eastAsia="黑体" w:cs="宋体"/>
      <w:b/>
      <w:bCs/>
      <w:spacing w:val="6"/>
      <w:kern w:val="0"/>
      <w:sz w:val="26"/>
      <w:szCs w:val="20"/>
    </w:rPr>
  </w:style>
  <w:style w:type="paragraph" w:customStyle="1" w:styleId="687">
    <w:name w:val="(文字) (文字)"/>
    <w:basedOn w:val="1"/>
    <w:autoRedefine/>
    <w:qFormat/>
    <w:uiPriority w:val="0"/>
  </w:style>
  <w:style w:type="paragraph" w:customStyle="1" w:styleId="688">
    <w:name w:val="xl170"/>
    <w:basedOn w:val="1"/>
    <w:autoRedefine/>
    <w:qFormat/>
    <w:uiPriority w:val="0"/>
    <w:pPr>
      <w:widowControl/>
      <w:pBdr>
        <w:left w:val="single" w:color="auto" w:sz="4"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689">
    <w:name w:val="xl9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690">
    <w:name w:val="首页脚注"/>
    <w:basedOn w:val="53"/>
    <w:autoRedefine/>
    <w:qFormat/>
    <w:uiPriority w:val="0"/>
    <w:pPr>
      <w:keepLines/>
      <w:widowControl/>
      <w:tabs>
        <w:tab w:val="center" w:pos="4320"/>
        <w:tab w:val="clear" w:pos="4153"/>
        <w:tab w:val="clear" w:pos="8306"/>
      </w:tabs>
      <w:overflowPunct w:val="0"/>
      <w:autoSpaceDE w:val="0"/>
      <w:autoSpaceDN w:val="0"/>
      <w:adjustRightInd w:val="0"/>
      <w:snapToGrid/>
      <w:jc w:val="center"/>
      <w:textAlignment w:val="baseline"/>
    </w:pPr>
    <w:rPr>
      <w:sz w:val="20"/>
    </w:rPr>
  </w:style>
  <w:style w:type="paragraph" w:customStyle="1" w:styleId="691">
    <w:name w:val="文本框文字格式"/>
    <w:basedOn w:val="1"/>
    <w:autoRedefine/>
    <w:qFormat/>
    <w:uiPriority w:val="0"/>
    <w:pPr>
      <w:jc w:val="center"/>
    </w:pPr>
    <w:rPr>
      <w:sz w:val="24"/>
    </w:rPr>
  </w:style>
  <w:style w:type="paragraph" w:customStyle="1" w:styleId="692">
    <w:name w:val="Char Char Char Char Char Char Char Char Char Char Char Char Char Char Char Char Char Char Char1"/>
    <w:basedOn w:val="1"/>
    <w:autoRedefine/>
    <w:qFormat/>
    <w:uiPriority w:val="0"/>
    <w:pPr>
      <w:widowControl/>
      <w:contextualSpacing/>
      <w:jc w:val="left"/>
    </w:pPr>
    <w:rPr>
      <w:rFonts w:cs="宋体"/>
      <w:kern w:val="0"/>
    </w:rPr>
  </w:style>
  <w:style w:type="paragraph" w:customStyle="1" w:styleId="693">
    <w:name w:val="标2"/>
    <w:basedOn w:val="7"/>
    <w:next w:val="294"/>
    <w:autoRedefine/>
    <w:qFormat/>
    <w:uiPriority w:val="0"/>
    <w:pPr>
      <w:tabs>
        <w:tab w:val="left" w:pos="0"/>
      </w:tabs>
      <w:spacing w:before="0" w:after="0" w:line="240" w:lineRule="auto"/>
      <w:ind w:left="576" w:hanging="576"/>
      <w:contextualSpacing/>
      <w:jc w:val="left"/>
    </w:pPr>
    <w:rPr>
      <w:rFonts w:ascii="黑体" w:hAnsi="黑体" w:cs="宋体"/>
      <w:bCs w:val="0"/>
      <w:sz w:val="30"/>
      <w:szCs w:val="20"/>
    </w:rPr>
  </w:style>
  <w:style w:type="paragraph" w:customStyle="1" w:styleId="694">
    <w:name w:val="style12"/>
    <w:basedOn w:val="1"/>
    <w:autoRedefine/>
    <w:qFormat/>
    <w:uiPriority w:val="0"/>
    <w:pPr>
      <w:widowControl/>
      <w:spacing w:before="100" w:beforeAutospacing="1" w:after="100" w:afterAutospacing="1"/>
      <w:jc w:val="left"/>
    </w:pPr>
    <w:rPr>
      <w:rFonts w:ascii="Arial" w:hAnsi="Arial" w:cs="Arial"/>
      <w:color w:val="666666"/>
      <w:kern w:val="0"/>
      <w:sz w:val="18"/>
      <w:szCs w:val="18"/>
    </w:rPr>
  </w:style>
  <w:style w:type="paragraph" w:customStyle="1" w:styleId="695">
    <w:name w:val="xl62"/>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696">
    <w:name w:val="样式6"/>
    <w:basedOn w:val="1"/>
    <w:next w:val="1"/>
    <w:autoRedefine/>
    <w:qFormat/>
    <w:uiPriority w:val="0"/>
    <w:pPr>
      <w:adjustRightInd w:val="0"/>
      <w:jc w:val="center"/>
      <w:textAlignment w:val="center"/>
    </w:pPr>
  </w:style>
  <w:style w:type="paragraph" w:customStyle="1" w:styleId="697">
    <w:name w:val="样式8"/>
    <w:basedOn w:val="1"/>
    <w:next w:val="1"/>
    <w:autoRedefine/>
    <w:qFormat/>
    <w:uiPriority w:val="0"/>
    <w:pPr>
      <w:ind w:firstLine="420"/>
    </w:pPr>
    <w:rPr>
      <w:rFonts w:ascii="宋体" w:hAnsi="Arial Black" w:cs="宋体"/>
      <w:sz w:val="24"/>
    </w:rPr>
  </w:style>
  <w:style w:type="paragraph" w:customStyle="1" w:styleId="698">
    <w:name w:val="工业统一正文"/>
    <w:basedOn w:val="1"/>
    <w:autoRedefine/>
    <w:qFormat/>
    <w:uiPriority w:val="0"/>
    <w:pPr>
      <w:adjustRightInd w:val="0"/>
      <w:snapToGrid w:val="0"/>
      <w:spacing w:line="360" w:lineRule="auto"/>
      <w:ind w:firstLine="200" w:firstLineChars="200"/>
      <w:jc w:val="left"/>
    </w:pPr>
    <w:rPr>
      <w:rFonts w:ascii="宋体"/>
      <w:sz w:val="28"/>
      <w:szCs w:val="20"/>
    </w:rPr>
  </w:style>
  <w:style w:type="paragraph" w:customStyle="1" w:styleId="699">
    <w:name w:val="菏泽-正文 Char Char Char"/>
    <w:basedOn w:val="1"/>
    <w:autoRedefine/>
    <w:qFormat/>
    <w:uiPriority w:val="0"/>
    <w:pPr>
      <w:spacing w:line="440" w:lineRule="exact"/>
      <w:ind w:firstLine="420" w:firstLineChars="200"/>
    </w:pPr>
    <w:rPr>
      <w:rFonts w:ascii="Arial" w:hAnsi="Arial" w:eastAsia="华文细黑"/>
      <w:szCs w:val="20"/>
    </w:rPr>
  </w:style>
  <w:style w:type="paragraph" w:customStyle="1" w:styleId="700">
    <w:name w:val="xl173"/>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701">
    <w:name w:val="pian"/>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702">
    <w:name w:val="缩进"/>
    <w:basedOn w:val="1"/>
    <w:autoRedefine/>
    <w:qFormat/>
    <w:uiPriority w:val="0"/>
    <w:pPr>
      <w:autoSpaceDE w:val="0"/>
      <w:autoSpaceDN w:val="0"/>
      <w:adjustRightInd w:val="0"/>
      <w:spacing w:line="400" w:lineRule="atLeast"/>
      <w:ind w:firstLine="200" w:firstLineChars="200"/>
      <w:textAlignment w:val="baseline"/>
    </w:pPr>
    <w:rPr>
      <w:kern w:val="0"/>
      <w:sz w:val="24"/>
      <w:szCs w:val="20"/>
    </w:rPr>
  </w:style>
  <w:style w:type="paragraph" w:customStyle="1" w:styleId="703">
    <w:name w:val="工艺统一正文"/>
    <w:basedOn w:val="1"/>
    <w:autoRedefine/>
    <w:qFormat/>
    <w:uiPriority w:val="0"/>
    <w:pPr>
      <w:adjustRightInd w:val="0"/>
      <w:snapToGrid w:val="0"/>
      <w:spacing w:line="360" w:lineRule="auto"/>
      <w:ind w:firstLine="578"/>
    </w:pPr>
    <w:rPr>
      <w:rFonts w:ascii="宋体"/>
      <w:sz w:val="28"/>
      <w:szCs w:val="20"/>
    </w:rPr>
  </w:style>
  <w:style w:type="paragraph" w:customStyle="1" w:styleId="704">
    <w:name w:val="样式 楷体_GB2312 居中"/>
    <w:basedOn w:val="1"/>
    <w:autoRedefine/>
    <w:qFormat/>
    <w:uiPriority w:val="0"/>
    <w:pPr>
      <w:spacing w:line="360" w:lineRule="auto"/>
      <w:jc w:val="center"/>
    </w:pPr>
    <w:rPr>
      <w:rFonts w:ascii="楷体_GB2312" w:eastAsia="楷体_GB2312"/>
      <w:szCs w:val="20"/>
      <w:lang w:bidi="ar-OM"/>
    </w:rPr>
  </w:style>
  <w:style w:type="paragraph" w:customStyle="1" w:styleId="705">
    <w:name w:val="居中正文"/>
    <w:basedOn w:val="80"/>
    <w:autoRedefine/>
    <w:qFormat/>
    <w:uiPriority w:val="0"/>
    <w:pPr>
      <w:adjustRightInd w:val="0"/>
      <w:spacing w:before="120" w:after="0" w:line="360" w:lineRule="auto"/>
      <w:ind w:firstLine="0" w:firstLineChars="0"/>
      <w:jc w:val="center"/>
      <w:textAlignment w:val="baseline"/>
    </w:pPr>
    <w:rPr>
      <w:rFonts w:ascii="宋体"/>
      <w:kern w:val="28"/>
      <w:sz w:val="24"/>
      <w:szCs w:val="20"/>
    </w:rPr>
  </w:style>
  <w:style w:type="paragraph" w:customStyle="1" w:styleId="706">
    <w:name w:val="Char4"/>
    <w:basedOn w:val="1"/>
    <w:autoRedefine/>
    <w:qFormat/>
    <w:uiPriority w:val="0"/>
    <w:pPr>
      <w:widowControl/>
      <w:spacing w:after="160"/>
      <w:jc w:val="left"/>
    </w:pPr>
    <w:rPr>
      <w:rFonts w:ascii="Verdana" w:hAnsi="Verdana" w:eastAsia="仿宋_GB2312" w:cs="”“Times New Roman”“"/>
      <w:kern w:val="0"/>
      <w:sz w:val="28"/>
      <w:szCs w:val="28"/>
      <w:lang w:eastAsia="en-US"/>
    </w:rPr>
  </w:style>
  <w:style w:type="paragraph" w:customStyle="1" w:styleId="707">
    <w:name w:val="CM75"/>
    <w:basedOn w:val="1"/>
    <w:next w:val="1"/>
    <w:autoRedefine/>
    <w:qFormat/>
    <w:uiPriority w:val="0"/>
    <w:pPr>
      <w:autoSpaceDE w:val="0"/>
      <w:autoSpaceDN w:val="0"/>
      <w:adjustRightInd w:val="0"/>
      <w:spacing w:after="60"/>
      <w:jc w:val="left"/>
    </w:pPr>
    <w:rPr>
      <w:rFonts w:ascii="Sim Sun+ 2" w:eastAsia="Sim Sun+ 2" w:cs="Sim Sun+ 2"/>
      <w:kern w:val="0"/>
      <w:sz w:val="24"/>
    </w:rPr>
  </w:style>
  <w:style w:type="paragraph" w:customStyle="1" w:styleId="708">
    <w:name w:val="WPS Plain"/>
    <w:autoRedefine/>
    <w:qFormat/>
    <w:uiPriority w:val="0"/>
    <w:rPr>
      <w:rFonts w:ascii="Times New Roman" w:hAnsi="Times New Roman" w:eastAsia="宋体" w:cs="Times New Roman"/>
      <w:lang w:val="en-US" w:eastAsia="zh-CN" w:bidi="ar-SA"/>
    </w:rPr>
  </w:style>
  <w:style w:type="paragraph" w:customStyle="1" w:styleId="709">
    <w:name w:val="xl133"/>
    <w:basedOn w:val="1"/>
    <w:autoRedefine/>
    <w:qFormat/>
    <w:uiPriority w:val="0"/>
    <w:pPr>
      <w:widowControl/>
      <w:pBdr>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10">
    <w:name w:val="xl5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11">
    <w:name w:val="宏福正文-2"/>
    <w:basedOn w:val="80"/>
    <w:autoRedefine/>
    <w:qFormat/>
    <w:uiPriority w:val="0"/>
    <w:pPr>
      <w:snapToGrid w:val="0"/>
      <w:spacing w:before="240" w:after="0" w:line="400" w:lineRule="atLeast"/>
      <w:ind w:firstLine="567" w:firstLineChars="0"/>
    </w:pPr>
    <w:rPr>
      <w:kern w:val="0"/>
      <w:sz w:val="28"/>
    </w:rPr>
  </w:style>
  <w:style w:type="paragraph" w:customStyle="1" w:styleId="712">
    <w:name w:val="正文2"/>
    <w:autoRedefine/>
    <w:qFormat/>
    <w:uiPriority w:val="0"/>
    <w:pPr>
      <w:widowControl w:val="0"/>
      <w:tabs>
        <w:tab w:val="left" w:pos="567"/>
      </w:tabs>
      <w:adjustRightInd w:val="0"/>
      <w:spacing w:line="360" w:lineRule="atLeast"/>
      <w:jc w:val="both"/>
      <w:textAlignment w:val="baseline"/>
    </w:pPr>
    <w:rPr>
      <w:rFonts w:ascii="Times New Roman" w:hAnsi="Courier" w:eastAsia="PMingLiU" w:cs="Times New Roman"/>
      <w:sz w:val="24"/>
      <w:lang w:val="en-US" w:eastAsia="zh-TW" w:bidi="ar-SA"/>
    </w:rPr>
  </w:style>
  <w:style w:type="paragraph" w:customStyle="1" w:styleId="713">
    <w:name w:val="我的样式（正文）"/>
    <w:basedOn w:val="1"/>
    <w:autoRedefine/>
    <w:qFormat/>
    <w:uiPriority w:val="0"/>
    <w:pPr>
      <w:spacing w:line="440" w:lineRule="exact"/>
    </w:pPr>
    <w:rPr>
      <w:rFonts w:ascii="宋体"/>
      <w:sz w:val="28"/>
      <w:szCs w:val="20"/>
    </w:rPr>
  </w:style>
  <w:style w:type="paragraph" w:customStyle="1" w:styleId="714">
    <w:name w:val="xl36"/>
    <w:basedOn w:val="1"/>
    <w:autoRedefine/>
    <w:qFormat/>
    <w:uiPriority w:val="0"/>
    <w:pPr>
      <w:widowControl/>
      <w:spacing w:before="100" w:beforeAutospacing="1" w:after="100" w:afterAutospacing="1"/>
      <w:jc w:val="left"/>
      <w:textAlignment w:val="bottom"/>
    </w:pPr>
    <w:rPr>
      <w:rFonts w:ascii="Arial" w:hAnsi="Arial" w:cs="Arial"/>
      <w:b/>
      <w:bCs/>
      <w:kern w:val="0"/>
      <w:sz w:val="24"/>
    </w:rPr>
  </w:style>
  <w:style w:type="paragraph" w:customStyle="1" w:styleId="715">
    <w:name w:val="表格文字居中 Char"/>
    <w:basedOn w:val="80"/>
    <w:autoRedefine/>
    <w:qFormat/>
    <w:uiPriority w:val="0"/>
    <w:pPr>
      <w:keepNext/>
      <w:tabs>
        <w:tab w:val="left" w:pos="628"/>
        <w:tab w:val="left" w:pos="1727"/>
        <w:tab w:val="left" w:pos="1884"/>
        <w:tab w:val="left" w:pos="2660"/>
        <w:tab w:val="left" w:pos="5460"/>
      </w:tabs>
      <w:spacing w:before="100" w:beforeAutospacing="1" w:after="0"/>
      <w:ind w:firstLine="0" w:firstLineChars="0"/>
      <w:jc w:val="center"/>
    </w:pPr>
    <w:rPr>
      <w:rFonts w:ascii="宋体"/>
      <w:bCs/>
      <w:color w:val="000000"/>
      <w:kern w:val="0"/>
      <w:sz w:val="24"/>
    </w:rPr>
  </w:style>
  <w:style w:type="paragraph" w:customStyle="1" w:styleId="716">
    <w:name w:val="Char2"/>
    <w:basedOn w:val="1"/>
    <w:autoRedefine/>
    <w:qFormat/>
    <w:uiPriority w:val="0"/>
    <w:pPr>
      <w:spacing w:line="360" w:lineRule="auto"/>
      <w:ind w:firstLine="200" w:firstLineChars="200"/>
    </w:pPr>
    <w:rPr>
      <w:rFonts w:ascii="宋体" w:hAnsi="宋体" w:cs="宋体"/>
      <w:sz w:val="24"/>
    </w:rPr>
  </w:style>
  <w:style w:type="paragraph" w:customStyle="1" w:styleId="717">
    <w:name w:val="xl58"/>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718">
    <w:name w:val="7表格(治)"/>
    <w:autoRedefine/>
    <w:qFormat/>
    <w:uiPriority w:val="0"/>
    <w:pPr>
      <w:jc w:val="center"/>
    </w:pPr>
    <w:rPr>
      <w:rFonts w:ascii="Calibri" w:hAnsi="Calibri" w:eastAsia="楷体_GB2312" w:cs="Times New Roman"/>
      <w:color w:val="000000"/>
      <w:sz w:val="21"/>
      <w:lang w:val="en-US" w:eastAsia="zh-CN" w:bidi="ar-SA"/>
    </w:rPr>
  </w:style>
  <w:style w:type="paragraph" w:customStyle="1" w:styleId="719">
    <w:name w:val="环表"/>
    <w:basedOn w:val="553"/>
    <w:autoRedefine/>
    <w:qFormat/>
    <w:uiPriority w:val="0"/>
    <w:pPr>
      <w:tabs>
        <w:tab w:val="left" w:pos="1464"/>
        <w:tab w:val="left" w:pos="5094"/>
      </w:tabs>
      <w:suppressAutoHyphens w:val="0"/>
      <w:spacing w:before="120" w:after="120" w:line="324" w:lineRule="auto"/>
      <w:ind w:left="7" w:right="29" w:firstLine="539"/>
      <w:jc w:val="center"/>
    </w:pPr>
    <w:rPr>
      <w:rFonts w:hAnsi="Courier New"/>
      <w:sz w:val="21"/>
    </w:rPr>
  </w:style>
  <w:style w:type="paragraph" w:customStyle="1" w:styleId="720">
    <w:name w:val="Char Char Char Char Char Char Char2"/>
    <w:basedOn w:val="1"/>
    <w:autoRedefine/>
    <w:qFormat/>
    <w:uiPriority w:val="0"/>
    <w:pPr>
      <w:widowControl/>
      <w:spacing w:after="160" w:line="240" w:lineRule="exact"/>
      <w:contextualSpacing/>
      <w:jc w:val="left"/>
    </w:pPr>
    <w:rPr>
      <w:rFonts w:ascii="Arial" w:hAnsi="Arial" w:eastAsia="Times New Roman" w:cs="Verdana"/>
      <w:b/>
      <w:kern w:val="0"/>
      <w:lang w:eastAsia="en-US"/>
    </w:rPr>
  </w:style>
  <w:style w:type="paragraph" w:customStyle="1" w:styleId="721">
    <w:name w:val="xl59"/>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22">
    <w:name w:val="w4"/>
    <w:basedOn w:val="1"/>
    <w:autoRedefine/>
    <w:qFormat/>
    <w:uiPriority w:val="0"/>
    <w:pPr>
      <w:widowControl/>
      <w:spacing w:before="100" w:beforeAutospacing="1" w:after="100" w:afterAutospacing="1" w:line="336" w:lineRule="auto"/>
      <w:ind w:firstLine="360"/>
      <w:jc w:val="left"/>
    </w:pPr>
    <w:rPr>
      <w:rFonts w:ascii="Calibri" w:hAnsi="Calibri"/>
      <w:color w:val="8A5E00"/>
      <w:kern w:val="0"/>
      <w:sz w:val="18"/>
      <w:szCs w:val="18"/>
    </w:rPr>
  </w:style>
  <w:style w:type="paragraph" w:customStyle="1" w:styleId="723">
    <w:name w:val="xl176"/>
    <w:basedOn w:val="1"/>
    <w:autoRedefine/>
    <w:qFormat/>
    <w:uiPriority w:val="0"/>
    <w:pPr>
      <w:widowControl/>
      <w:pBdr>
        <w:top w:val="single" w:color="auto" w:sz="12" w:space="0"/>
        <w:left w:val="single" w:color="auto" w:sz="12" w:space="0"/>
      </w:pBdr>
      <w:spacing w:before="100" w:beforeAutospacing="1" w:after="100" w:afterAutospacing="1"/>
      <w:jc w:val="left"/>
    </w:pPr>
    <w:rPr>
      <w:rFonts w:ascii="Arial Unicode MS" w:hAnsi="Arial Unicode MS"/>
      <w:kern w:val="0"/>
    </w:rPr>
  </w:style>
  <w:style w:type="paragraph" w:customStyle="1" w:styleId="724">
    <w:name w:val="表格文字居中"/>
    <w:basedOn w:val="1"/>
    <w:next w:val="80"/>
    <w:autoRedefine/>
    <w:qFormat/>
    <w:uiPriority w:val="0"/>
    <w:pPr>
      <w:keepNext/>
      <w:tabs>
        <w:tab w:val="left" w:pos="628"/>
        <w:tab w:val="left" w:pos="1727"/>
        <w:tab w:val="left" w:pos="1884"/>
      </w:tabs>
      <w:adjustRightInd w:val="0"/>
      <w:snapToGrid w:val="0"/>
      <w:contextualSpacing/>
      <w:jc w:val="center"/>
    </w:pPr>
    <w:rPr>
      <w:bCs/>
      <w:color w:val="000000"/>
      <w:kern w:val="0"/>
    </w:rPr>
  </w:style>
  <w:style w:type="paragraph" w:customStyle="1" w:styleId="725">
    <w:name w:val="缺省文本_宋体"/>
    <w:basedOn w:val="1"/>
    <w:autoRedefine/>
    <w:qFormat/>
    <w:uiPriority w:val="0"/>
    <w:pPr>
      <w:tabs>
        <w:tab w:val="left" w:pos="525"/>
        <w:tab w:val="center" w:pos="5670"/>
        <w:tab w:val="right" w:pos="7655"/>
      </w:tabs>
      <w:spacing w:before="80" w:after="120" w:line="360" w:lineRule="auto"/>
      <w:outlineLvl w:val="7"/>
    </w:pPr>
    <w:rPr>
      <w:spacing w:val="16"/>
      <w:kern w:val="28"/>
      <w:sz w:val="24"/>
      <w:szCs w:val="20"/>
    </w:rPr>
  </w:style>
  <w:style w:type="paragraph" w:customStyle="1" w:styleId="726">
    <w:name w:val="流程图"/>
    <w:basedOn w:val="1"/>
    <w:autoRedefine/>
    <w:qFormat/>
    <w:uiPriority w:val="0"/>
    <w:pPr>
      <w:tabs>
        <w:tab w:val="left" w:pos="0"/>
      </w:tabs>
      <w:autoSpaceDE w:val="0"/>
      <w:autoSpaceDN w:val="0"/>
      <w:adjustRightInd w:val="0"/>
      <w:spacing w:line="240" w:lineRule="atLeast"/>
      <w:jc w:val="center"/>
      <w:textAlignment w:val="bottom"/>
    </w:pPr>
    <w:rPr>
      <w:rFonts w:ascii="宋体"/>
      <w:szCs w:val="20"/>
    </w:rPr>
  </w:style>
  <w:style w:type="paragraph" w:customStyle="1" w:styleId="727">
    <w:name w:val="流程文字"/>
    <w:basedOn w:val="1"/>
    <w:autoRedefine/>
    <w:qFormat/>
    <w:uiPriority w:val="0"/>
    <w:pPr>
      <w:tabs>
        <w:tab w:val="left" w:pos="6480"/>
      </w:tabs>
      <w:topLinePunct/>
      <w:adjustRightInd w:val="0"/>
      <w:snapToGrid w:val="0"/>
      <w:jc w:val="center"/>
    </w:pPr>
    <w:rPr>
      <w:rFonts w:eastAsia="仿宋_GB2312"/>
      <w:szCs w:val="20"/>
    </w:rPr>
  </w:style>
  <w:style w:type="paragraph" w:customStyle="1" w:styleId="728">
    <w:name w:val="表格1"/>
    <w:basedOn w:val="1"/>
    <w:autoRedefine/>
    <w:qFormat/>
    <w:uiPriority w:val="0"/>
    <w:pPr>
      <w:jc w:val="center"/>
    </w:pPr>
  </w:style>
  <w:style w:type="paragraph" w:customStyle="1" w:styleId="729">
    <w:name w:val="xl53"/>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730">
    <w:name w:val="EIA1"/>
    <w:basedOn w:val="6"/>
    <w:autoRedefine/>
    <w:qFormat/>
    <w:uiPriority w:val="0"/>
    <w:pPr>
      <w:tabs>
        <w:tab w:val="left" w:pos="390"/>
      </w:tabs>
      <w:overflowPunct/>
      <w:snapToGrid/>
      <w:spacing w:before="0" w:after="0" w:line="480" w:lineRule="auto"/>
      <w:ind w:left="390" w:firstLine="0"/>
      <w:jc w:val="left"/>
    </w:pPr>
    <w:rPr>
      <w:rFonts w:ascii="Calibri" w:hAnsi="Calibri" w:eastAsia="宋体"/>
      <w:bCs w:val="0"/>
      <w:color w:val="auto"/>
      <w:kern w:val="2"/>
      <w:sz w:val="32"/>
      <w:szCs w:val="20"/>
    </w:rPr>
  </w:style>
  <w:style w:type="paragraph" w:customStyle="1" w:styleId="731">
    <w:name w:val="标准条文"/>
    <w:basedOn w:val="102"/>
    <w:next w:val="102"/>
    <w:autoRedefine/>
    <w:qFormat/>
    <w:uiPriority w:val="0"/>
    <w:rPr>
      <w:rFonts w:ascii="宋体"/>
      <w:color w:val="auto"/>
    </w:rPr>
  </w:style>
  <w:style w:type="paragraph" w:customStyle="1" w:styleId="732">
    <w:name w:val="font5"/>
    <w:basedOn w:val="1"/>
    <w:autoRedefine/>
    <w:qFormat/>
    <w:uiPriority w:val="0"/>
    <w:pPr>
      <w:widowControl/>
      <w:spacing w:before="100" w:beforeAutospacing="1" w:after="100" w:afterAutospacing="1"/>
      <w:jc w:val="left"/>
    </w:pPr>
    <w:rPr>
      <w:rFonts w:hint="eastAsia" w:ascii="宋体" w:hAnsi="宋体"/>
      <w:kern w:val="0"/>
      <w:sz w:val="18"/>
      <w:szCs w:val="18"/>
    </w:rPr>
  </w:style>
  <w:style w:type="paragraph" w:customStyle="1" w:styleId="733">
    <w:name w:val="表格标题2"/>
    <w:basedOn w:val="160"/>
    <w:autoRedefine/>
    <w:qFormat/>
    <w:uiPriority w:val="0"/>
    <w:pPr>
      <w:adjustRightInd/>
      <w:snapToGrid/>
      <w:spacing w:line="360" w:lineRule="auto"/>
      <w:jc w:val="left"/>
      <w:textAlignment w:val="auto"/>
    </w:pPr>
    <w:rPr>
      <w:rFonts w:eastAsia="宋体"/>
      <w:b/>
      <w:color w:val="000000"/>
      <w:sz w:val="24"/>
      <w:szCs w:val="21"/>
    </w:rPr>
  </w:style>
  <w:style w:type="paragraph" w:customStyle="1" w:styleId="734">
    <w:name w:val="图文字"/>
    <w:basedOn w:val="1"/>
    <w:autoRedefine/>
    <w:qFormat/>
    <w:uiPriority w:val="0"/>
    <w:pPr>
      <w:spacing w:line="400" w:lineRule="exact"/>
      <w:jc w:val="center"/>
    </w:pPr>
    <w:rPr>
      <w:rFonts w:ascii="宋体" w:hAnsi="宋体"/>
      <w:kern w:val="44"/>
      <w:sz w:val="24"/>
    </w:rPr>
  </w:style>
  <w:style w:type="paragraph" w:customStyle="1" w:styleId="735">
    <w:name w:val="xl5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36">
    <w:name w:val="xl159"/>
    <w:basedOn w:val="1"/>
    <w:autoRedefine/>
    <w:qFormat/>
    <w:uiPriority w:val="0"/>
    <w:pPr>
      <w:widowControl/>
      <w:pBdr>
        <w:right w:val="single" w:color="auto" w:sz="4" w:space="0"/>
      </w:pBdr>
      <w:spacing w:before="100" w:beforeAutospacing="1" w:after="100" w:afterAutospacing="1"/>
      <w:jc w:val="left"/>
    </w:pPr>
    <w:rPr>
      <w:rFonts w:ascii="Arial Unicode MS" w:hAnsi="Arial Unicode MS"/>
      <w:kern w:val="0"/>
    </w:rPr>
  </w:style>
  <w:style w:type="paragraph" w:customStyle="1" w:styleId="737">
    <w:name w:val="GY6"/>
    <w:basedOn w:val="1"/>
    <w:autoRedefine/>
    <w:qFormat/>
    <w:uiPriority w:val="0"/>
    <w:pPr>
      <w:tabs>
        <w:tab w:val="left" w:pos="840"/>
      </w:tabs>
      <w:adjustRightInd w:val="0"/>
      <w:snapToGrid w:val="0"/>
      <w:spacing w:line="360" w:lineRule="auto"/>
    </w:pPr>
    <w:rPr>
      <w:rFonts w:hint="eastAsia" w:ascii="宋体" w:hAnsi="宋体"/>
      <w:sz w:val="28"/>
      <w:szCs w:val="20"/>
    </w:rPr>
  </w:style>
  <w:style w:type="paragraph" w:customStyle="1" w:styleId="738">
    <w:name w:val="a"/>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739">
    <w:name w:val="甲乙酮标题4"/>
    <w:basedOn w:val="9"/>
    <w:autoRedefine/>
    <w:qFormat/>
    <w:uiPriority w:val="0"/>
    <w:pPr>
      <w:tabs>
        <w:tab w:val="left" w:pos="1680"/>
      </w:tabs>
      <w:spacing w:before="100" w:after="100" w:line="377" w:lineRule="auto"/>
      <w:ind w:left="1680"/>
    </w:pPr>
    <w:rPr>
      <w:rFonts w:ascii="Times New Roman" w:hAnsi="Times New Roman"/>
      <w:sz w:val="24"/>
      <w:szCs w:val="24"/>
    </w:rPr>
  </w:style>
  <w:style w:type="paragraph" w:customStyle="1" w:styleId="740">
    <w:name w:val="样式10"/>
    <w:basedOn w:val="6"/>
    <w:autoRedefine/>
    <w:qFormat/>
    <w:uiPriority w:val="0"/>
    <w:pPr>
      <w:keepLines/>
      <w:tabs>
        <w:tab w:val="left" w:pos="390"/>
      </w:tabs>
      <w:overflowPunct/>
      <w:snapToGrid/>
      <w:spacing w:before="340" w:beforeLines="100" w:after="330" w:afterLines="100" w:line="520" w:lineRule="exact"/>
      <w:ind w:left="390" w:firstLine="0"/>
    </w:pPr>
    <w:rPr>
      <w:rFonts w:ascii="Calibri" w:hAnsi="Calibri" w:eastAsia="宋体"/>
      <w:color w:val="FF0000"/>
    </w:rPr>
  </w:style>
  <w:style w:type="paragraph" w:customStyle="1" w:styleId="741">
    <w:name w:val="xl146"/>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742">
    <w:name w:val="标题 2 + 黑体"/>
    <w:basedOn w:val="7"/>
    <w:autoRedefine/>
    <w:qFormat/>
    <w:uiPriority w:val="0"/>
    <w:pPr>
      <w:keepNext w:val="0"/>
      <w:keepLines w:val="0"/>
      <w:tabs>
        <w:tab w:val="left" w:pos="280"/>
        <w:tab w:val="left" w:pos="1400"/>
      </w:tabs>
      <w:adjustRightInd w:val="0"/>
      <w:snapToGrid w:val="0"/>
      <w:spacing w:before="50" w:after="240" w:line="480" w:lineRule="exact"/>
      <w:ind w:left="1233" w:right="100" w:rightChars="100" w:firstLine="567"/>
      <w:jc w:val="left"/>
    </w:pPr>
    <w:rPr>
      <w:rFonts w:ascii="黑体" w:hAnsi="黑体"/>
      <w:b w:val="0"/>
      <w:bCs w:val="0"/>
      <w:sz w:val="28"/>
      <w:szCs w:val="28"/>
    </w:rPr>
  </w:style>
  <w:style w:type="paragraph" w:customStyle="1" w:styleId="743">
    <w:name w:val="xl96"/>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744">
    <w:name w:val="报告书表格"/>
    <w:basedOn w:val="1"/>
    <w:autoRedefine/>
    <w:qFormat/>
    <w:uiPriority w:val="0"/>
    <w:pPr>
      <w:adjustRightInd w:val="0"/>
      <w:spacing w:before="60" w:after="60" w:line="240" w:lineRule="atLeast"/>
      <w:jc w:val="center"/>
      <w:textAlignment w:val="baseline"/>
    </w:pPr>
    <w:rPr>
      <w:kern w:val="0"/>
      <w:szCs w:val="20"/>
    </w:rPr>
  </w:style>
  <w:style w:type="paragraph" w:customStyle="1" w:styleId="745">
    <w:name w:val="表后文"/>
    <w:basedOn w:val="1"/>
    <w:autoRedefine/>
    <w:qFormat/>
    <w:uiPriority w:val="0"/>
    <w:pPr>
      <w:adjustRightInd w:val="0"/>
      <w:spacing w:before="120" w:line="400" w:lineRule="exact"/>
      <w:ind w:firstLine="601"/>
      <w:textAlignment w:val="baseline"/>
    </w:pPr>
    <w:rPr>
      <w:rFonts w:eastAsia="楷体_GB2312"/>
      <w:spacing w:val="8"/>
      <w:kern w:val="0"/>
      <w:sz w:val="28"/>
      <w:szCs w:val="20"/>
    </w:rPr>
  </w:style>
  <w:style w:type="paragraph" w:customStyle="1" w:styleId="746">
    <w:name w:val="xl144"/>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47">
    <w:name w:val="图编号"/>
    <w:basedOn w:val="417"/>
    <w:autoRedefine/>
    <w:qFormat/>
    <w:uiPriority w:val="0"/>
    <w:pPr>
      <w:tabs>
        <w:tab w:val="left" w:pos="763"/>
        <w:tab w:val="left" w:pos="1440"/>
      </w:tabs>
      <w:spacing w:before="300" w:after="300" w:line="360" w:lineRule="auto"/>
      <w:ind w:left="400" w:leftChars="400" w:hanging="200" w:hangingChars="200"/>
    </w:pPr>
    <w:rPr>
      <w:rFonts w:ascii="Times New Roman" w:hAnsi="Times New Roman" w:eastAsia="宋体"/>
      <w:kern w:val="0"/>
      <w:sz w:val="20"/>
      <w:szCs w:val="24"/>
    </w:rPr>
  </w:style>
  <w:style w:type="paragraph" w:customStyle="1" w:styleId="748">
    <w:name w:val="xl169"/>
    <w:basedOn w:val="1"/>
    <w:autoRedefine/>
    <w:qFormat/>
    <w:uiPriority w:val="0"/>
    <w:pPr>
      <w:widowControl/>
      <w:pBdr>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749">
    <w:name w:val="样式13"/>
    <w:basedOn w:val="1"/>
    <w:next w:val="31"/>
    <w:autoRedefine/>
    <w:qFormat/>
    <w:uiPriority w:val="0"/>
    <w:pPr>
      <w:adjustRightInd w:val="0"/>
      <w:spacing w:line="500" w:lineRule="exact"/>
      <w:ind w:firstLine="200" w:firstLineChars="200"/>
      <w:textAlignment w:val="baseline"/>
    </w:pPr>
    <w:rPr>
      <w:rFonts w:ascii="仿宋_GB2312" w:hAnsi="宋体" w:eastAsia="仿宋_GB2312"/>
      <w:color w:val="FF0000"/>
      <w:sz w:val="28"/>
      <w:szCs w:val="28"/>
    </w:rPr>
  </w:style>
  <w:style w:type="paragraph" w:customStyle="1" w:styleId="750">
    <w:name w:val="表格03"/>
    <w:basedOn w:val="1"/>
    <w:autoRedefine/>
    <w:qFormat/>
    <w:uiPriority w:val="0"/>
    <w:pPr>
      <w:spacing w:line="400" w:lineRule="exact"/>
      <w:jc w:val="center"/>
    </w:pPr>
    <w:rPr>
      <w:color w:val="000000"/>
      <w:sz w:val="24"/>
    </w:rPr>
  </w:style>
  <w:style w:type="paragraph" w:customStyle="1" w:styleId="751">
    <w:name w:val="xl104"/>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752">
    <w:name w:val="扉页 黑体缩进"/>
    <w:basedOn w:val="1"/>
    <w:autoRedefine/>
    <w:qFormat/>
    <w:uiPriority w:val="0"/>
    <w:pPr>
      <w:spacing w:before="240" w:after="240" w:line="480" w:lineRule="exact"/>
      <w:ind w:firstLine="2240" w:firstLineChars="700"/>
      <w:jc w:val="left"/>
    </w:pPr>
    <w:rPr>
      <w:rFonts w:eastAsia="黑体"/>
      <w:sz w:val="32"/>
      <w:szCs w:val="20"/>
    </w:rPr>
  </w:style>
  <w:style w:type="paragraph" w:customStyle="1" w:styleId="753">
    <w:name w:val="xl33"/>
    <w:basedOn w:val="1"/>
    <w:autoRedefine/>
    <w:qFormat/>
    <w:uiPriority w:val="0"/>
    <w:pPr>
      <w:widowControl/>
      <w:spacing w:before="100" w:beforeAutospacing="1" w:after="100" w:afterAutospacing="1"/>
      <w:jc w:val="left"/>
    </w:pPr>
    <w:rPr>
      <w:rFonts w:ascii="Arial" w:hAnsi="Arial" w:cs="Arial"/>
      <w:kern w:val="0"/>
      <w:sz w:val="22"/>
      <w:szCs w:val="22"/>
    </w:rPr>
  </w:style>
  <w:style w:type="paragraph" w:customStyle="1" w:styleId="754">
    <w:name w:val="正文首行缩进2字"/>
    <w:basedOn w:val="1"/>
    <w:autoRedefine/>
    <w:qFormat/>
    <w:uiPriority w:val="0"/>
    <w:pPr>
      <w:adjustRightInd w:val="0"/>
      <w:snapToGrid w:val="0"/>
      <w:spacing w:line="300" w:lineRule="auto"/>
      <w:ind w:firstLine="563" w:firstLineChars="201"/>
    </w:pPr>
    <w:rPr>
      <w:sz w:val="28"/>
    </w:rPr>
  </w:style>
  <w:style w:type="paragraph" w:customStyle="1" w:styleId="755">
    <w:name w:val="xl82"/>
    <w:basedOn w:val="1"/>
    <w:autoRedefine/>
    <w:qFormat/>
    <w:uiPriority w:val="0"/>
    <w:pPr>
      <w:widowControl/>
      <w:pBdr>
        <w:left w:val="single" w:color="auto" w:sz="12" w:space="0"/>
        <w:bottom w:val="single" w:color="auto" w:sz="12" w:space="0"/>
      </w:pBdr>
      <w:spacing w:before="100" w:beforeAutospacing="1" w:after="100" w:afterAutospacing="1"/>
      <w:jc w:val="right"/>
      <w:textAlignment w:val="center"/>
    </w:pPr>
    <w:rPr>
      <w:rFonts w:ascii="Arial Unicode MS" w:hAnsi="Arial Unicode MS"/>
      <w:kern w:val="0"/>
      <w:sz w:val="12"/>
      <w:szCs w:val="12"/>
    </w:rPr>
  </w:style>
  <w:style w:type="paragraph" w:customStyle="1" w:styleId="756">
    <w:name w:val="1"/>
    <w:basedOn w:val="1"/>
    <w:next w:val="3"/>
    <w:autoRedefine/>
    <w:qFormat/>
    <w:uiPriority w:val="0"/>
    <w:pPr>
      <w:ind w:firstLine="480" w:firstLineChars="200"/>
    </w:pPr>
    <w:rPr>
      <w:sz w:val="24"/>
    </w:rPr>
  </w:style>
  <w:style w:type="paragraph" w:customStyle="1" w:styleId="757">
    <w:name w:val="样式"/>
    <w:basedOn w:val="1"/>
    <w:next w:val="372"/>
    <w:autoRedefine/>
    <w:qFormat/>
    <w:uiPriority w:val="0"/>
    <w:pPr>
      <w:tabs>
        <w:tab w:val="left" w:pos="280"/>
        <w:tab w:val="left" w:pos="620"/>
      </w:tabs>
      <w:adjustRightInd w:val="0"/>
      <w:snapToGrid w:val="0"/>
      <w:spacing w:before="240" w:after="240" w:line="480" w:lineRule="exact"/>
      <w:ind w:left="2098" w:right="392" w:rightChars="140" w:firstLine="454" w:firstLineChars="200"/>
    </w:pPr>
    <w:rPr>
      <w:sz w:val="28"/>
    </w:rPr>
  </w:style>
  <w:style w:type="paragraph" w:customStyle="1" w:styleId="758">
    <w:name w:val="高表标"/>
    <w:basedOn w:val="1"/>
    <w:autoRedefine/>
    <w:qFormat/>
    <w:uiPriority w:val="0"/>
    <w:pPr>
      <w:snapToGrid w:val="0"/>
      <w:spacing w:line="300" w:lineRule="auto"/>
      <w:jc w:val="right"/>
    </w:pPr>
    <w:rPr>
      <w:rFonts w:ascii="Arial" w:hAnsi="Arial" w:eastAsia="黑体"/>
      <w:bCs/>
      <w:sz w:val="24"/>
    </w:rPr>
  </w:style>
  <w:style w:type="paragraph" w:customStyle="1" w:styleId="759">
    <w:name w:val="五级条标题"/>
    <w:basedOn w:val="640"/>
    <w:next w:val="1"/>
    <w:autoRedefine/>
    <w:qFormat/>
    <w:uiPriority w:val="0"/>
    <w:pPr>
      <w:outlineLvl w:val="6"/>
    </w:pPr>
  </w:style>
  <w:style w:type="paragraph" w:customStyle="1" w:styleId="760">
    <w:name w:val="myformat_content Char"/>
    <w:basedOn w:val="1"/>
    <w:autoRedefine/>
    <w:qFormat/>
    <w:uiPriority w:val="0"/>
    <w:pPr>
      <w:spacing w:beforeLines="50" w:afterLines="50" w:line="360" w:lineRule="exact"/>
      <w:ind w:firstLine="480" w:firstLineChars="200"/>
    </w:pPr>
    <w:rPr>
      <w:sz w:val="24"/>
      <w:szCs w:val="20"/>
    </w:rPr>
  </w:style>
  <w:style w:type="paragraph" w:customStyle="1" w:styleId="761">
    <w:name w:val="xl123"/>
    <w:basedOn w:val="1"/>
    <w:autoRedefine/>
    <w:qFormat/>
    <w:uiPriority w:val="0"/>
    <w:pPr>
      <w:widowControl/>
      <w:pBdr>
        <w:top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762">
    <w:name w:val="xl149"/>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rPr>
  </w:style>
  <w:style w:type="paragraph" w:customStyle="1" w:styleId="763">
    <w:name w:val="表样式3"/>
    <w:basedOn w:val="1"/>
    <w:autoRedefine/>
    <w:qFormat/>
    <w:uiPriority w:val="0"/>
    <w:pPr>
      <w:spacing w:beforeLines="50" w:afterLines="50"/>
      <w:jc w:val="center"/>
    </w:pPr>
    <w:rPr>
      <w:rFonts w:ascii="宋体" w:hAnsi="宋体" w:eastAsia="黑体"/>
      <w:color w:val="000000"/>
      <w:szCs w:val="18"/>
    </w:rPr>
  </w:style>
  <w:style w:type="paragraph" w:customStyle="1" w:styleId="764">
    <w:name w:val="word"/>
    <w:basedOn w:val="1"/>
    <w:autoRedefine/>
    <w:qFormat/>
    <w:uiPriority w:val="0"/>
    <w:pPr>
      <w:spacing w:line="360" w:lineRule="auto"/>
      <w:ind w:firstLine="480" w:firstLineChars="200"/>
    </w:pPr>
    <w:rPr>
      <w:sz w:val="24"/>
    </w:rPr>
  </w:style>
  <w:style w:type="paragraph" w:customStyle="1" w:styleId="765">
    <w:name w:val="样式 标题 2 + 行距: 1.5 倍行距"/>
    <w:basedOn w:val="7"/>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766">
    <w:name w:val="注"/>
    <w:basedOn w:val="1"/>
    <w:next w:val="1"/>
    <w:autoRedefine/>
    <w:qFormat/>
    <w:uiPriority w:val="0"/>
    <w:pPr>
      <w:widowControl/>
      <w:spacing w:before="60" w:after="60" w:line="312" w:lineRule="auto"/>
    </w:pPr>
    <w:rPr>
      <w:rFonts w:eastAsia="黑体"/>
      <w:kern w:val="0"/>
      <w:szCs w:val="20"/>
    </w:rPr>
  </w:style>
  <w:style w:type="paragraph" w:customStyle="1" w:styleId="767">
    <w:name w:val="样式 正文文本 + 左侧:  2 字符 首行缩进:  2 字符"/>
    <w:basedOn w:val="34"/>
    <w:autoRedefine/>
    <w:qFormat/>
    <w:uiPriority w:val="0"/>
    <w:pPr>
      <w:widowControl w:val="0"/>
      <w:adjustRightInd w:val="0"/>
      <w:spacing w:before="0" w:after="0" w:line="360" w:lineRule="auto"/>
      <w:ind w:left="480" w:leftChars="200" w:right="0" w:firstLine="480" w:firstLineChars="200"/>
      <w:jc w:val="left"/>
    </w:pPr>
    <w:rPr>
      <w:rFonts w:ascii="Arial" w:hAnsi="Arial" w:cs="宋体"/>
      <w:kern w:val="2"/>
      <w:sz w:val="24"/>
    </w:rPr>
  </w:style>
  <w:style w:type="paragraph" w:customStyle="1" w:styleId="768">
    <w:name w:val="xl31"/>
    <w:basedOn w:val="1"/>
    <w:autoRedefine/>
    <w:qFormat/>
    <w:uiPriority w:val="0"/>
    <w:pPr>
      <w:widowControl/>
      <w:spacing w:before="100" w:beforeAutospacing="1" w:after="100" w:afterAutospacing="1"/>
      <w:jc w:val="center"/>
      <w:textAlignment w:val="bottom"/>
    </w:pPr>
    <w:rPr>
      <w:rFonts w:ascii="Arial" w:hAnsi="Arial" w:cs="Arial"/>
      <w:b/>
      <w:bCs/>
      <w:kern w:val="0"/>
      <w:sz w:val="28"/>
      <w:szCs w:val="28"/>
    </w:rPr>
  </w:style>
  <w:style w:type="paragraph" w:customStyle="1" w:styleId="769">
    <w:name w:val="表名称"/>
    <w:autoRedefine/>
    <w:semiHidden/>
    <w:qFormat/>
    <w:uiPriority w:val="0"/>
    <w:pPr>
      <w:widowControl w:val="0"/>
      <w:spacing w:before="240" w:line="288" w:lineRule="auto"/>
      <w:jc w:val="both"/>
    </w:pPr>
    <w:rPr>
      <w:rFonts w:ascii="Times New Roman" w:hAnsi="Times New Roman" w:eastAsia="宋体" w:cs="Times New Roman"/>
      <w:kern w:val="2"/>
      <w:sz w:val="24"/>
      <w:szCs w:val="24"/>
      <w:lang w:val="en-US" w:eastAsia="zh-CN" w:bidi="ar-SA"/>
    </w:rPr>
  </w:style>
  <w:style w:type="paragraph" w:customStyle="1" w:styleId="770">
    <w:name w:val="Char Char Char Char Char Char"/>
    <w:basedOn w:val="1"/>
    <w:autoRedefine/>
    <w:qFormat/>
    <w:uiPriority w:val="0"/>
    <w:rPr>
      <w:sz w:val="24"/>
    </w:rPr>
  </w:style>
  <w:style w:type="paragraph" w:customStyle="1" w:styleId="771">
    <w:name w:val="标准"/>
    <w:basedOn w:val="1"/>
    <w:autoRedefine/>
    <w:qFormat/>
    <w:uiPriority w:val="0"/>
    <w:pPr>
      <w:adjustRightInd w:val="0"/>
      <w:spacing w:line="312" w:lineRule="atLeast"/>
      <w:jc w:val="center"/>
      <w:textAlignment w:val="baseline"/>
    </w:pPr>
    <w:rPr>
      <w:kern w:val="0"/>
      <w:szCs w:val="20"/>
    </w:rPr>
  </w:style>
  <w:style w:type="paragraph" w:customStyle="1" w:styleId="772">
    <w:name w:val="样式 样式 正文 首行缩进:  2 字符 + (中文) 楷体_GB2312 + 宋体 首行缩进:  2 字符 段前: 7.8..."/>
    <w:basedOn w:val="411"/>
    <w:autoRedefine/>
    <w:qFormat/>
    <w:uiPriority w:val="0"/>
    <w:rPr>
      <w:rFonts w:eastAsia="宋体"/>
    </w:rPr>
  </w:style>
  <w:style w:type="paragraph" w:customStyle="1" w:styleId="773">
    <w:name w:val="样式 样式 标题 3东明_小节H3条标题1.1.1二级节名h33rd level3l3CTHeading 3 - ... + 段..."/>
    <w:basedOn w:val="646"/>
    <w:autoRedefine/>
    <w:qFormat/>
    <w:uiPriority w:val="0"/>
    <w:pPr>
      <w:spacing w:after="156"/>
    </w:pPr>
  </w:style>
  <w:style w:type="paragraph" w:customStyle="1" w:styleId="774">
    <w:name w:val="首行缩进"/>
    <w:basedOn w:val="1"/>
    <w:autoRedefine/>
    <w:qFormat/>
    <w:uiPriority w:val="0"/>
    <w:pPr>
      <w:spacing w:line="360" w:lineRule="auto"/>
      <w:ind w:firstLine="480" w:firstLineChars="200"/>
    </w:pPr>
    <w:rPr>
      <w:sz w:val="24"/>
    </w:rPr>
  </w:style>
  <w:style w:type="paragraph" w:customStyle="1" w:styleId="775">
    <w:name w:val="Char Char Char Char Char Char Char Char Char Char Char Char Char Char Char Char"/>
    <w:basedOn w:val="1"/>
    <w:autoRedefine/>
    <w:qFormat/>
    <w:uiPriority w:val="0"/>
    <w:rPr>
      <w:rFonts w:cs="宋体"/>
      <w:bCs/>
      <w:color w:val="000000"/>
      <w:szCs w:val="28"/>
    </w:rPr>
  </w:style>
  <w:style w:type="paragraph" w:customStyle="1" w:styleId="776">
    <w:name w:val="修订1"/>
    <w:autoRedefine/>
    <w:semiHidden/>
    <w:qFormat/>
    <w:uiPriority w:val="0"/>
    <w:rPr>
      <w:rFonts w:ascii="Times New Roman" w:hAnsi="Times New Roman" w:eastAsia="宋体" w:cs="Times New Roman"/>
      <w:kern w:val="2"/>
      <w:sz w:val="24"/>
      <w:szCs w:val="21"/>
      <w:lang w:val="en-US" w:eastAsia="zh-CN" w:bidi="ar-SA"/>
    </w:rPr>
  </w:style>
  <w:style w:type="paragraph" w:customStyle="1" w:styleId="777">
    <w:name w:val="文本框"/>
    <w:basedOn w:val="1"/>
    <w:autoRedefine/>
    <w:qFormat/>
    <w:uiPriority w:val="0"/>
    <w:pPr>
      <w:adjustRightInd w:val="0"/>
      <w:snapToGrid w:val="0"/>
      <w:spacing w:line="300" w:lineRule="exact"/>
      <w:jc w:val="center"/>
    </w:pPr>
    <w:rPr>
      <w:sz w:val="24"/>
    </w:rPr>
  </w:style>
  <w:style w:type="paragraph" w:customStyle="1" w:styleId="778">
    <w:name w:val="xl69"/>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779">
    <w:name w:val="五号表格"/>
    <w:next w:val="1"/>
    <w:autoRedefine/>
    <w:qFormat/>
    <w:uiPriority w:val="0"/>
    <w:rPr>
      <w:rFonts w:ascii="宋体" w:hAnsi="Times New Roman" w:eastAsia="宋体" w:cs="Times New Roman"/>
      <w:sz w:val="21"/>
      <w:lang w:val="en-US" w:eastAsia="zh-CN" w:bidi="ar-SA"/>
    </w:rPr>
  </w:style>
  <w:style w:type="paragraph" w:customStyle="1" w:styleId="780">
    <w:name w:val="样式 样式 样式 首行缩进:  2 字符 + 首行缩进:  2 字符 + 首行缩进:  2 字符"/>
    <w:basedOn w:val="1"/>
    <w:autoRedefine/>
    <w:qFormat/>
    <w:uiPriority w:val="0"/>
    <w:pPr>
      <w:spacing w:line="360" w:lineRule="auto"/>
      <w:ind w:firstLine="480" w:firstLineChars="200"/>
    </w:pPr>
    <w:rPr>
      <w:rFonts w:eastAsia="仿宋_GB2312"/>
      <w:sz w:val="24"/>
      <w:szCs w:val="20"/>
    </w:rPr>
  </w:style>
  <w:style w:type="paragraph" w:customStyle="1" w:styleId="781">
    <w:name w:val="xl186"/>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782">
    <w:name w:val="xl88"/>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3">
    <w:name w:val="注释"/>
    <w:basedOn w:val="211"/>
    <w:autoRedefine/>
    <w:qFormat/>
    <w:uiPriority w:val="0"/>
    <w:pPr>
      <w:ind w:firstLine="420"/>
    </w:pPr>
    <w:rPr>
      <w:sz w:val="21"/>
      <w:szCs w:val="24"/>
    </w:rPr>
  </w:style>
  <w:style w:type="paragraph" w:customStyle="1" w:styleId="784">
    <w:name w:val="xl131"/>
    <w:basedOn w:val="1"/>
    <w:autoRedefine/>
    <w:qFormat/>
    <w:uiPriority w:val="0"/>
    <w:pPr>
      <w:widowControl/>
      <w:pBdr>
        <w:left w:val="single" w:color="auto" w:sz="4" w:space="0"/>
        <w:right w:val="single" w:color="auto" w:sz="8" w:space="0"/>
      </w:pBdr>
      <w:spacing w:before="100" w:beforeAutospacing="1" w:after="100" w:afterAutospacing="1"/>
      <w:jc w:val="left"/>
    </w:pPr>
    <w:rPr>
      <w:rFonts w:ascii="Arial Unicode MS" w:hAnsi="Arial Unicode MS"/>
      <w:kern w:val="0"/>
    </w:rPr>
  </w:style>
  <w:style w:type="paragraph" w:customStyle="1" w:styleId="785">
    <w:name w:val="段"/>
    <w:autoRedefine/>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786">
    <w:name w:val="xl80"/>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87">
    <w:name w:val="样式 标题 2东明_节Chapter HeadingHeading 2 HiddenHeading 2 CCBShea..."/>
    <w:basedOn w:val="7"/>
    <w:autoRedefine/>
    <w:qFormat/>
    <w:uiPriority w:val="0"/>
    <w:pPr>
      <w:spacing w:before="0" w:after="0" w:line="360" w:lineRule="auto"/>
    </w:pPr>
    <w:rPr>
      <w:rFonts w:ascii="Times New Roman" w:hAnsi="Times New Roman" w:cs="宋体"/>
      <w:kern w:val="44"/>
      <w:sz w:val="28"/>
      <w:szCs w:val="20"/>
      <w:lang w:val="zh-CN"/>
    </w:rPr>
  </w:style>
  <w:style w:type="paragraph" w:customStyle="1" w:styleId="788">
    <w:name w:val="Char Char Char4 Char Char Char Char Char Char3"/>
    <w:basedOn w:val="1"/>
    <w:autoRedefine/>
    <w:qFormat/>
    <w:uiPriority w:val="0"/>
    <w:rPr>
      <w:rFonts w:ascii="宋体" w:hAnsi="宋体" w:cs="宋体"/>
      <w:sz w:val="24"/>
    </w:rPr>
  </w:style>
  <w:style w:type="paragraph" w:customStyle="1" w:styleId="789">
    <w:name w:val="前言、引言标题"/>
    <w:next w:val="1"/>
    <w:autoRedefine/>
    <w:qFormat/>
    <w:uiPriority w:val="0"/>
    <w:pPr>
      <w:shd w:val="clear" w:color="FFFFFF" w:fill="FFFFFF"/>
      <w:tabs>
        <w:tab w:val="left" w:pos="903"/>
      </w:tabs>
      <w:spacing w:before="640" w:after="560"/>
      <w:ind w:left="903" w:hanging="315"/>
      <w:jc w:val="center"/>
      <w:outlineLvl w:val="0"/>
    </w:pPr>
    <w:rPr>
      <w:rFonts w:ascii="黑体" w:hAnsi="Times New Roman" w:eastAsia="黑体" w:cs="Times New Roman"/>
      <w:sz w:val="32"/>
      <w:lang w:val="en-US" w:eastAsia="zh-CN" w:bidi="ar-SA"/>
    </w:rPr>
  </w:style>
  <w:style w:type="paragraph" w:customStyle="1" w:styleId="790">
    <w:name w:val="项目编号"/>
    <w:basedOn w:val="1"/>
    <w:next w:val="1"/>
    <w:autoRedefine/>
    <w:qFormat/>
    <w:uiPriority w:val="0"/>
    <w:pPr>
      <w:spacing w:before="120" w:after="120" w:line="360" w:lineRule="auto"/>
    </w:pPr>
    <w:rPr>
      <w:sz w:val="24"/>
      <w:szCs w:val="20"/>
    </w:rPr>
  </w:style>
  <w:style w:type="paragraph" w:customStyle="1" w:styleId="791">
    <w:name w:val="xl38"/>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792">
    <w:name w:val="图目"/>
    <w:basedOn w:val="1"/>
    <w:autoRedefine/>
    <w:qFormat/>
    <w:uiPriority w:val="0"/>
    <w:pPr>
      <w:snapToGrid w:val="0"/>
      <w:spacing w:before="360" w:after="360" w:line="440" w:lineRule="atLeast"/>
      <w:jc w:val="center"/>
    </w:pPr>
    <w:rPr>
      <w:rFonts w:ascii="黑体" w:hAnsi="Arial" w:eastAsia="黑体"/>
      <w:sz w:val="24"/>
      <w:szCs w:val="20"/>
    </w:rPr>
  </w:style>
  <w:style w:type="paragraph" w:customStyle="1" w:styleId="793">
    <w:name w:val="Char Char Char1 Char Char Char Char Char Char Char Char Char Char"/>
    <w:basedOn w:val="1"/>
    <w:autoRedefine/>
    <w:qFormat/>
    <w:uiPriority w:val="0"/>
  </w:style>
  <w:style w:type="paragraph" w:customStyle="1" w:styleId="794">
    <w:name w:val="表居中（中文）"/>
    <w:basedOn w:val="1"/>
    <w:autoRedefine/>
    <w:qFormat/>
    <w:uiPriority w:val="0"/>
    <w:pPr>
      <w:adjustRightInd w:val="0"/>
      <w:spacing w:line="380" w:lineRule="atLeast"/>
      <w:jc w:val="center"/>
      <w:textAlignment w:val="baseline"/>
    </w:pPr>
    <w:rPr>
      <w:rFonts w:eastAsia="楷体_GB2312"/>
      <w:kern w:val="0"/>
      <w:sz w:val="24"/>
      <w:szCs w:val="20"/>
    </w:rPr>
  </w:style>
  <w:style w:type="paragraph" w:customStyle="1" w:styleId="795">
    <w:name w:val="xl18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796">
    <w:name w:val="样式a"/>
    <w:basedOn w:val="1"/>
    <w:autoRedefine/>
    <w:qFormat/>
    <w:uiPriority w:val="0"/>
    <w:pPr>
      <w:adjustRightInd w:val="0"/>
      <w:snapToGrid w:val="0"/>
      <w:spacing w:line="420" w:lineRule="exact"/>
      <w:ind w:firstLine="200" w:firstLineChars="200"/>
      <w:textAlignment w:val="baseline"/>
    </w:pPr>
    <w:rPr>
      <w:kern w:val="0"/>
      <w:sz w:val="24"/>
    </w:rPr>
  </w:style>
  <w:style w:type="paragraph" w:customStyle="1" w:styleId="797">
    <w:name w:val="xl71"/>
    <w:basedOn w:val="1"/>
    <w:autoRedefine/>
    <w:qFormat/>
    <w:uiPriority w:val="0"/>
    <w:pPr>
      <w:widowControl/>
      <w:spacing w:before="100" w:beforeAutospacing="1" w:after="100" w:afterAutospacing="1"/>
      <w:jc w:val="left"/>
    </w:pPr>
    <w:rPr>
      <w:rFonts w:ascii="宋体" w:hAnsi="宋体"/>
      <w:b/>
      <w:bCs/>
      <w:kern w:val="0"/>
      <w:sz w:val="20"/>
      <w:szCs w:val="20"/>
    </w:rPr>
  </w:style>
  <w:style w:type="paragraph" w:customStyle="1" w:styleId="798">
    <w:name w:val="xl98"/>
    <w:basedOn w:val="1"/>
    <w:autoRedefine/>
    <w:qFormat/>
    <w:uiPriority w:val="0"/>
    <w:pPr>
      <w:widowControl/>
      <w:pBdr>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799">
    <w:name w:val="4"/>
    <w:basedOn w:val="1"/>
    <w:autoRedefine/>
    <w:qFormat/>
    <w:uiPriority w:val="0"/>
    <w:rPr>
      <w:sz w:val="28"/>
    </w:rPr>
  </w:style>
  <w:style w:type="paragraph" w:customStyle="1" w:styleId="800">
    <w:name w:val="样式 标题 1章标题 11标题 1H1一、 + 行距: 1.5 倍行距4"/>
    <w:basedOn w:val="6"/>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801">
    <w:name w:val="样式 列表 2 + 华文仿宋 居中"/>
    <w:basedOn w:val="37"/>
    <w:autoRedefine/>
    <w:qFormat/>
    <w:uiPriority w:val="0"/>
    <w:pPr>
      <w:ind w:left="0" w:leftChars="0" w:firstLine="0" w:firstLineChars="0"/>
      <w:jc w:val="center"/>
    </w:pPr>
    <w:rPr>
      <w:rFonts w:ascii="宋体" w:hAnsi="宋体" w:eastAsia="宋体"/>
      <w:snapToGrid/>
      <w:kern w:val="2"/>
      <w:sz w:val="21"/>
      <w:szCs w:val="21"/>
    </w:rPr>
  </w:style>
  <w:style w:type="paragraph" w:customStyle="1" w:styleId="802">
    <w:name w:val="样式 样式 首行缩进:  0.85 厘米 行距: 1.5 倍行距 + 段后: 0.3 行"/>
    <w:basedOn w:val="803"/>
    <w:autoRedefine/>
    <w:semiHidden/>
    <w:qFormat/>
    <w:uiPriority w:val="0"/>
  </w:style>
  <w:style w:type="paragraph" w:customStyle="1" w:styleId="803">
    <w:name w:val="样式 首行缩进:  0.85 厘米 行距: 1.5 倍行距"/>
    <w:basedOn w:val="1"/>
    <w:autoRedefine/>
    <w:semiHidden/>
    <w:qFormat/>
    <w:uiPriority w:val="0"/>
    <w:pPr>
      <w:snapToGrid w:val="0"/>
      <w:spacing w:beforeLines="50" w:line="360" w:lineRule="auto"/>
      <w:ind w:firstLine="480" w:firstLineChars="200"/>
    </w:pPr>
    <w:rPr>
      <w:sz w:val="24"/>
      <w:szCs w:val="20"/>
    </w:rPr>
  </w:style>
  <w:style w:type="paragraph" w:customStyle="1" w:styleId="804">
    <w:name w:val="正文首行缩进2"/>
    <w:basedOn w:val="1"/>
    <w:autoRedefine/>
    <w:qFormat/>
    <w:uiPriority w:val="0"/>
    <w:pPr>
      <w:snapToGrid w:val="0"/>
      <w:spacing w:line="500" w:lineRule="exact"/>
      <w:ind w:firstLine="480" w:firstLineChars="200"/>
    </w:pPr>
    <w:rPr>
      <w:sz w:val="18"/>
      <w:szCs w:val="20"/>
    </w:rPr>
  </w:style>
  <w:style w:type="paragraph" w:customStyle="1" w:styleId="805">
    <w:name w:val="font6"/>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806">
    <w:name w:val="p6"/>
    <w:basedOn w:val="1"/>
    <w:autoRedefine/>
    <w:qFormat/>
    <w:uiPriority w:val="0"/>
    <w:pPr>
      <w:tabs>
        <w:tab w:val="left" w:pos="4720"/>
      </w:tabs>
      <w:spacing w:line="240" w:lineRule="atLeast"/>
      <w:ind w:left="3280"/>
      <w:jc w:val="left"/>
    </w:pPr>
    <w:rPr>
      <w:rFonts w:ascii="Arial" w:hAnsi="Arial"/>
      <w:snapToGrid w:val="0"/>
      <w:kern w:val="0"/>
      <w:sz w:val="24"/>
      <w:szCs w:val="20"/>
      <w:lang w:eastAsia="en-US"/>
    </w:rPr>
  </w:style>
  <w:style w:type="paragraph" w:customStyle="1" w:styleId="807">
    <w:name w:val="Char Char Char Char3"/>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08">
    <w:name w:val="font1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809">
    <w:name w:val="样式 上标 Char"/>
    <w:basedOn w:val="685"/>
    <w:next w:val="685"/>
    <w:autoRedefine/>
    <w:qFormat/>
    <w:uiPriority w:val="0"/>
    <w:pPr>
      <w:spacing w:before="0" w:after="0" w:line="320" w:lineRule="exact"/>
      <w:ind w:firstLine="200"/>
    </w:pPr>
    <w:rPr>
      <w:caps/>
      <w:szCs w:val="36"/>
    </w:rPr>
  </w:style>
  <w:style w:type="paragraph" w:customStyle="1" w:styleId="810">
    <w:name w:val="样式 样式 首行缩进:  2 字符 + 首行缩进:  2 字符2"/>
    <w:basedOn w:val="1"/>
    <w:autoRedefine/>
    <w:qFormat/>
    <w:uiPriority w:val="0"/>
    <w:pPr>
      <w:spacing w:line="440" w:lineRule="exact"/>
      <w:ind w:firstLine="584" w:firstLineChars="200"/>
    </w:pPr>
    <w:rPr>
      <w:rFonts w:eastAsia="楷体_GB2312" w:cs="宋体"/>
      <w:spacing w:val="6"/>
      <w:kern w:val="0"/>
      <w:sz w:val="28"/>
      <w:szCs w:val="20"/>
    </w:rPr>
  </w:style>
  <w:style w:type="paragraph" w:customStyle="1" w:styleId="811">
    <w:name w:val="xl22"/>
    <w:basedOn w:val="1"/>
    <w:autoRedefine/>
    <w:qFormat/>
    <w:uiPriority w:val="0"/>
    <w:pPr>
      <w:widowControl/>
      <w:pBdr>
        <w:bottom w:val="single" w:color="auto" w:sz="4" w:space="0"/>
        <w:right w:val="single" w:color="auto" w:sz="4" w:space="0"/>
      </w:pBdr>
      <w:spacing w:before="100" w:after="100"/>
      <w:jc w:val="center"/>
    </w:pPr>
    <w:rPr>
      <w:rFonts w:ascii="宋体" w:hAnsi="宋体"/>
      <w:kern w:val="0"/>
      <w:szCs w:val="20"/>
    </w:rPr>
  </w:style>
  <w:style w:type="paragraph" w:customStyle="1" w:styleId="812">
    <w:name w:val="正文缩进3"/>
    <w:basedOn w:val="1"/>
    <w:autoRedefine/>
    <w:qFormat/>
    <w:uiPriority w:val="0"/>
    <w:pPr>
      <w:adjustRightInd w:val="0"/>
      <w:ind w:firstLine="420" w:firstLineChars="200"/>
      <w:textAlignment w:val="baseline"/>
    </w:pPr>
    <w:rPr>
      <w:rFonts w:hint="eastAsia" w:hAnsi="宋体"/>
      <w:sz w:val="24"/>
      <w:szCs w:val="20"/>
    </w:rPr>
  </w:style>
  <w:style w:type="paragraph" w:customStyle="1" w:styleId="813">
    <w:name w:val="样式 标题 2 + 首行缩进:  2.5 字符"/>
    <w:basedOn w:val="7"/>
    <w:autoRedefine/>
    <w:qFormat/>
    <w:uiPriority w:val="0"/>
    <w:pPr>
      <w:keepNext w:val="0"/>
      <w:keepLines w:val="0"/>
      <w:tabs>
        <w:tab w:val="left" w:pos="840"/>
      </w:tabs>
      <w:spacing w:before="0" w:after="0" w:line="240" w:lineRule="auto"/>
      <w:ind w:left="840" w:hanging="420"/>
    </w:pPr>
    <w:rPr>
      <w:rFonts w:ascii="Times New Roman" w:hAnsi="Times New Roman" w:eastAsia="楷体_GB2312" w:cs="宋体"/>
      <w:b w:val="0"/>
      <w:bCs w:val="0"/>
      <w:kern w:val="0"/>
      <w:sz w:val="28"/>
      <w:szCs w:val="20"/>
    </w:rPr>
  </w:style>
  <w:style w:type="paragraph" w:customStyle="1" w:styleId="814">
    <w:name w:val="xl132"/>
    <w:basedOn w:val="1"/>
    <w:autoRedefine/>
    <w:qFormat/>
    <w:uiPriority w:val="0"/>
    <w:pPr>
      <w:widowControl/>
      <w:pBdr>
        <w:top w:val="single" w:color="auto" w:sz="12" w:space="0"/>
        <w:lef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815">
    <w:name w:val="xl66"/>
    <w:basedOn w:val="1"/>
    <w:autoRedefine/>
    <w:qFormat/>
    <w:uiPriority w:val="0"/>
    <w:pPr>
      <w:widowControl/>
      <w:spacing w:before="100" w:beforeAutospacing="1" w:after="100" w:afterAutospacing="1"/>
      <w:jc w:val="center"/>
      <w:textAlignment w:val="bottom"/>
    </w:pPr>
    <w:rPr>
      <w:rFonts w:ascii="宋体" w:hAnsi="宋体"/>
      <w:b/>
      <w:bCs/>
      <w:color w:val="0000FF"/>
      <w:kern w:val="0"/>
      <w:sz w:val="22"/>
      <w:szCs w:val="22"/>
    </w:rPr>
  </w:style>
  <w:style w:type="paragraph" w:customStyle="1" w:styleId="816">
    <w:name w:val="dandan6-13正文 Char Char Char Char Char Char"/>
    <w:basedOn w:val="1"/>
    <w:next w:val="1"/>
    <w:autoRedefine/>
    <w:qFormat/>
    <w:uiPriority w:val="0"/>
    <w:pPr>
      <w:keepNext/>
      <w:keepLines/>
      <w:widowControl/>
      <w:adjustRightInd w:val="0"/>
      <w:spacing w:before="40" w:after="40" w:line="360" w:lineRule="auto"/>
      <w:ind w:firstLine="200" w:firstLineChars="200"/>
      <w:textAlignment w:val="baseline"/>
    </w:pPr>
    <w:rPr>
      <w:szCs w:val="20"/>
    </w:rPr>
  </w:style>
  <w:style w:type="paragraph" w:customStyle="1" w:styleId="817">
    <w:name w:val="xl120"/>
    <w:basedOn w:val="1"/>
    <w:autoRedefine/>
    <w:qFormat/>
    <w:uiPriority w:val="0"/>
    <w:pPr>
      <w:widowControl/>
      <w:spacing w:before="100" w:beforeAutospacing="1" w:after="100" w:afterAutospacing="1"/>
      <w:jc w:val="left"/>
      <w:textAlignment w:val="center"/>
    </w:pPr>
    <w:rPr>
      <w:rFonts w:ascii="Arial Unicode MS" w:hAnsi="Arial Unicode MS"/>
      <w:kern w:val="0"/>
      <w:sz w:val="12"/>
      <w:szCs w:val="12"/>
    </w:rPr>
  </w:style>
  <w:style w:type="paragraph" w:customStyle="1" w:styleId="818">
    <w:name w:val="xl105"/>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19">
    <w:name w:val="目录3"/>
    <w:basedOn w:val="1"/>
    <w:autoRedefine/>
    <w:qFormat/>
    <w:uiPriority w:val="0"/>
    <w:pPr>
      <w:tabs>
        <w:tab w:val="right" w:leader="dot" w:pos="8112"/>
        <w:tab w:val="right" w:leader="dot" w:pos="8160"/>
        <w:tab w:val="right" w:leader="dot" w:pos="8280"/>
      </w:tabs>
      <w:spacing w:line="480" w:lineRule="exact"/>
      <w:ind w:left="1134"/>
      <w:jc w:val="left"/>
    </w:pPr>
    <w:rPr>
      <w:bCs/>
      <w:sz w:val="28"/>
      <w:szCs w:val="20"/>
    </w:rPr>
  </w:style>
  <w:style w:type="paragraph" w:customStyle="1" w:styleId="820">
    <w:name w:val="xl28"/>
    <w:basedOn w:val="1"/>
    <w:autoRedefine/>
    <w:qFormat/>
    <w:uiPriority w:val="0"/>
    <w:pPr>
      <w:widowControl/>
      <w:spacing w:before="100" w:beforeAutospacing="1" w:after="100" w:afterAutospacing="1"/>
      <w:jc w:val="center"/>
      <w:textAlignment w:val="bottom"/>
    </w:pPr>
    <w:rPr>
      <w:rFonts w:ascii="Arial" w:hAnsi="Arial" w:cs="Arial"/>
      <w:b/>
      <w:bCs/>
      <w:kern w:val="0"/>
      <w:sz w:val="24"/>
    </w:rPr>
  </w:style>
  <w:style w:type="paragraph" w:customStyle="1" w:styleId="821">
    <w:name w:val="样式 段前: 3 磅 段后: 3 磅"/>
    <w:basedOn w:val="1"/>
    <w:autoRedefine/>
    <w:qFormat/>
    <w:uiPriority w:val="0"/>
    <w:pPr>
      <w:adjustRightInd w:val="0"/>
      <w:snapToGrid w:val="0"/>
      <w:spacing w:line="360" w:lineRule="auto"/>
      <w:ind w:firstLine="480" w:firstLineChars="200"/>
    </w:pPr>
    <w:rPr>
      <w:rFonts w:ascii="宋体" w:hAnsi="宋体" w:cs="宋体"/>
      <w:snapToGrid w:val="0"/>
      <w:color w:val="000000"/>
      <w:kern w:val="0"/>
      <w:sz w:val="24"/>
    </w:rPr>
  </w:style>
  <w:style w:type="paragraph" w:customStyle="1" w:styleId="822">
    <w:name w:val="xl157"/>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823">
    <w:name w:val="Char Char Char Char4"/>
    <w:basedOn w:val="1"/>
    <w:autoRedefine/>
    <w:qFormat/>
    <w:uiPriority w:val="0"/>
    <w:pPr>
      <w:snapToGrid w:val="0"/>
      <w:ind w:firstLine="200" w:firstLineChars="200"/>
    </w:pPr>
  </w:style>
  <w:style w:type="paragraph" w:customStyle="1" w:styleId="824">
    <w:name w:val="p0"/>
    <w:basedOn w:val="1"/>
    <w:autoRedefine/>
    <w:qFormat/>
    <w:uiPriority w:val="0"/>
    <w:pPr>
      <w:widowControl/>
    </w:pPr>
    <w:rPr>
      <w:kern w:val="0"/>
    </w:rPr>
  </w:style>
  <w:style w:type="paragraph" w:customStyle="1" w:styleId="825">
    <w:name w:val="xl166"/>
    <w:basedOn w:val="1"/>
    <w:autoRedefine/>
    <w:qFormat/>
    <w:uiPriority w:val="0"/>
    <w:pPr>
      <w:widowControl/>
      <w:pBdr>
        <w:left w:val="single" w:color="auto" w:sz="12" w:space="0"/>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26">
    <w:name w:val="xl46"/>
    <w:basedOn w:val="1"/>
    <w:autoRedefine/>
    <w:qFormat/>
    <w:uiPriority w:val="0"/>
    <w:pPr>
      <w:widowControl/>
      <w:pBdr>
        <w:left w:val="single" w:color="auto" w:sz="8"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24"/>
    </w:rPr>
  </w:style>
  <w:style w:type="paragraph" w:customStyle="1" w:styleId="827">
    <w:name w:val="xl25"/>
    <w:basedOn w:val="1"/>
    <w:autoRedefine/>
    <w:qFormat/>
    <w:uiPriority w:val="0"/>
    <w:pPr>
      <w:widowControl/>
      <w:pBdr>
        <w:bottom w:val="single" w:color="auto" w:sz="4" w:space="0"/>
        <w:right w:val="single" w:color="auto" w:sz="4" w:space="0"/>
      </w:pBdr>
      <w:spacing w:before="100" w:beforeAutospacing="1" w:after="100" w:afterAutospacing="1"/>
      <w:jc w:val="center"/>
      <w:textAlignment w:val="top"/>
    </w:pPr>
    <w:rPr>
      <w:kern w:val="0"/>
    </w:rPr>
  </w:style>
  <w:style w:type="paragraph" w:customStyle="1" w:styleId="828">
    <w:name w:val="正文可研"/>
    <w:basedOn w:val="1"/>
    <w:autoRedefine/>
    <w:qFormat/>
    <w:uiPriority w:val="0"/>
    <w:pPr>
      <w:autoSpaceDE w:val="0"/>
      <w:autoSpaceDN w:val="0"/>
      <w:adjustRightInd w:val="0"/>
      <w:spacing w:line="360" w:lineRule="auto"/>
      <w:ind w:firstLine="480" w:firstLineChars="200"/>
      <w:textAlignment w:val="baseline"/>
    </w:pPr>
    <w:rPr>
      <w:rFonts w:ascii="宋体" w:hAnsi="Tms Rmn" w:cs="宋体"/>
      <w:kern w:val="0"/>
      <w:sz w:val="24"/>
      <w:szCs w:val="20"/>
    </w:rPr>
  </w:style>
  <w:style w:type="paragraph" w:customStyle="1" w:styleId="829">
    <w:name w:val="正文样式3"/>
    <w:basedOn w:val="1"/>
    <w:autoRedefine/>
    <w:qFormat/>
    <w:uiPriority w:val="0"/>
    <w:pPr>
      <w:keepLines/>
      <w:adjustRightInd w:val="0"/>
      <w:spacing w:line="20" w:lineRule="atLeast"/>
      <w:ind w:firstLine="200" w:firstLineChars="200"/>
      <w:jc w:val="center"/>
      <w:textAlignment w:val="baseline"/>
    </w:pPr>
    <w:rPr>
      <w:rFonts w:eastAsia="仿宋_GB2312"/>
      <w:kern w:val="0"/>
      <w:sz w:val="24"/>
      <w:szCs w:val="20"/>
    </w:rPr>
  </w:style>
  <w:style w:type="paragraph" w:customStyle="1" w:styleId="830">
    <w:name w:val="Date1"/>
    <w:basedOn w:val="1"/>
    <w:next w:val="1"/>
    <w:autoRedefine/>
    <w:qFormat/>
    <w:uiPriority w:val="0"/>
    <w:pPr>
      <w:adjustRightInd w:val="0"/>
      <w:textAlignment w:val="baseline"/>
    </w:pPr>
  </w:style>
  <w:style w:type="paragraph" w:customStyle="1" w:styleId="831">
    <w:name w:val="表格中"/>
    <w:basedOn w:val="1"/>
    <w:autoRedefine/>
    <w:qFormat/>
    <w:uiPriority w:val="0"/>
    <w:rPr>
      <w:rFonts w:ascii="宋体"/>
    </w:rPr>
  </w:style>
  <w:style w:type="paragraph" w:customStyle="1" w:styleId="832">
    <w:name w:val="Char31"/>
    <w:basedOn w:val="1"/>
    <w:autoRedefine/>
    <w:qFormat/>
    <w:uiPriority w:val="0"/>
    <w:pPr>
      <w:spacing w:line="360" w:lineRule="auto"/>
      <w:ind w:firstLine="200" w:firstLineChars="200"/>
    </w:pPr>
    <w:rPr>
      <w:rFonts w:ascii="宋体" w:hAnsi="宋体" w:cs="宋体"/>
      <w:sz w:val="24"/>
    </w:rPr>
  </w:style>
  <w:style w:type="paragraph" w:customStyle="1" w:styleId="833">
    <w:name w:val="式中："/>
    <w:basedOn w:val="286"/>
    <w:autoRedefine/>
    <w:qFormat/>
    <w:uiPriority w:val="0"/>
    <w:pPr>
      <w:spacing w:after="0"/>
      <w:ind w:left="500" w:leftChars="500" w:firstLine="0" w:firstLineChars="0"/>
      <w:jc w:val="left"/>
    </w:pPr>
  </w:style>
  <w:style w:type="paragraph" w:customStyle="1" w:styleId="834">
    <w:name w:val="xl161"/>
    <w:basedOn w:val="1"/>
    <w:autoRedefine/>
    <w:qFormat/>
    <w:uiPriority w:val="0"/>
    <w:pPr>
      <w:widowControl/>
      <w:spacing w:before="100" w:beforeAutospacing="1" w:after="100" w:afterAutospacing="1"/>
      <w:jc w:val="center"/>
      <w:textAlignment w:val="center"/>
    </w:pPr>
    <w:rPr>
      <w:rFonts w:ascii="Arial Unicode MS" w:hAnsi="Arial Unicode MS"/>
      <w:kern w:val="0"/>
    </w:rPr>
  </w:style>
  <w:style w:type="paragraph" w:customStyle="1" w:styleId="835">
    <w:name w:val="defaultfont"/>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836">
    <w:name w:val="普通文字 Char Char"/>
    <w:basedOn w:val="1"/>
    <w:next w:val="76"/>
    <w:autoRedefine/>
    <w:qFormat/>
    <w:uiPriority w:val="0"/>
    <w:rPr>
      <w:sz w:val="24"/>
    </w:rPr>
  </w:style>
  <w:style w:type="paragraph" w:customStyle="1" w:styleId="837">
    <w:name w:val="xl4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38">
    <w:name w:val="xl142"/>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39">
    <w:name w:val="_Style 1"/>
    <w:basedOn w:val="1"/>
    <w:next w:val="11"/>
    <w:autoRedefine/>
    <w:qFormat/>
    <w:uiPriority w:val="0"/>
    <w:pPr>
      <w:adjustRightInd w:val="0"/>
      <w:spacing w:line="288" w:lineRule="auto"/>
      <w:ind w:firstLine="480"/>
      <w:textAlignment w:val="baseline"/>
    </w:pPr>
    <w:rPr>
      <w:rFonts w:ascii="宋体" w:hAnsi="宋体" w:cs="宋体"/>
      <w:sz w:val="24"/>
    </w:rPr>
  </w:style>
  <w:style w:type="paragraph" w:customStyle="1" w:styleId="840">
    <w:name w:val="xl56"/>
    <w:basedOn w:val="1"/>
    <w:autoRedefine/>
    <w:qFormat/>
    <w:uiPriority w:val="0"/>
    <w:pPr>
      <w:widowControl/>
      <w:spacing w:before="100" w:beforeAutospacing="1" w:after="100" w:afterAutospacing="1"/>
      <w:jc w:val="right"/>
    </w:pPr>
    <w:rPr>
      <w:rFonts w:ascii="Arial" w:hAnsi="Arial" w:cs="Arial"/>
      <w:b/>
      <w:bCs/>
      <w:i/>
      <w:iCs/>
      <w:kern w:val="0"/>
      <w:sz w:val="22"/>
      <w:szCs w:val="22"/>
    </w:rPr>
  </w:style>
  <w:style w:type="paragraph" w:customStyle="1" w:styleId="841">
    <w:name w:val="样式 样式 左侧:  2 字符 + 首行缩进:  2 字符 Char"/>
    <w:basedOn w:val="1"/>
    <w:autoRedefine/>
    <w:qFormat/>
    <w:uiPriority w:val="0"/>
    <w:pPr>
      <w:tabs>
        <w:tab w:val="left" w:pos="540"/>
      </w:tabs>
      <w:spacing w:line="360" w:lineRule="auto"/>
      <w:ind w:firstLine="478" w:firstLineChars="199"/>
    </w:pPr>
    <w:rPr>
      <w:rFonts w:ascii="宋体" w:hAnsi="宋体"/>
      <w:bCs/>
      <w:sz w:val="24"/>
    </w:rPr>
  </w:style>
  <w:style w:type="paragraph" w:customStyle="1" w:styleId="842">
    <w:name w:val="样式 标题 2 + 左侧:  0厘米 首行缩进:  0 厘米 右侧:  1 字符"/>
    <w:basedOn w:val="7"/>
    <w:autoRedefine/>
    <w:qFormat/>
    <w:uiPriority w:val="0"/>
    <w:pPr>
      <w:keepNext w:val="0"/>
      <w:keepLines w:val="0"/>
      <w:tabs>
        <w:tab w:val="left" w:pos="280"/>
        <w:tab w:val="left" w:pos="1400"/>
      </w:tabs>
      <w:adjustRightInd w:val="0"/>
      <w:snapToGrid w:val="0"/>
      <w:spacing w:before="50" w:after="240" w:line="480" w:lineRule="exact"/>
      <w:ind w:left="1233" w:right="280" w:rightChars="100" w:firstLine="567"/>
      <w:jc w:val="left"/>
    </w:pPr>
    <w:rPr>
      <w:rFonts w:ascii="Times New Roman" w:hAnsi="Times New Roman" w:eastAsia="宋体"/>
      <w:b w:val="0"/>
      <w:bCs w:val="0"/>
      <w:sz w:val="28"/>
      <w:szCs w:val="20"/>
    </w:rPr>
  </w:style>
  <w:style w:type="paragraph" w:customStyle="1" w:styleId="843">
    <w:name w:val="表格（大）"/>
    <w:basedOn w:val="1"/>
    <w:autoRedefine/>
    <w:qFormat/>
    <w:uiPriority w:val="0"/>
    <w:pPr>
      <w:jc w:val="center"/>
    </w:pPr>
    <w:rPr>
      <w:rFonts w:ascii="仿宋_GB2312" w:eastAsia="仿宋_GB2312"/>
      <w:color w:val="000000"/>
      <w:sz w:val="24"/>
      <w:szCs w:val="20"/>
    </w:rPr>
  </w:style>
  <w:style w:type="paragraph" w:customStyle="1" w:styleId="844">
    <w:name w:val="表格注释"/>
    <w:basedOn w:val="1"/>
    <w:next w:val="685"/>
    <w:autoRedefine/>
    <w:qFormat/>
    <w:uiPriority w:val="0"/>
    <w:pPr>
      <w:spacing w:before="240" w:after="240" w:line="480" w:lineRule="exact"/>
      <w:jc w:val="center"/>
    </w:pPr>
    <w:rPr>
      <w:sz w:val="24"/>
      <w:szCs w:val="20"/>
    </w:rPr>
  </w:style>
  <w:style w:type="paragraph" w:customStyle="1" w:styleId="845">
    <w:name w:val="标题16.1.1.1"/>
    <w:basedOn w:val="9"/>
    <w:autoRedefine/>
    <w:qFormat/>
    <w:uiPriority w:val="0"/>
    <w:pPr>
      <w:tabs>
        <w:tab w:val="left" w:pos="360"/>
      </w:tabs>
      <w:spacing w:before="120" w:after="120" w:line="312" w:lineRule="auto"/>
      <w:ind w:left="864" w:hanging="864"/>
      <w:contextualSpacing/>
    </w:pPr>
    <w:rPr>
      <w:rFonts w:ascii="Arial" w:hAnsi="Arial" w:eastAsia="黑体"/>
      <w:sz w:val="21"/>
      <w:szCs w:val="24"/>
    </w:rPr>
  </w:style>
  <w:style w:type="paragraph" w:customStyle="1" w:styleId="846">
    <w:name w:val="xl151"/>
    <w:basedOn w:val="1"/>
    <w:autoRedefine/>
    <w:qFormat/>
    <w:uiPriority w:val="0"/>
    <w:pPr>
      <w:widowControl/>
      <w:spacing w:before="100" w:beforeAutospacing="1" w:after="100" w:afterAutospacing="1"/>
      <w:jc w:val="left"/>
    </w:pPr>
    <w:rPr>
      <w:kern w:val="0"/>
      <w:sz w:val="16"/>
      <w:szCs w:val="16"/>
    </w:rPr>
  </w:style>
  <w:style w:type="paragraph" w:customStyle="1" w:styleId="847">
    <w:name w:val="样式 表格正文样式A-MHZ-居中定表长格文本 + 五号"/>
    <w:basedOn w:val="1"/>
    <w:autoRedefine/>
    <w:qFormat/>
    <w:uiPriority w:val="0"/>
    <w:pPr>
      <w:spacing w:line="360" w:lineRule="auto"/>
      <w:jc w:val="center"/>
    </w:pPr>
    <w:rPr>
      <w:rFonts w:cs="宋体"/>
      <w:kern w:val="24"/>
      <w:sz w:val="24"/>
    </w:rPr>
  </w:style>
  <w:style w:type="paragraph" w:customStyle="1" w:styleId="848">
    <w:name w:val="xl27"/>
    <w:basedOn w:val="1"/>
    <w:autoRedefine/>
    <w:qFormat/>
    <w:uiPriority w:val="0"/>
    <w:pPr>
      <w:widowControl/>
      <w:pBdr>
        <w:bottom w:val="single" w:color="auto" w:sz="12" w:space="0"/>
      </w:pBdr>
      <w:spacing w:before="100" w:after="100"/>
      <w:jc w:val="center"/>
    </w:pPr>
    <w:rPr>
      <w:rFonts w:ascii="宋体" w:hAnsi="宋体"/>
      <w:kern w:val="0"/>
      <w:szCs w:val="20"/>
    </w:rPr>
  </w:style>
  <w:style w:type="paragraph" w:customStyle="1" w:styleId="849">
    <w:name w:val="注："/>
    <w:next w:val="1"/>
    <w:autoRedefine/>
    <w:qFormat/>
    <w:uiPriority w:val="0"/>
    <w:pPr>
      <w:spacing w:line="300" w:lineRule="exact"/>
    </w:pPr>
    <w:rPr>
      <w:rFonts w:ascii="Times New Roman" w:hAnsi="Times New Roman" w:eastAsia="宋体" w:cs="宋体"/>
      <w:bCs/>
      <w:kern w:val="2"/>
      <w:sz w:val="18"/>
      <w:lang w:val="en-US" w:eastAsia="zh-CN" w:bidi="ar-SA"/>
    </w:rPr>
  </w:style>
  <w:style w:type="paragraph" w:customStyle="1" w:styleId="850">
    <w:name w:val="xl167"/>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851">
    <w:name w:val="正文表标题"/>
    <w:next w:val="1"/>
    <w:autoRedefine/>
    <w:qFormat/>
    <w:uiPriority w:val="0"/>
    <w:pPr>
      <w:numPr>
        <w:ilvl w:val="0"/>
        <w:numId w:val="8"/>
      </w:numPr>
      <w:spacing w:beforeLines="50" w:afterLines="50"/>
      <w:jc w:val="center"/>
    </w:pPr>
    <w:rPr>
      <w:rFonts w:ascii="黑体" w:hAnsi="Times New Roman" w:eastAsia="黑体" w:cs="Times New Roman"/>
      <w:sz w:val="21"/>
      <w:lang w:val="en-US" w:eastAsia="zh-CN" w:bidi="ar-SA"/>
    </w:rPr>
  </w:style>
  <w:style w:type="paragraph" w:customStyle="1" w:styleId="852">
    <w:name w:val="样式 样式 标题 4 + 宋体 行距: 1.5 倍行距 + 段前: 0.5 行"/>
    <w:basedOn w:val="634"/>
    <w:autoRedefine/>
    <w:qFormat/>
    <w:uiPriority w:val="0"/>
    <w:pPr>
      <w:snapToGrid/>
      <w:spacing w:beforeLines="0"/>
      <w:ind w:left="1984" w:hanging="1984"/>
      <w:jc w:val="both"/>
    </w:pPr>
    <w:rPr>
      <w:rFonts w:ascii="Times New Roman" w:eastAsia="黑体" w:cs="Times New Roman"/>
    </w:rPr>
  </w:style>
  <w:style w:type="paragraph" w:customStyle="1" w:styleId="853">
    <w:name w:val="小四表文左齐"/>
    <w:basedOn w:val="1"/>
    <w:autoRedefine/>
    <w:qFormat/>
    <w:uiPriority w:val="0"/>
    <w:pPr>
      <w:jc w:val="center"/>
    </w:pPr>
    <w:rPr>
      <w:rFonts w:ascii="仿宋_GB2312" w:hAnsi="宋体" w:eastAsia="仿宋_GB2312"/>
    </w:rPr>
  </w:style>
  <w:style w:type="paragraph" w:customStyle="1" w:styleId="854">
    <w:name w:val="TOC 标题2"/>
    <w:basedOn w:val="6"/>
    <w:next w:val="1"/>
    <w:autoRedefine/>
    <w:unhideWhenUsed/>
    <w:qFormat/>
    <w:uiPriority w:val="39"/>
    <w:pPr>
      <w:keepLines/>
      <w:widowControl/>
      <w:overflowPunct/>
      <w:snapToGrid/>
      <w:spacing w:before="240" w:after="0"/>
      <w:ind w:left="0" w:firstLine="0"/>
      <w:jc w:val="left"/>
      <w:outlineLvl w:val="9"/>
    </w:pPr>
    <w:rPr>
      <w:rFonts w:ascii="Cambria" w:hAnsi="Cambria" w:eastAsia="宋体"/>
      <w:b w:val="0"/>
      <w:bCs w:val="0"/>
      <w:color w:val="365F91"/>
      <w:kern w:val="0"/>
      <w:sz w:val="32"/>
      <w:szCs w:val="32"/>
    </w:rPr>
  </w:style>
  <w:style w:type="paragraph" w:customStyle="1" w:styleId="855">
    <w:name w:val="项目段落"/>
    <w:basedOn w:val="1"/>
    <w:autoRedefine/>
    <w:qFormat/>
    <w:uiPriority w:val="0"/>
    <w:pPr>
      <w:spacing w:before="60" w:line="360" w:lineRule="auto"/>
      <w:ind w:left="476" w:firstLine="482"/>
    </w:pPr>
    <w:rPr>
      <w:rFonts w:ascii="Arial" w:hAnsi="Arial" w:eastAsia="仿宋_GB2312"/>
      <w:kern w:val="0"/>
      <w:sz w:val="24"/>
      <w:szCs w:val="20"/>
    </w:rPr>
  </w:style>
  <w:style w:type="paragraph" w:customStyle="1" w:styleId="856">
    <w:name w:val="Char Char Char Char Char Char Char Char Char1 Char Char Char Char Char Char Char Char1 Char Char Char"/>
    <w:basedOn w:val="1"/>
    <w:autoRedefine/>
    <w:qFormat/>
    <w:uiPriority w:val="0"/>
    <w:pPr>
      <w:snapToGrid w:val="0"/>
      <w:spacing w:line="360" w:lineRule="auto"/>
      <w:ind w:firstLine="200" w:firstLineChars="200"/>
    </w:pPr>
    <w:rPr>
      <w:rFonts w:eastAsia="仿宋_GB2312"/>
      <w:sz w:val="24"/>
    </w:rPr>
  </w:style>
  <w:style w:type="paragraph" w:customStyle="1" w:styleId="857">
    <w:name w:val="默认段落字体 Para Char Char Char1 Char Char"/>
    <w:basedOn w:val="1"/>
    <w:autoRedefine/>
    <w:qFormat/>
    <w:uiPriority w:val="0"/>
    <w:rPr>
      <w:sz w:val="24"/>
    </w:rPr>
  </w:style>
  <w:style w:type="paragraph" w:customStyle="1" w:styleId="858">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859">
    <w:name w:val="xl48"/>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860">
    <w:name w:val="1正文段落"/>
    <w:basedOn w:val="1"/>
    <w:autoRedefine/>
    <w:qFormat/>
    <w:uiPriority w:val="0"/>
    <w:pPr>
      <w:spacing w:line="360" w:lineRule="auto"/>
      <w:ind w:firstLine="480" w:firstLineChars="200"/>
      <w:jc w:val="left"/>
    </w:pPr>
    <w:rPr>
      <w:snapToGrid w:val="0"/>
      <w:kern w:val="0"/>
      <w:sz w:val="24"/>
    </w:rPr>
  </w:style>
  <w:style w:type="paragraph" w:customStyle="1" w:styleId="861">
    <w:name w:val="五号字表格"/>
    <w:basedOn w:val="728"/>
    <w:autoRedefine/>
    <w:qFormat/>
    <w:uiPriority w:val="0"/>
    <w:pPr>
      <w:adjustRightInd w:val="0"/>
      <w:textAlignment w:val="baseline"/>
    </w:pPr>
    <w:rPr>
      <w:rFonts w:ascii="宋体"/>
      <w:kern w:val="0"/>
      <w:szCs w:val="20"/>
    </w:rPr>
  </w:style>
  <w:style w:type="paragraph" w:customStyle="1" w:styleId="862">
    <w:name w:val="样式 首行缩进:  2 字符"/>
    <w:basedOn w:val="1"/>
    <w:autoRedefine/>
    <w:qFormat/>
    <w:uiPriority w:val="0"/>
    <w:pPr>
      <w:snapToGrid w:val="0"/>
      <w:spacing w:line="500" w:lineRule="exact"/>
      <w:ind w:firstLine="480" w:firstLineChars="200"/>
      <w:jc w:val="left"/>
    </w:pPr>
    <w:rPr>
      <w:rFonts w:cs="宋体"/>
      <w:sz w:val="24"/>
      <w:szCs w:val="20"/>
    </w:rPr>
  </w:style>
  <w:style w:type="paragraph" w:customStyle="1" w:styleId="863">
    <w:name w:val="标题6"/>
    <w:basedOn w:val="1"/>
    <w:next w:val="80"/>
    <w:autoRedefine/>
    <w:qFormat/>
    <w:uiPriority w:val="0"/>
    <w:pPr>
      <w:keepNext/>
      <w:spacing w:line="360" w:lineRule="auto"/>
      <w:ind w:firstLine="567"/>
      <w:jc w:val="left"/>
      <w:outlineLvl w:val="5"/>
    </w:pPr>
    <w:rPr>
      <w:sz w:val="28"/>
    </w:rPr>
  </w:style>
  <w:style w:type="paragraph" w:customStyle="1" w:styleId="864">
    <w:name w:val="图标题"/>
    <w:basedOn w:val="424"/>
    <w:autoRedefine/>
    <w:qFormat/>
    <w:uiPriority w:val="0"/>
    <w:pPr>
      <w:adjustRightInd/>
      <w:snapToGrid/>
      <w:spacing w:before="0" w:after="0" w:line="300" w:lineRule="exact"/>
      <w:jc w:val="both"/>
    </w:pPr>
    <w:rPr>
      <w:rFonts w:ascii="仿宋_GB2312" w:eastAsia="仿宋_GB2312"/>
      <w:kern w:val="0"/>
      <w:szCs w:val="24"/>
    </w:rPr>
  </w:style>
  <w:style w:type="paragraph" w:customStyle="1" w:styleId="865">
    <w:name w:val="1条目"/>
    <w:basedOn w:val="742"/>
    <w:autoRedefine/>
    <w:qFormat/>
    <w:uiPriority w:val="0"/>
    <w:pPr>
      <w:ind w:left="851"/>
    </w:pPr>
    <w:rPr>
      <w:rFonts w:ascii="宋体" w:hAnsi="宋体"/>
      <w:b/>
      <w:sz w:val="30"/>
      <w:szCs w:val="30"/>
    </w:rPr>
  </w:style>
  <w:style w:type="paragraph" w:customStyle="1" w:styleId="866">
    <w:name w:val="源程序"/>
    <w:autoRedefine/>
    <w:qFormat/>
    <w:uiPriority w:val="0"/>
    <w:pPr>
      <w:widowControl w:val="0"/>
      <w:kinsoku w:val="0"/>
      <w:wordWrap w:val="0"/>
      <w:overflowPunct w:val="0"/>
      <w:autoSpaceDE w:val="0"/>
      <w:autoSpaceDN w:val="0"/>
      <w:adjustRightInd w:val="0"/>
      <w:ind w:left="482"/>
    </w:pPr>
    <w:rPr>
      <w:rFonts w:ascii="Courier New" w:hAnsi="Courier New" w:eastAsia="仿宋_GB2312" w:cs="Times New Roman"/>
      <w:snapToGrid w:val="0"/>
      <w:sz w:val="24"/>
      <w:lang w:val="en-US" w:eastAsia="zh-CN" w:bidi="ar-SA"/>
    </w:rPr>
  </w:style>
  <w:style w:type="paragraph" w:customStyle="1" w:styleId="867">
    <w:name w:val="三级标题 大王 20100426"/>
    <w:basedOn w:val="1"/>
    <w:autoRedefine/>
    <w:qFormat/>
    <w:uiPriority w:val="0"/>
    <w:pPr>
      <w:numPr>
        <w:ilvl w:val="3"/>
        <w:numId w:val="4"/>
      </w:numPr>
      <w:spacing w:beforeLines="20" w:afterLines="50"/>
      <w:ind w:left="0" w:firstLine="0"/>
      <w:outlineLvl w:val="2"/>
    </w:pPr>
    <w:rPr>
      <w:rFonts w:eastAsia="黑体"/>
      <w:sz w:val="28"/>
      <w:szCs w:val="28"/>
    </w:rPr>
  </w:style>
  <w:style w:type="paragraph" w:customStyle="1" w:styleId="868">
    <w:name w:val="xl78"/>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869">
    <w:name w:val="h"/>
    <w:basedOn w:val="1"/>
    <w:autoRedefine/>
    <w:qFormat/>
    <w:uiPriority w:val="0"/>
    <w:pPr>
      <w:spacing w:before="60"/>
      <w:ind w:firstLine="482"/>
    </w:pPr>
    <w:rPr>
      <w:rFonts w:ascii="Arial" w:hAnsi="Arial" w:eastAsia="仿宋_GB2312"/>
      <w:kern w:val="0"/>
      <w:sz w:val="24"/>
      <w:szCs w:val="20"/>
    </w:rPr>
  </w:style>
  <w:style w:type="paragraph" w:customStyle="1" w:styleId="870">
    <w:name w:val="xl4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71">
    <w:name w:val="Char Char Char Char Char Char1"/>
    <w:basedOn w:val="1"/>
    <w:autoRedefine/>
    <w:qFormat/>
    <w:uiPriority w:val="0"/>
    <w:rPr>
      <w:sz w:val="24"/>
    </w:rPr>
  </w:style>
  <w:style w:type="paragraph" w:customStyle="1" w:styleId="872">
    <w:name w:val="xl106"/>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3">
    <w:name w:val="列出段落1"/>
    <w:basedOn w:val="1"/>
    <w:autoRedefine/>
    <w:qFormat/>
    <w:uiPriority w:val="34"/>
    <w:pPr>
      <w:widowControl/>
      <w:adjustRightInd w:val="0"/>
      <w:snapToGrid w:val="0"/>
      <w:spacing w:after="200"/>
      <w:ind w:firstLine="420" w:firstLineChars="200"/>
      <w:jc w:val="left"/>
    </w:pPr>
    <w:rPr>
      <w:rFonts w:ascii="Tahoma" w:hAnsi="Tahoma" w:eastAsia="微软雅黑"/>
      <w:kern w:val="0"/>
      <w:sz w:val="22"/>
      <w:szCs w:val="22"/>
    </w:rPr>
  </w:style>
  <w:style w:type="paragraph" w:customStyle="1" w:styleId="874">
    <w:name w:val="GY3"/>
    <w:basedOn w:val="1"/>
    <w:autoRedefine/>
    <w:qFormat/>
    <w:uiPriority w:val="0"/>
    <w:pPr>
      <w:adjustRightInd w:val="0"/>
      <w:snapToGrid w:val="0"/>
      <w:spacing w:line="360" w:lineRule="auto"/>
    </w:pPr>
    <w:rPr>
      <w:rFonts w:ascii="黑体" w:hAnsi="宋体" w:eastAsia="黑体"/>
      <w:sz w:val="28"/>
      <w:szCs w:val="20"/>
    </w:rPr>
  </w:style>
  <w:style w:type="paragraph" w:customStyle="1" w:styleId="875">
    <w:name w:val="xl10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876">
    <w:name w:val="Char Char Char Char Char Char2"/>
    <w:basedOn w:val="1"/>
    <w:autoRedefine/>
    <w:qFormat/>
    <w:uiPriority w:val="0"/>
    <w:rPr>
      <w:sz w:val="24"/>
    </w:rPr>
  </w:style>
  <w:style w:type="paragraph" w:customStyle="1" w:styleId="877">
    <w:name w:val="样式2.2.5"/>
    <w:basedOn w:val="1"/>
    <w:autoRedefine/>
    <w:qFormat/>
    <w:uiPriority w:val="0"/>
    <w:pPr>
      <w:spacing w:beforeLines="50" w:line="360" w:lineRule="auto"/>
      <w:outlineLvl w:val="3"/>
    </w:pPr>
    <w:rPr>
      <w:b/>
      <w:sz w:val="24"/>
    </w:rPr>
  </w:style>
  <w:style w:type="paragraph" w:customStyle="1" w:styleId="878">
    <w:name w:val="xl54"/>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879">
    <w:name w:val="扉页 黑体"/>
    <w:basedOn w:val="1"/>
    <w:autoRedefine/>
    <w:qFormat/>
    <w:uiPriority w:val="0"/>
    <w:pPr>
      <w:spacing w:before="240" w:after="240" w:line="480" w:lineRule="exact"/>
      <w:ind w:firstLine="640" w:firstLineChars="200"/>
      <w:jc w:val="left"/>
    </w:pPr>
    <w:rPr>
      <w:rFonts w:eastAsia="黑体"/>
      <w:bCs/>
      <w:sz w:val="32"/>
      <w:szCs w:val="20"/>
    </w:rPr>
  </w:style>
  <w:style w:type="paragraph" w:customStyle="1" w:styleId="880">
    <w:name w:val="图文框"/>
    <w:basedOn w:val="1"/>
    <w:autoRedefine/>
    <w:qFormat/>
    <w:uiPriority w:val="0"/>
    <w:pPr>
      <w:widowControl/>
      <w:spacing w:line="240" w:lineRule="exact"/>
      <w:jc w:val="center"/>
    </w:pPr>
    <w:rPr>
      <w:rFonts w:ascii="仿宋_GB2312" w:hAnsi="宋体" w:eastAsia="仿宋_GB2312"/>
      <w:spacing w:val="-14"/>
      <w:kern w:val="0"/>
      <w:sz w:val="18"/>
      <w:szCs w:val="20"/>
    </w:rPr>
  </w:style>
  <w:style w:type="paragraph" w:customStyle="1" w:styleId="881">
    <w:name w:val="样式 样式3 + 首行缩进:  2 字符"/>
    <w:basedOn w:val="1"/>
    <w:autoRedefine/>
    <w:qFormat/>
    <w:uiPriority w:val="0"/>
    <w:pPr>
      <w:widowControl/>
      <w:spacing w:line="440" w:lineRule="exact"/>
      <w:ind w:firstLine="560" w:firstLineChars="200"/>
      <w:contextualSpacing/>
      <w:jc w:val="left"/>
    </w:pPr>
    <w:rPr>
      <w:rFonts w:cs="宋体"/>
      <w:kern w:val="0"/>
    </w:rPr>
  </w:style>
  <w:style w:type="paragraph" w:customStyle="1" w:styleId="882">
    <w:name w:val="纯文本2"/>
    <w:basedOn w:val="1"/>
    <w:autoRedefine/>
    <w:qFormat/>
    <w:uiPriority w:val="0"/>
    <w:pPr>
      <w:autoSpaceDE w:val="0"/>
      <w:autoSpaceDN w:val="0"/>
      <w:adjustRightInd w:val="0"/>
      <w:textAlignment w:val="baseline"/>
    </w:pPr>
    <w:rPr>
      <w:rFonts w:ascii="宋体"/>
      <w:szCs w:val="20"/>
    </w:rPr>
  </w:style>
  <w:style w:type="paragraph" w:customStyle="1" w:styleId="883">
    <w:name w:val="样式 标题 1章标题 1H11.1标题 111标题 1 + 行距: 固定值 30 磅"/>
    <w:basedOn w:val="6"/>
    <w:autoRedefine/>
    <w:qFormat/>
    <w:uiPriority w:val="0"/>
    <w:pPr>
      <w:keepNext w:val="0"/>
      <w:pageBreakBefore/>
      <w:tabs>
        <w:tab w:val="left" w:pos="390"/>
      </w:tabs>
      <w:overflowPunct/>
      <w:snapToGrid/>
      <w:spacing w:after="120" w:line="600" w:lineRule="exact"/>
      <w:ind w:left="390" w:firstLine="0"/>
      <w:jc w:val="center"/>
    </w:pPr>
    <w:rPr>
      <w:rFonts w:ascii="黑体" w:hAnsi="Calibri" w:cs="宋体"/>
      <w:color w:val="auto"/>
      <w:sz w:val="44"/>
      <w:szCs w:val="20"/>
    </w:rPr>
  </w:style>
  <w:style w:type="paragraph" w:customStyle="1" w:styleId="884">
    <w:name w:val="样式 样式 样式 标题 3东明_小节H3条标题1.1.1二级节名h33rd level3l3CTHeading 3 - ... ...1"/>
    <w:basedOn w:val="773"/>
    <w:autoRedefine/>
    <w:qFormat/>
    <w:uiPriority w:val="0"/>
    <w:pPr>
      <w:spacing w:after="0"/>
    </w:pPr>
  </w:style>
  <w:style w:type="paragraph" w:customStyle="1" w:styleId="885">
    <w:name w:val="Char Char Char Char Char Char Char Char Char Char Char Char1 Char Char Char Char"/>
    <w:basedOn w:val="1"/>
    <w:next w:val="1"/>
    <w:autoRedefine/>
    <w:semiHidden/>
    <w:qFormat/>
    <w:uiPriority w:val="0"/>
    <w:pPr>
      <w:spacing w:line="336" w:lineRule="auto"/>
      <w:ind w:firstLine="200" w:firstLineChars="200"/>
    </w:pPr>
    <w:rPr>
      <w:rFonts w:ascii="宋体" w:hAnsi="宋体" w:eastAsia="汉鼎简书宋" w:cs="宋体"/>
      <w:sz w:val="24"/>
    </w:rPr>
  </w:style>
  <w:style w:type="paragraph" w:customStyle="1" w:styleId="886">
    <w:name w:val="Char"/>
    <w:basedOn w:val="1"/>
    <w:autoRedefine/>
    <w:qFormat/>
    <w:uiPriority w:val="0"/>
  </w:style>
  <w:style w:type="paragraph" w:customStyle="1" w:styleId="887">
    <w:name w:val="Char Char Char Char"/>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888">
    <w:name w:val="5"/>
    <w:autoRedefine/>
    <w:qFormat/>
    <w:uiPriority w:val="0"/>
    <w:rPr>
      <w:rFonts w:ascii="Calibri" w:hAnsi="Calibri" w:eastAsia="宋体" w:cs="Times New Roman"/>
      <w:kern w:val="2"/>
      <w:sz w:val="21"/>
      <w:szCs w:val="22"/>
      <w:lang w:val="en-US" w:eastAsia="zh-CN" w:bidi="ar-SA"/>
    </w:rPr>
  </w:style>
  <w:style w:type="paragraph" w:customStyle="1" w:styleId="889">
    <w:name w:val="字元 字元"/>
    <w:basedOn w:val="1"/>
    <w:autoRedefine/>
    <w:qFormat/>
    <w:uiPriority w:val="0"/>
  </w:style>
  <w:style w:type="paragraph" w:customStyle="1" w:styleId="890">
    <w:name w:val="样式 样式 样式 标题 3 + 两端对齐 + 段后: 0.1 行 +"/>
    <w:basedOn w:val="1"/>
    <w:autoRedefine/>
    <w:semiHidden/>
    <w:qFormat/>
    <w:uiPriority w:val="0"/>
    <w:pPr>
      <w:keepNext/>
      <w:keepLines/>
      <w:widowControl/>
      <w:tabs>
        <w:tab w:val="left" w:pos="0"/>
        <w:tab w:val="left" w:pos="2700"/>
      </w:tabs>
      <w:spacing w:line="320" w:lineRule="exact"/>
      <w:contextualSpacing/>
      <w:jc w:val="center"/>
    </w:pPr>
    <w:rPr>
      <w:rFonts w:cs="宋体"/>
      <w:bCs/>
      <w:kern w:val="0"/>
    </w:rPr>
  </w:style>
  <w:style w:type="paragraph" w:customStyle="1" w:styleId="891">
    <w:name w:val="xl126"/>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892">
    <w:name w:val="xl47"/>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893">
    <w:name w:val="法规"/>
    <w:basedOn w:val="1"/>
    <w:autoRedefine/>
    <w:qFormat/>
    <w:uiPriority w:val="0"/>
    <w:pPr>
      <w:tabs>
        <w:tab w:val="left" w:pos="400"/>
      </w:tabs>
      <w:spacing w:line="440" w:lineRule="exact"/>
      <w:ind w:firstLine="400"/>
    </w:pPr>
    <w:rPr>
      <w:sz w:val="25"/>
      <w:szCs w:val="20"/>
    </w:rPr>
  </w:style>
  <w:style w:type="paragraph" w:customStyle="1" w:styleId="894">
    <w:name w:val="正文首行缩进1"/>
    <w:basedOn w:val="1"/>
    <w:next w:val="1"/>
    <w:autoRedefine/>
    <w:qFormat/>
    <w:uiPriority w:val="0"/>
    <w:pPr>
      <w:tabs>
        <w:tab w:val="left" w:pos="540"/>
        <w:tab w:val="left" w:pos="1440"/>
        <w:tab w:val="left" w:pos="2448"/>
        <w:tab w:val="left" w:pos="3000"/>
        <w:tab w:val="left" w:pos="3888"/>
        <w:tab w:val="left" w:pos="4800"/>
        <w:tab w:val="left" w:pos="5040"/>
        <w:tab w:val="left" w:pos="5883"/>
        <w:tab w:val="left" w:pos="6300"/>
        <w:tab w:val="left" w:pos="7353"/>
        <w:tab w:val="left" w:pos="8613"/>
      </w:tabs>
      <w:autoSpaceDE w:val="0"/>
      <w:autoSpaceDN w:val="0"/>
      <w:adjustRightInd w:val="0"/>
      <w:snapToGrid w:val="0"/>
      <w:spacing w:line="300" w:lineRule="auto"/>
      <w:ind w:firstLine="561"/>
      <w:textAlignment w:val="baseline"/>
    </w:pPr>
    <w:rPr>
      <w:kern w:val="0"/>
      <w:sz w:val="28"/>
    </w:rPr>
  </w:style>
  <w:style w:type="paragraph" w:customStyle="1" w:styleId="895">
    <w:name w:val="样式 标题 2东明_节 + 行距: 1.5 倍行距"/>
    <w:basedOn w:val="7"/>
    <w:autoRedefine/>
    <w:qFormat/>
    <w:uiPriority w:val="0"/>
    <w:pPr>
      <w:keepLines w:val="0"/>
      <w:widowControl/>
      <w:spacing w:before="240" w:after="60" w:line="360" w:lineRule="auto"/>
      <w:jc w:val="left"/>
    </w:pPr>
    <w:rPr>
      <w:rFonts w:ascii="Cambria" w:hAnsi="Cambria" w:eastAsia="宋体" w:cs="宋体"/>
      <w:kern w:val="0"/>
      <w:sz w:val="30"/>
      <w:szCs w:val="20"/>
      <w:lang w:eastAsia="en-US" w:bidi="en-US"/>
    </w:rPr>
  </w:style>
  <w:style w:type="paragraph" w:customStyle="1" w:styleId="896">
    <w:name w:val="xl30"/>
    <w:basedOn w:val="1"/>
    <w:autoRedefine/>
    <w:qFormat/>
    <w:uiPriority w:val="0"/>
    <w:pPr>
      <w:widowControl/>
      <w:pBdr>
        <w:bottom w:val="single" w:color="auto" w:sz="4" w:space="0"/>
        <w:right w:val="single" w:color="auto" w:sz="4" w:space="0"/>
      </w:pBdr>
      <w:spacing w:before="100" w:beforeAutospacing="1" w:after="100" w:afterAutospacing="1"/>
    </w:pPr>
    <w:rPr>
      <w:rFonts w:hint="eastAsia" w:ascii="宋体" w:hAnsi="宋体"/>
      <w:kern w:val="0"/>
    </w:rPr>
  </w:style>
  <w:style w:type="paragraph" w:customStyle="1" w:styleId="897">
    <w:name w:val="样式38"/>
    <w:basedOn w:val="6"/>
    <w:autoRedefine/>
    <w:qFormat/>
    <w:uiPriority w:val="0"/>
    <w:pPr>
      <w:tabs>
        <w:tab w:val="left" w:pos="720"/>
      </w:tabs>
      <w:overflowPunct/>
      <w:snapToGrid/>
      <w:spacing w:before="340" w:beforeLines="100" w:after="330" w:afterLines="100" w:line="360" w:lineRule="auto"/>
      <w:ind w:left="0" w:firstLine="0"/>
      <w:jc w:val="center"/>
    </w:pPr>
    <w:rPr>
      <w:rFonts w:ascii="黑体" w:hAnsi="Calibri"/>
      <w:b w:val="0"/>
      <w:bCs w:val="0"/>
      <w:color w:val="auto"/>
      <w:kern w:val="2"/>
      <w:sz w:val="32"/>
      <w:szCs w:val="32"/>
    </w:rPr>
  </w:style>
  <w:style w:type="paragraph" w:customStyle="1" w:styleId="898">
    <w:name w:val="样式 Char"/>
    <w:basedOn w:val="1"/>
    <w:next w:val="685"/>
    <w:autoRedefine/>
    <w:qFormat/>
    <w:uiPriority w:val="0"/>
    <w:pPr>
      <w:numPr>
        <w:ilvl w:val="0"/>
        <w:numId w:val="9"/>
      </w:numPr>
      <w:adjustRightInd w:val="0"/>
      <w:snapToGrid w:val="0"/>
      <w:spacing w:before="240" w:after="240" w:line="480" w:lineRule="exact"/>
    </w:pPr>
    <w:rPr>
      <w:sz w:val="28"/>
    </w:rPr>
  </w:style>
  <w:style w:type="paragraph" w:customStyle="1" w:styleId="899">
    <w:name w:val="样式28"/>
    <w:basedOn w:val="900"/>
    <w:autoRedefine/>
    <w:qFormat/>
    <w:uiPriority w:val="0"/>
    <w:pPr>
      <w:spacing w:beforeLines="50" w:afterLines="50"/>
      <w:ind w:firstLine="0" w:firstLineChars="0"/>
      <w:jc w:val="center"/>
    </w:pPr>
    <w:rPr>
      <w:rFonts w:ascii="宋体" w:eastAsia="宋体"/>
      <w:b/>
      <w:snapToGrid w:val="0"/>
      <w:color w:val="000000"/>
      <w:szCs w:val="28"/>
    </w:rPr>
  </w:style>
  <w:style w:type="paragraph" w:customStyle="1" w:styleId="900">
    <w:name w:val="样式17"/>
    <w:basedOn w:val="1"/>
    <w:autoRedefine/>
    <w:qFormat/>
    <w:uiPriority w:val="0"/>
    <w:pPr>
      <w:ind w:firstLine="560" w:firstLineChars="200"/>
    </w:pPr>
    <w:rPr>
      <w:rFonts w:ascii="黑体" w:hAnsi="宋体" w:eastAsia="黑体"/>
      <w:sz w:val="28"/>
      <w:szCs w:val="20"/>
    </w:rPr>
  </w:style>
  <w:style w:type="paragraph" w:customStyle="1" w:styleId="901">
    <w:name w:val="font10"/>
    <w:basedOn w:val="1"/>
    <w:autoRedefine/>
    <w:qFormat/>
    <w:uiPriority w:val="0"/>
    <w:pPr>
      <w:widowControl/>
      <w:spacing w:before="100" w:beforeAutospacing="1" w:after="100" w:afterAutospacing="1"/>
      <w:jc w:val="left"/>
    </w:pPr>
    <w:rPr>
      <w:rFonts w:ascii="Arial" w:hAnsi="Arial" w:cs="Arial"/>
      <w:kern w:val="0"/>
      <w:sz w:val="20"/>
      <w:szCs w:val="20"/>
    </w:rPr>
  </w:style>
  <w:style w:type="paragraph" w:customStyle="1" w:styleId="902">
    <w:name w:val="东明_表格"/>
    <w:basedOn w:val="903"/>
    <w:autoRedefine/>
    <w:qFormat/>
    <w:uiPriority w:val="0"/>
    <w:pPr>
      <w:spacing w:before="100" w:beforeAutospacing="1" w:after="100" w:afterAutospacing="1" w:line="240" w:lineRule="auto"/>
    </w:pPr>
    <w:rPr>
      <w:rFonts w:ascii="黑体" w:hAnsi="黑体" w:eastAsia="黑体"/>
      <w:szCs w:val="24"/>
    </w:rPr>
  </w:style>
  <w:style w:type="paragraph" w:customStyle="1" w:styleId="903">
    <w:name w:val="表格正文"/>
    <w:basedOn w:val="1"/>
    <w:autoRedefine/>
    <w:qFormat/>
    <w:uiPriority w:val="0"/>
    <w:pPr>
      <w:spacing w:line="360" w:lineRule="exact"/>
      <w:jc w:val="center"/>
    </w:pPr>
    <w:rPr>
      <w:szCs w:val="20"/>
    </w:rPr>
  </w:style>
  <w:style w:type="paragraph" w:customStyle="1" w:styleId="904">
    <w:name w:val="xl122"/>
    <w:basedOn w:val="1"/>
    <w:autoRedefine/>
    <w:qFormat/>
    <w:uiPriority w:val="0"/>
    <w:pPr>
      <w:widowControl/>
      <w:pBdr>
        <w:lef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05">
    <w:name w:val="正文文字 3"/>
    <w:basedOn w:val="1"/>
    <w:autoRedefine/>
    <w:qFormat/>
    <w:uiPriority w:val="0"/>
    <w:pPr>
      <w:spacing w:line="280" w:lineRule="exact"/>
      <w:jc w:val="center"/>
    </w:pPr>
    <w:rPr>
      <w:rFonts w:ascii="仿宋_GB2312" w:hAnsi="Arial Black" w:eastAsia="仿宋_GB2312" w:cs="仿宋_GB2312"/>
    </w:rPr>
  </w:style>
  <w:style w:type="paragraph" w:customStyle="1" w:styleId="906">
    <w:name w:val="文本居中"/>
    <w:basedOn w:val="1"/>
    <w:autoRedefine/>
    <w:qFormat/>
    <w:uiPriority w:val="0"/>
    <w:pPr>
      <w:adjustRightInd w:val="0"/>
      <w:spacing w:line="360" w:lineRule="auto"/>
      <w:jc w:val="center"/>
    </w:pPr>
    <w:rPr>
      <w:sz w:val="28"/>
    </w:rPr>
  </w:style>
  <w:style w:type="paragraph" w:customStyle="1" w:styleId="907">
    <w:name w:val="xl112"/>
    <w:basedOn w:val="1"/>
    <w:autoRedefine/>
    <w:qFormat/>
    <w:uiPriority w:val="0"/>
    <w:pPr>
      <w:widowControl/>
      <w:pBdr>
        <w:righ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908">
    <w:name w:val="Char Char Char Char Char Char Char Char Char Char1 Char Char Char Char Char Char"/>
    <w:basedOn w:val="1"/>
    <w:autoRedefine/>
    <w:qFormat/>
    <w:uiPriority w:val="0"/>
    <w:pPr>
      <w:widowControl/>
      <w:contextualSpacing/>
      <w:jc w:val="left"/>
    </w:pPr>
    <w:rPr>
      <w:rFonts w:cs="宋体"/>
      <w:kern w:val="0"/>
    </w:rPr>
  </w:style>
  <w:style w:type="paragraph" w:customStyle="1" w:styleId="909">
    <w:name w:val="xl103"/>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10">
    <w:name w:val="yz"/>
    <w:basedOn w:val="34"/>
    <w:autoRedefine/>
    <w:qFormat/>
    <w:uiPriority w:val="0"/>
    <w:pPr>
      <w:widowControl w:val="0"/>
      <w:tabs>
        <w:tab w:val="left" w:pos="900"/>
      </w:tabs>
      <w:adjustRightInd w:val="0"/>
      <w:snapToGrid/>
      <w:spacing w:before="0" w:after="0" w:line="240" w:lineRule="auto"/>
      <w:ind w:right="0" w:firstLine="200" w:firstLineChars="200"/>
      <w:textAlignment w:val="baseline"/>
    </w:pPr>
    <w:rPr>
      <w:rFonts w:hint="eastAsia" w:ascii="宋体" w:hAnsi="宋体"/>
      <w:sz w:val="24"/>
      <w:szCs w:val="24"/>
    </w:rPr>
  </w:style>
  <w:style w:type="paragraph" w:customStyle="1" w:styleId="911">
    <w:name w:val="标准符号 行距1倍"/>
    <w:basedOn w:val="1"/>
    <w:autoRedefine/>
    <w:qFormat/>
    <w:uiPriority w:val="0"/>
    <w:pPr>
      <w:adjustRightInd w:val="0"/>
      <w:snapToGrid w:val="0"/>
      <w:spacing w:beforeLines="50"/>
      <w:jc w:val="center"/>
      <w:textAlignment w:val="center"/>
    </w:pPr>
    <w:rPr>
      <w:rFonts w:ascii="黑体" w:eastAsia="黑体" w:cs="宋体"/>
      <w:color w:val="000000"/>
      <w:kern w:val="0"/>
      <w:sz w:val="24"/>
    </w:rPr>
  </w:style>
  <w:style w:type="paragraph" w:customStyle="1" w:styleId="912">
    <w:name w:val="2.2.1"/>
    <w:basedOn w:val="9"/>
    <w:autoRedefine/>
    <w:qFormat/>
    <w:uiPriority w:val="0"/>
    <w:pPr>
      <w:tabs>
        <w:tab w:val="left" w:pos="864"/>
      </w:tabs>
      <w:spacing w:before="0" w:after="0" w:line="360" w:lineRule="auto"/>
      <w:ind w:left="864" w:hanging="864"/>
      <w:jc w:val="left"/>
    </w:pPr>
    <w:rPr>
      <w:rFonts w:ascii="宋体" w:hAnsi="Arial"/>
      <w:b w:val="0"/>
      <w:color w:val="000000"/>
      <w:sz w:val="24"/>
    </w:rPr>
  </w:style>
  <w:style w:type="paragraph" w:customStyle="1" w:styleId="913">
    <w:name w:val="Char1 Char Char Char"/>
    <w:basedOn w:val="1"/>
    <w:autoRedefine/>
    <w:qFormat/>
    <w:uiPriority w:val="0"/>
    <w:pPr>
      <w:spacing w:line="360" w:lineRule="auto"/>
      <w:ind w:firstLine="200" w:firstLineChars="200"/>
    </w:pPr>
    <w:rPr>
      <w:rFonts w:ascii="宋体" w:hAnsi="宋体" w:cs="宋体"/>
      <w:sz w:val="24"/>
    </w:rPr>
  </w:style>
  <w:style w:type="paragraph" w:customStyle="1" w:styleId="914">
    <w:name w:val="TOC 标题1"/>
    <w:basedOn w:val="6"/>
    <w:next w:val="1"/>
    <w:autoRedefine/>
    <w:qFormat/>
    <w:uiPriority w:val="39"/>
    <w:pPr>
      <w:keepLines/>
      <w:widowControl/>
      <w:tabs>
        <w:tab w:val="left" w:pos="390"/>
      </w:tabs>
      <w:overflowPunct/>
      <w:snapToGrid/>
      <w:spacing w:before="480" w:after="0" w:line="276" w:lineRule="auto"/>
      <w:ind w:left="390" w:firstLine="0"/>
      <w:jc w:val="left"/>
      <w:outlineLvl w:val="9"/>
    </w:pPr>
    <w:rPr>
      <w:rFonts w:ascii="Cambria" w:hAnsi="Cambria" w:eastAsia="宋体"/>
      <w:color w:val="365F91"/>
      <w:kern w:val="0"/>
      <w:sz w:val="28"/>
      <w:szCs w:val="28"/>
    </w:rPr>
  </w:style>
  <w:style w:type="paragraph" w:customStyle="1" w:styleId="915">
    <w:name w:val="小节标题"/>
    <w:basedOn w:val="1"/>
    <w:autoRedefine/>
    <w:qFormat/>
    <w:uiPriority w:val="0"/>
    <w:pPr>
      <w:widowControl/>
      <w:spacing w:before="175" w:after="102" w:line="351" w:lineRule="atLeast"/>
      <w:contextualSpacing/>
      <w:textAlignment w:val="baseline"/>
    </w:pPr>
    <w:rPr>
      <w:rFonts w:eastAsia="黑体"/>
      <w:color w:val="000000"/>
      <w:kern w:val="0"/>
      <w:szCs w:val="20"/>
      <w:u w:color="000000"/>
    </w:rPr>
  </w:style>
  <w:style w:type="paragraph" w:customStyle="1" w:styleId="916">
    <w:name w:val="高表内"/>
    <w:basedOn w:val="45"/>
    <w:autoRedefine/>
    <w:qFormat/>
    <w:uiPriority w:val="0"/>
    <w:pPr>
      <w:autoSpaceDE w:val="0"/>
      <w:adjustRightInd w:val="0"/>
      <w:snapToGrid w:val="0"/>
      <w:jc w:val="center"/>
      <w:textAlignment w:val="baseline"/>
    </w:pPr>
    <w:rPr>
      <w:rFonts w:ascii="Arial" w:hAnsi="Arial" w:eastAsia="楷体_GB2312" w:cs="Times New Roman"/>
      <w:kern w:val="0"/>
      <w:sz w:val="24"/>
      <w:szCs w:val="24"/>
    </w:rPr>
  </w:style>
  <w:style w:type="paragraph" w:customStyle="1" w:styleId="917">
    <w:name w:val="正文 + 宋体"/>
    <w:basedOn w:val="1"/>
    <w:autoRedefine/>
    <w:qFormat/>
    <w:uiPriority w:val="0"/>
    <w:pPr>
      <w:tabs>
        <w:tab w:val="left" w:pos="6120"/>
      </w:tabs>
      <w:adjustRightInd w:val="0"/>
      <w:spacing w:line="500" w:lineRule="exact"/>
      <w:ind w:firstLine="420" w:firstLineChars="150"/>
      <w:jc w:val="left"/>
    </w:pPr>
    <w:rPr>
      <w:rFonts w:ascii="宋体" w:hAnsi="宋体"/>
      <w:sz w:val="28"/>
      <w:szCs w:val="28"/>
    </w:rPr>
  </w:style>
  <w:style w:type="paragraph" w:customStyle="1" w:styleId="918">
    <w:name w:val="xl165"/>
    <w:basedOn w:val="1"/>
    <w:autoRedefine/>
    <w:qFormat/>
    <w:uiPriority w:val="0"/>
    <w:pPr>
      <w:widowControl/>
      <w:pBdr>
        <w:top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19">
    <w:name w:val="样式 标题 1 + (中文) 宋体 小三 行距: 多倍行距 1.35 字行"/>
    <w:basedOn w:val="6"/>
    <w:autoRedefine/>
    <w:qFormat/>
    <w:uiPriority w:val="0"/>
    <w:pPr>
      <w:keepLines/>
      <w:tabs>
        <w:tab w:val="left" w:pos="390"/>
        <w:tab w:val="left" w:pos="432"/>
      </w:tabs>
      <w:overflowPunct/>
      <w:spacing w:before="0" w:after="0" w:line="360" w:lineRule="auto"/>
    </w:pPr>
    <w:rPr>
      <w:rFonts w:ascii="宋体" w:hAnsi="宋体" w:eastAsia="宋体"/>
      <w:color w:val="auto"/>
      <w:sz w:val="32"/>
      <w:szCs w:val="32"/>
    </w:rPr>
  </w:style>
  <w:style w:type="paragraph" w:customStyle="1" w:styleId="920">
    <w:name w:val="表字1"/>
    <w:basedOn w:val="1"/>
    <w:autoRedefine/>
    <w:qFormat/>
    <w:uiPriority w:val="0"/>
    <w:pPr>
      <w:adjustRightInd w:val="0"/>
      <w:spacing w:line="360" w:lineRule="auto"/>
      <w:jc w:val="center"/>
      <w:textAlignment w:val="baseline"/>
    </w:pPr>
    <w:rPr>
      <w:rFonts w:ascii="宋体"/>
      <w:kern w:val="0"/>
      <w:szCs w:val="20"/>
    </w:rPr>
  </w:style>
  <w:style w:type="paragraph" w:customStyle="1" w:styleId="921">
    <w:name w:val="xl42"/>
    <w:basedOn w:val="1"/>
    <w:autoRedefine/>
    <w:qFormat/>
    <w:uiPriority w:val="0"/>
    <w:pPr>
      <w:widowControl/>
      <w:pBdr>
        <w:bottom w:val="dotted" w:color="auto" w:sz="4" w:space="0"/>
        <w:right w:val="dotted" w:color="auto" w:sz="4" w:space="0"/>
      </w:pBdr>
      <w:spacing w:before="100" w:beforeAutospacing="1" w:after="100" w:afterAutospacing="1"/>
      <w:jc w:val="center"/>
    </w:pPr>
    <w:rPr>
      <w:kern w:val="0"/>
    </w:rPr>
  </w:style>
  <w:style w:type="paragraph" w:customStyle="1" w:styleId="922">
    <w:name w:val="Char Char Char Char Char Char Char Char Char Char Char Char1 Char Char Char Char1"/>
    <w:basedOn w:val="1"/>
    <w:autoRedefine/>
    <w:qFormat/>
    <w:uiPriority w:val="0"/>
    <w:pPr>
      <w:widowControl/>
      <w:contextualSpacing/>
      <w:jc w:val="left"/>
    </w:pPr>
    <w:rPr>
      <w:rFonts w:cs="宋体"/>
      <w:kern w:val="0"/>
    </w:rPr>
  </w:style>
  <w:style w:type="paragraph" w:customStyle="1" w:styleId="923">
    <w:name w:val="1 Char Char Char Char Char Char Char"/>
    <w:basedOn w:val="1"/>
    <w:autoRedefine/>
    <w:qFormat/>
    <w:uiPriority w:val="0"/>
    <w:pPr>
      <w:spacing w:line="360" w:lineRule="auto"/>
      <w:ind w:firstLine="200" w:firstLineChars="200"/>
    </w:pPr>
    <w:rPr>
      <w:rFonts w:ascii="宋体" w:hAnsi="宋体" w:cs="宋体"/>
      <w:sz w:val="24"/>
    </w:rPr>
  </w:style>
  <w:style w:type="paragraph" w:customStyle="1" w:styleId="924">
    <w:name w:val="样式 正文001 + 首行缩进:  2 字符1"/>
    <w:basedOn w:val="1"/>
    <w:autoRedefine/>
    <w:qFormat/>
    <w:uiPriority w:val="0"/>
    <w:pPr>
      <w:spacing w:before="60" w:line="460" w:lineRule="exact"/>
      <w:ind w:firstLine="480" w:firstLineChars="200"/>
    </w:pPr>
    <w:rPr>
      <w:sz w:val="24"/>
      <w:szCs w:val="20"/>
    </w:rPr>
  </w:style>
  <w:style w:type="paragraph" w:customStyle="1" w:styleId="925">
    <w:name w:val="样式 标题 1章标题 11标题 1H1一、 + 行距: 1.5 倍行距"/>
    <w:basedOn w:val="6"/>
    <w:autoRedefine/>
    <w:qFormat/>
    <w:uiPriority w:val="0"/>
    <w:pPr>
      <w:keepLines/>
      <w:overflowPunct/>
      <w:spacing w:before="340" w:after="330" w:line="360" w:lineRule="auto"/>
      <w:ind w:left="3845" w:hanging="3845"/>
      <w:jc w:val="center"/>
    </w:pPr>
    <w:rPr>
      <w:rFonts w:cs="宋体"/>
      <w:color w:val="auto"/>
      <w:sz w:val="44"/>
      <w:szCs w:val="20"/>
    </w:rPr>
  </w:style>
  <w:style w:type="paragraph" w:customStyle="1" w:styleId="926">
    <w:name w:val="1 Char"/>
    <w:basedOn w:val="1"/>
    <w:autoRedefine/>
    <w:qFormat/>
    <w:uiPriority w:val="0"/>
    <w:pPr>
      <w:spacing w:line="360" w:lineRule="auto"/>
      <w:ind w:firstLine="200" w:firstLineChars="200"/>
    </w:pPr>
    <w:rPr>
      <w:rFonts w:ascii="宋体" w:hAnsi="宋体" w:cs="宋体"/>
      <w:sz w:val="24"/>
    </w:rPr>
  </w:style>
  <w:style w:type="paragraph" w:customStyle="1" w:styleId="927">
    <w:name w:val="工艺正文"/>
    <w:basedOn w:val="1"/>
    <w:autoRedefine/>
    <w:qFormat/>
    <w:uiPriority w:val="0"/>
    <w:pPr>
      <w:adjustRightInd w:val="0"/>
      <w:snapToGrid w:val="0"/>
      <w:spacing w:line="360" w:lineRule="auto"/>
      <w:ind w:firstLine="580"/>
    </w:pPr>
    <w:rPr>
      <w:rFonts w:ascii="宋体"/>
      <w:sz w:val="28"/>
      <w:szCs w:val="20"/>
    </w:rPr>
  </w:style>
  <w:style w:type="paragraph" w:customStyle="1" w:styleId="928">
    <w:name w:val="正文 黑体"/>
    <w:basedOn w:val="1"/>
    <w:autoRedefine/>
    <w:qFormat/>
    <w:uiPriority w:val="0"/>
    <w:pPr>
      <w:spacing w:before="240" w:after="240" w:line="480" w:lineRule="exact"/>
      <w:ind w:firstLine="560" w:firstLineChars="200"/>
    </w:pPr>
    <w:rPr>
      <w:rFonts w:eastAsia="黑体"/>
      <w:sz w:val="28"/>
      <w:szCs w:val="20"/>
    </w:rPr>
  </w:style>
  <w:style w:type="paragraph" w:customStyle="1" w:styleId="929">
    <w:name w:val="xl175"/>
    <w:basedOn w:val="1"/>
    <w:autoRedefine/>
    <w:qFormat/>
    <w:uiPriority w:val="0"/>
    <w:pPr>
      <w:widowControl/>
      <w:pBdr>
        <w:left w:val="single" w:color="auto" w:sz="12" w:space="0"/>
        <w:right w:val="single" w:color="auto" w:sz="4" w:space="0"/>
      </w:pBdr>
      <w:spacing w:before="100" w:beforeAutospacing="1" w:after="100" w:afterAutospacing="1"/>
      <w:jc w:val="left"/>
    </w:pPr>
    <w:rPr>
      <w:rFonts w:ascii="Arial Unicode MS" w:hAnsi="Arial Unicode MS"/>
      <w:kern w:val="0"/>
    </w:rPr>
  </w:style>
  <w:style w:type="paragraph" w:customStyle="1" w:styleId="930">
    <w:name w:val="xl140"/>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31">
    <w:name w:val="z-窗体底端1"/>
    <w:basedOn w:val="1"/>
    <w:next w:val="1"/>
    <w:autoRedefine/>
    <w:qFormat/>
    <w:uiPriority w:val="0"/>
    <w:pPr>
      <w:widowControl/>
      <w:pBdr>
        <w:top w:val="single" w:color="auto" w:sz="6" w:space="1"/>
      </w:pBdr>
      <w:jc w:val="center"/>
    </w:pPr>
    <w:rPr>
      <w:rFonts w:ascii="Arial" w:hAnsi="Arial" w:cs="Arial"/>
      <w:vanish/>
      <w:kern w:val="0"/>
      <w:sz w:val="16"/>
      <w:szCs w:val="16"/>
    </w:rPr>
  </w:style>
  <w:style w:type="paragraph" w:customStyle="1" w:styleId="932">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933">
    <w:name w:val="正文 黑体 Char"/>
    <w:basedOn w:val="685"/>
    <w:next w:val="685"/>
    <w:autoRedefine/>
    <w:qFormat/>
    <w:uiPriority w:val="0"/>
    <w:rPr>
      <w:rFonts w:eastAsia="黑体"/>
    </w:rPr>
  </w:style>
  <w:style w:type="paragraph" w:customStyle="1" w:styleId="934">
    <w:name w:val="xl24"/>
    <w:basedOn w:val="1"/>
    <w:autoRedefine/>
    <w:qFormat/>
    <w:uiPriority w:val="0"/>
    <w:pPr>
      <w:widowControl/>
      <w:spacing w:before="100" w:after="100"/>
      <w:jc w:val="center"/>
    </w:pPr>
    <w:rPr>
      <w:rFonts w:ascii="宋体" w:hAnsi="宋体"/>
      <w:kern w:val="0"/>
      <w:sz w:val="24"/>
      <w:szCs w:val="20"/>
    </w:rPr>
  </w:style>
  <w:style w:type="paragraph" w:customStyle="1" w:styleId="935">
    <w:name w:val="表中"/>
    <w:autoRedefine/>
    <w:qFormat/>
    <w:uiPriority w:val="0"/>
    <w:pPr>
      <w:adjustRightInd w:val="0"/>
      <w:snapToGrid w:val="0"/>
      <w:jc w:val="right"/>
    </w:pPr>
    <w:rPr>
      <w:rFonts w:ascii="Times New Roman" w:hAnsi="Times New Roman" w:eastAsia="宋体" w:cs="Times New Roman"/>
      <w:kern w:val="44"/>
      <w:sz w:val="18"/>
      <w:lang w:val="en-US" w:eastAsia="zh-CN" w:bidi="ar-SA"/>
    </w:rPr>
  </w:style>
  <w:style w:type="paragraph" w:customStyle="1" w:styleId="936">
    <w:name w:val="编制说明"/>
    <w:basedOn w:val="1"/>
    <w:autoRedefine/>
    <w:qFormat/>
    <w:uiPriority w:val="0"/>
    <w:pPr>
      <w:topLinePunct/>
      <w:adjustRightInd w:val="0"/>
      <w:snapToGrid w:val="0"/>
      <w:ind w:firstLine="420"/>
      <w:contextualSpacing/>
    </w:pPr>
    <w:rPr>
      <w:rFonts w:eastAsia="仿宋_GB2312"/>
      <w:szCs w:val="20"/>
    </w:rPr>
  </w:style>
  <w:style w:type="paragraph" w:customStyle="1" w:styleId="937">
    <w:name w:val="Char Char1"/>
    <w:basedOn w:val="1"/>
    <w:autoRedefine/>
    <w:qFormat/>
    <w:uiPriority w:val="0"/>
    <w:pPr>
      <w:spacing w:line="360" w:lineRule="auto"/>
      <w:ind w:firstLine="200" w:firstLineChars="200"/>
      <w:jc w:val="left"/>
    </w:pPr>
    <w:rPr>
      <w:rFonts w:ascii="宋体" w:hAnsi="宋体" w:cs="宋体"/>
      <w:sz w:val="24"/>
    </w:rPr>
  </w:style>
  <w:style w:type="paragraph" w:customStyle="1" w:styleId="938">
    <w:name w:val="xl14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39">
    <w:name w:val="xl79"/>
    <w:basedOn w:val="1"/>
    <w:autoRedefine/>
    <w:qFormat/>
    <w:uiPriority w:val="0"/>
    <w:pPr>
      <w:widowControl/>
      <w:pBdr>
        <w:bottom w:val="single" w:color="auto" w:sz="12" w:space="0"/>
      </w:pBdr>
      <w:spacing w:before="100" w:beforeAutospacing="1" w:after="100" w:afterAutospacing="1"/>
      <w:jc w:val="left"/>
      <w:textAlignment w:val="center"/>
    </w:pPr>
    <w:rPr>
      <w:kern w:val="0"/>
      <w:sz w:val="12"/>
      <w:szCs w:val="12"/>
    </w:rPr>
  </w:style>
  <w:style w:type="paragraph" w:customStyle="1" w:styleId="940">
    <w:name w:val="xl153"/>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941">
    <w:name w:val="xl145"/>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942">
    <w:name w:val="xl163"/>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943">
    <w:name w:val="图号"/>
    <w:basedOn w:val="1"/>
    <w:autoRedefine/>
    <w:qFormat/>
    <w:uiPriority w:val="0"/>
    <w:pPr>
      <w:tabs>
        <w:tab w:val="left" w:pos="8160"/>
      </w:tabs>
      <w:adjustRightInd w:val="0"/>
      <w:spacing w:before="120" w:after="120" w:line="320" w:lineRule="exact"/>
      <w:jc w:val="center"/>
      <w:textAlignment w:val="baseline"/>
    </w:pPr>
    <w:rPr>
      <w:rFonts w:ascii="黑体" w:hAnsi="宋体" w:eastAsia="黑体"/>
      <w:spacing w:val="6"/>
      <w:sz w:val="24"/>
    </w:rPr>
  </w:style>
  <w:style w:type="paragraph" w:customStyle="1" w:styleId="944">
    <w:name w:val="样式 标题 2节H2（一）Underrubrik1prop2Heading 2 HiddenHeading 2 C..."/>
    <w:basedOn w:val="7"/>
    <w:autoRedefine/>
    <w:qFormat/>
    <w:uiPriority w:val="0"/>
    <w:pPr>
      <w:tabs>
        <w:tab w:val="left" w:pos="840"/>
      </w:tabs>
      <w:spacing w:before="240" w:after="240" w:line="480" w:lineRule="exact"/>
      <w:ind w:left="840"/>
    </w:pPr>
    <w:rPr>
      <w:rFonts w:cs="宋体"/>
      <w:b w:val="0"/>
      <w:kern w:val="0"/>
      <w:szCs w:val="20"/>
    </w:rPr>
  </w:style>
  <w:style w:type="paragraph" w:customStyle="1" w:styleId="945">
    <w:name w:val="unnamed11"/>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946">
    <w:name w:val="Char2 Char Char Char Char Char Char Char Char Char"/>
    <w:basedOn w:val="1"/>
    <w:autoRedefine/>
    <w:qFormat/>
    <w:uiPriority w:val="0"/>
    <w:rPr>
      <w:sz w:val="24"/>
    </w:rPr>
  </w:style>
  <w:style w:type="paragraph" w:customStyle="1" w:styleId="947">
    <w:name w:val="工业统一题目"/>
    <w:basedOn w:val="1"/>
    <w:autoRedefine/>
    <w:qFormat/>
    <w:uiPriority w:val="0"/>
    <w:pPr>
      <w:adjustRightInd w:val="0"/>
      <w:snapToGrid w:val="0"/>
      <w:spacing w:line="360" w:lineRule="auto"/>
      <w:jc w:val="left"/>
    </w:pPr>
    <w:rPr>
      <w:rFonts w:ascii="宋体"/>
      <w:b/>
      <w:sz w:val="28"/>
      <w:szCs w:val="20"/>
    </w:rPr>
  </w:style>
  <w:style w:type="paragraph" w:customStyle="1" w:styleId="948">
    <w:name w:val="Char Char Char Char Char Char Char Char Char Char Char Char Char Char Char Char Char Char Char"/>
    <w:basedOn w:val="1"/>
    <w:autoRedefine/>
    <w:qFormat/>
    <w:uiPriority w:val="0"/>
  </w:style>
  <w:style w:type="paragraph" w:customStyle="1" w:styleId="949">
    <w:name w:val="Table Paragraph"/>
    <w:basedOn w:val="1"/>
    <w:autoRedefine/>
    <w:unhideWhenUsed/>
    <w:qFormat/>
    <w:uiPriority w:val="1"/>
    <w:pPr>
      <w:widowControl/>
      <w:adjustRightInd w:val="0"/>
      <w:snapToGrid w:val="0"/>
      <w:spacing w:after="200"/>
      <w:jc w:val="left"/>
    </w:pPr>
    <w:rPr>
      <w:rFonts w:ascii="Tahoma" w:hAnsi="Tahoma" w:eastAsia="微软雅黑"/>
      <w:kern w:val="0"/>
      <w:sz w:val="22"/>
      <w:szCs w:val="22"/>
    </w:rPr>
  </w:style>
  <w:style w:type="paragraph" w:customStyle="1" w:styleId="950">
    <w:name w:val="款"/>
    <w:basedOn w:val="1"/>
    <w:autoRedefine/>
    <w:qFormat/>
    <w:uiPriority w:val="0"/>
    <w:pPr>
      <w:spacing w:line="360" w:lineRule="auto"/>
    </w:pPr>
    <w:rPr>
      <w:szCs w:val="20"/>
    </w:rPr>
  </w:style>
  <w:style w:type="paragraph" w:customStyle="1" w:styleId="951">
    <w:name w:val="xl19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52">
    <w:name w:val="备注"/>
    <w:basedOn w:val="475"/>
    <w:autoRedefine/>
    <w:qFormat/>
    <w:uiPriority w:val="0"/>
    <w:pPr>
      <w:spacing w:line="360" w:lineRule="exact"/>
    </w:pPr>
    <w:rPr>
      <w:sz w:val="21"/>
    </w:rPr>
  </w:style>
  <w:style w:type="paragraph" w:customStyle="1" w:styleId="953">
    <w:name w:val="font0"/>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54">
    <w:name w:val="+正文 Char Char"/>
    <w:basedOn w:val="1"/>
    <w:autoRedefine/>
    <w:qFormat/>
    <w:uiPriority w:val="0"/>
    <w:pPr>
      <w:spacing w:line="360" w:lineRule="auto"/>
      <w:ind w:firstLine="200" w:firstLineChars="200"/>
    </w:pPr>
    <w:rPr>
      <w:sz w:val="24"/>
      <w:szCs w:val="28"/>
    </w:rPr>
  </w:style>
  <w:style w:type="paragraph" w:customStyle="1" w:styleId="955">
    <w:name w:val="font13"/>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956">
    <w:name w:val="xl190"/>
    <w:basedOn w:val="1"/>
    <w:autoRedefine/>
    <w:qFormat/>
    <w:uiPriority w:val="0"/>
    <w:pPr>
      <w:widowControl/>
      <w:pBdr>
        <w:top w:val="single" w:color="auto" w:sz="12" w:space="0"/>
      </w:pBdr>
      <w:spacing w:before="100" w:beforeAutospacing="1" w:after="100" w:afterAutospacing="1"/>
      <w:jc w:val="left"/>
      <w:textAlignment w:val="center"/>
    </w:pPr>
    <w:rPr>
      <w:rFonts w:ascii="Arial Unicode MS" w:hAnsi="Arial Unicode MS"/>
      <w:kern w:val="0"/>
      <w:sz w:val="12"/>
      <w:szCs w:val="12"/>
    </w:rPr>
  </w:style>
  <w:style w:type="paragraph" w:customStyle="1" w:styleId="957">
    <w:name w:val="xl172"/>
    <w:basedOn w:val="1"/>
    <w:autoRedefine/>
    <w:qFormat/>
    <w:uiPriority w:val="0"/>
    <w:pPr>
      <w:widowControl/>
      <w:pBdr>
        <w:top w:val="single" w:color="auto" w:sz="12" w:space="0"/>
        <w:left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958">
    <w:name w:val="B1"/>
    <w:basedOn w:val="1"/>
    <w:next w:val="1"/>
    <w:autoRedefine/>
    <w:qFormat/>
    <w:uiPriority w:val="0"/>
    <w:pPr>
      <w:keepNext/>
      <w:tabs>
        <w:tab w:val="left" w:pos="624"/>
      </w:tabs>
      <w:adjustRightInd w:val="0"/>
      <w:spacing w:before="240" w:line="360" w:lineRule="auto"/>
      <w:ind w:left="624" w:hanging="624"/>
      <w:textAlignment w:val="baseline"/>
    </w:pPr>
    <w:rPr>
      <w:kern w:val="24"/>
      <w:sz w:val="28"/>
      <w:szCs w:val="20"/>
    </w:rPr>
  </w:style>
  <w:style w:type="paragraph" w:customStyle="1" w:styleId="959">
    <w:name w:val="表格0"/>
    <w:next w:val="1"/>
    <w:autoRedefine/>
    <w:qFormat/>
    <w:uiPriority w:val="99"/>
    <w:pPr>
      <w:adjustRightInd w:val="0"/>
      <w:snapToGrid w:val="0"/>
      <w:jc w:val="center"/>
    </w:pPr>
    <w:rPr>
      <w:rFonts w:ascii="Times New Roman" w:hAnsi="Times New Roman" w:eastAsia="宋体" w:cs="Times New Roman"/>
      <w:sz w:val="21"/>
      <w:lang w:val="en-US" w:eastAsia="zh-CN" w:bidi="ar-SA"/>
    </w:rPr>
  </w:style>
  <w:style w:type="paragraph" w:customStyle="1" w:styleId="960">
    <w:name w:val="目录2"/>
    <w:basedOn w:val="69"/>
    <w:next w:val="44"/>
    <w:autoRedefine/>
    <w:qFormat/>
    <w:uiPriority w:val="0"/>
    <w:pPr>
      <w:keepNext/>
      <w:widowControl/>
      <w:tabs>
        <w:tab w:val="right" w:leader="dot" w:pos="8160"/>
        <w:tab w:val="right" w:leader="dot" w:pos="8640"/>
        <w:tab w:val="right" w:leader="dot" w:pos="8820"/>
      </w:tabs>
      <w:spacing w:beforeLines="50" w:afterLines="50" w:line="480" w:lineRule="exact"/>
      <w:ind w:left="567"/>
      <w:jc w:val="both"/>
    </w:pPr>
    <w:rPr>
      <w:rFonts w:ascii="Calibri" w:hAnsi="Calibri"/>
      <w:kern w:val="0"/>
      <w:sz w:val="28"/>
      <w:szCs w:val="24"/>
      <w:lang w:bidi="en-US"/>
    </w:rPr>
  </w:style>
  <w:style w:type="paragraph" w:customStyle="1" w:styleId="961">
    <w:name w:val="xl51"/>
    <w:basedOn w:val="1"/>
    <w:autoRedefine/>
    <w:qFormat/>
    <w:uiPriority w:val="0"/>
    <w:pPr>
      <w:widowControl/>
      <w:spacing w:before="100" w:beforeAutospacing="1" w:after="100" w:afterAutospacing="1"/>
      <w:jc w:val="left"/>
    </w:pPr>
    <w:rPr>
      <w:rFonts w:ascii="Arial" w:hAnsi="Arial" w:cs="Arial"/>
      <w:b/>
      <w:bCs/>
      <w:kern w:val="0"/>
      <w:sz w:val="22"/>
      <w:szCs w:val="22"/>
    </w:rPr>
  </w:style>
  <w:style w:type="paragraph" w:customStyle="1" w:styleId="962">
    <w:name w:val="新正文样式"/>
    <w:basedOn w:val="1"/>
    <w:autoRedefine/>
    <w:qFormat/>
    <w:uiPriority w:val="0"/>
    <w:pPr>
      <w:tabs>
        <w:tab w:val="left" w:pos="567"/>
      </w:tabs>
      <w:spacing w:line="360" w:lineRule="auto"/>
      <w:ind w:firstLine="567"/>
    </w:pPr>
    <w:rPr>
      <w:spacing w:val="20"/>
      <w:sz w:val="24"/>
      <w:szCs w:val="20"/>
    </w:rPr>
  </w:style>
  <w:style w:type="paragraph" w:customStyle="1" w:styleId="963">
    <w:name w:val="表格编号"/>
    <w:basedOn w:val="1"/>
    <w:autoRedefine/>
    <w:qFormat/>
    <w:uiPriority w:val="0"/>
    <w:pPr>
      <w:snapToGrid w:val="0"/>
      <w:spacing w:before="300" w:after="200" w:line="500" w:lineRule="exact"/>
      <w:jc w:val="left"/>
    </w:pPr>
    <w:rPr>
      <w:sz w:val="24"/>
    </w:rPr>
  </w:style>
  <w:style w:type="paragraph" w:customStyle="1" w:styleId="964">
    <w:name w:val="Char Char Char Char Char Char Char Char Char Char1"/>
    <w:basedOn w:val="1"/>
    <w:autoRedefine/>
    <w:qFormat/>
    <w:uiPriority w:val="0"/>
    <w:pPr>
      <w:widowControl/>
      <w:contextualSpacing/>
      <w:jc w:val="left"/>
    </w:pPr>
    <w:rPr>
      <w:rFonts w:cs="宋体"/>
      <w:kern w:val="0"/>
    </w:rPr>
  </w:style>
  <w:style w:type="paragraph" w:customStyle="1" w:styleId="965">
    <w:name w:val="正文001"/>
    <w:basedOn w:val="1"/>
    <w:autoRedefine/>
    <w:qFormat/>
    <w:uiPriority w:val="0"/>
    <w:pPr>
      <w:spacing w:before="60" w:line="460" w:lineRule="exact"/>
      <w:ind w:firstLine="200" w:firstLineChars="200"/>
    </w:pPr>
    <w:rPr>
      <w:sz w:val="24"/>
      <w:szCs w:val="20"/>
    </w:rPr>
  </w:style>
  <w:style w:type="paragraph" w:customStyle="1" w:styleId="966">
    <w:name w:val="正文图标题"/>
    <w:next w:val="1"/>
    <w:autoRedefine/>
    <w:qFormat/>
    <w:uiPriority w:val="0"/>
    <w:pPr>
      <w:numPr>
        <w:ilvl w:val="0"/>
        <w:numId w:val="10"/>
      </w:numPr>
      <w:tabs>
        <w:tab w:val="left" w:pos="360"/>
      </w:tabs>
      <w:spacing w:beforeLines="50" w:afterLines="50"/>
      <w:jc w:val="center"/>
    </w:pPr>
    <w:rPr>
      <w:rFonts w:ascii="黑体" w:hAnsi="Times New Roman" w:eastAsia="黑体" w:cs="Times New Roman"/>
      <w:sz w:val="21"/>
      <w:lang w:val="en-US" w:eastAsia="zh-CN" w:bidi="ar-SA"/>
    </w:rPr>
  </w:style>
  <w:style w:type="paragraph" w:customStyle="1" w:styleId="967">
    <w:name w:val="Char Char Char Char Char Char Char1"/>
    <w:basedOn w:val="1"/>
    <w:autoRedefine/>
    <w:qFormat/>
    <w:uiPriority w:val="0"/>
    <w:pPr>
      <w:widowControl/>
      <w:contextualSpacing/>
      <w:jc w:val="left"/>
    </w:pPr>
    <w:rPr>
      <w:rFonts w:cs="宋体"/>
      <w:kern w:val="0"/>
    </w:rPr>
  </w:style>
  <w:style w:type="paragraph" w:customStyle="1" w:styleId="968">
    <w:name w:val="xl111"/>
    <w:basedOn w:val="1"/>
    <w:autoRedefine/>
    <w:qFormat/>
    <w:uiPriority w:val="0"/>
    <w:pPr>
      <w:widowControl/>
      <w:pBdr>
        <w:top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969">
    <w:name w:val="xl3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970">
    <w:name w:val="表内4号居中"/>
    <w:autoRedefine/>
    <w:qFormat/>
    <w:uiPriority w:val="0"/>
    <w:pPr>
      <w:adjustRightInd w:val="0"/>
      <w:snapToGrid w:val="0"/>
      <w:spacing w:line="360" w:lineRule="auto"/>
      <w:jc w:val="center"/>
    </w:pPr>
    <w:rPr>
      <w:rFonts w:ascii="Arial" w:hAnsi="Arial" w:eastAsia="宋体" w:cs="Times New Roman"/>
      <w:spacing w:val="20"/>
      <w:sz w:val="21"/>
      <w:lang w:val="en-US" w:eastAsia="zh-CN" w:bidi="ar-SA"/>
    </w:rPr>
  </w:style>
  <w:style w:type="paragraph" w:customStyle="1" w:styleId="971">
    <w:name w:val="xl128"/>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972">
    <w:name w:val="样式 标题 3 + (西文) Times New Roman (中文) 宋体 小四 加粗"/>
    <w:basedOn w:val="8"/>
    <w:autoRedefine/>
    <w:qFormat/>
    <w:uiPriority w:val="0"/>
    <w:pPr>
      <w:tabs>
        <w:tab w:val="left" w:pos="1021"/>
      </w:tabs>
      <w:spacing w:before="156" w:after="0" w:afterLines="50" w:line="360" w:lineRule="auto"/>
      <w:ind w:left="1021" w:hanging="1021"/>
    </w:pPr>
    <w:rPr>
      <w:rFonts w:ascii="宋体" w:hAnsi="宋体"/>
      <w:b w:val="0"/>
      <w:snapToGrid w:val="0"/>
      <w:sz w:val="28"/>
      <w:szCs w:val="28"/>
    </w:rPr>
  </w:style>
  <w:style w:type="paragraph" w:customStyle="1" w:styleId="973">
    <w:name w:val="默认段落字体 Para Char Char Char Char Char Char"/>
    <w:basedOn w:val="1"/>
    <w:autoRedefine/>
    <w:qFormat/>
    <w:uiPriority w:val="0"/>
  </w:style>
  <w:style w:type="paragraph" w:customStyle="1" w:styleId="974">
    <w:name w:val="xl158"/>
    <w:basedOn w:val="1"/>
    <w:autoRedefine/>
    <w:qFormat/>
    <w:uiPriority w:val="0"/>
    <w:pPr>
      <w:widowControl/>
      <w:pBdr>
        <w:bottom w:val="single" w:color="auto" w:sz="8"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975">
    <w:name w:val="表样式2"/>
    <w:basedOn w:val="1"/>
    <w:autoRedefine/>
    <w:qFormat/>
    <w:uiPriority w:val="0"/>
    <w:pPr>
      <w:jc w:val="center"/>
    </w:pPr>
    <w:rPr>
      <w:kern w:val="0"/>
    </w:rPr>
  </w:style>
  <w:style w:type="paragraph" w:customStyle="1" w:styleId="976">
    <w:name w:val="xl95"/>
    <w:basedOn w:val="1"/>
    <w:autoRedefine/>
    <w:qFormat/>
    <w:uiPriority w:val="0"/>
    <w:pPr>
      <w:widowControl/>
      <w:spacing w:before="100" w:beforeAutospacing="1" w:after="100" w:afterAutospacing="1"/>
      <w:jc w:val="right"/>
    </w:pPr>
    <w:rPr>
      <w:rFonts w:ascii="Arial Unicode MS" w:hAnsi="Arial Unicode MS"/>
      <w:kern w:val="0"/>
      <w:sz w:val="12"/>
      <w:szCs w:val="12"/>
    </w:rPr>
  </w:style>
  <w:style w:type="paragraph" w:customStyle="1" w:styleId="977">
    <w:name w:val="xl100"/>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978">
    <w:name w:val="Char Char Char Char Char Char Char Char Char Char Char Char Char"/>
    <w:basedOn w:val="1"/>
    <w:autoRedefine/>
    <w:qFormat/>
    <w:uiPriority w:val="0"/>
    <w:pPr>
      <w:widowControl/>
      <w:spacing w:after="160" w:line="240" w:lineRule="exact"/>
      <w:jc w:val="left"/>
    </w:pPr>
  </w:style>
  <w:style w:type="paragraph" w:customStyle="1" w:styleId="979">
    <w:name w:val="font1"/>
    <w:basedOn w:val="1"/>
    <w:autoRedefine/>
    <w:qFormat/>
    <w:uiPriority w:val="0"/>
    <w:pPr>
      <w:widowControl/>
      <w:spacing w:before="100" w:beforeAutospacing="1" w:after="100" w:afterAutospacing="1"/>
      <w:jc w:val="left"/>
    </w:pPr>
    <w:rPr>
      <w:rFonts w:hint="eastAsia" w:ascii="宋体" w:hAnsi="宋体"/>
      <w:kern w:val="0"/>
      <w:sz w:val="24"/>
    </w:rPr>
  </w:style>
  <w:style w:type="paragraph" w:customStyle="1" w:styleId="980">
    <w:name w:val="CM88"/>
    <w:basedOn w:val="102"/>
    <w:next w:val="102"/>
    <w:autoRedefine/>
    <w:qFormat/>
    <w:uiPriority w:val="0"/>
    <w:pPr>
      <w:spacing w:after="175"/>
    </w:pPr>
    <w:rPr>
      <w:rFonts w:ascii="黑体" w:eastAsia="黑体"/>
      <w:color w:val="auto"/>
    </w:rPr>
  </w:style>
  <w:style w:type="paragraph" w:customStyle="1" w:styleId="981">
    <w:name w:val="font14"/>
    <w:basedOn w:val="1"/>
    <w:autoRedefine/>
    <w:qFormat/>
    <w:uiPriority w:val="0"/>
    <w:pPr>
      <w:widowControl/>
      <w:spacing w:before="100" w:beforeAutospacing="1" w:after="100" w:afterAutospacing="1"/>
      <w:jc w:val="left"/>
    </w:pPr>
    <w:rPr>
      <w:rFonts w:ascii="宋体" w:hAnsi="宋体"/>
      <w:b/>
      <w:bCs/>
      <w:i/>
      <w:iCs/>
      <w:kern w:val="0"/>
      <w:sz w:val="22"/>
      <w:szCs w:val="22"/>
    </w:rPr>
  </w:style>
  <w:style w:type="paragraph" w:customStyle="1" w:styleId="982">
    <w:name w:val="xl67"/>
    <w:basedOn w:val="1"/>
    <w:autoRedefine/>
    <w:qFormat/>
    <w:uiPriority w:val="0"/>
    <w:pPr>
      <w:widowControl/>
      <w:spacing w:before="100" w:beforeAutospacing="1" w:after="100" w:afterAutospacing="1"/>
      <w:jc w:val="center"/>
    </w:pPr>
    <w:rPr>
      <w:rFonts w:ascii="宋体" w:hAnsi="宋体"/>
      <w:b/>
      <w:bCs/>
      <w:kern w:val="0"/>
      <w:sz w:val="22"/>
      <w:szCs w:val="22"/>
    </w:rPr>
  </w:style>
  <w:style w:type="paragraph" w:customStyle="1" w:styleId="983">
    <w:name w:val="xl89"/>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984">
    <w:name w:val="Char Char 字元 字元 字元 Char Char Char Char"/>
    <w:basedOn w:val="1"/>
    <w:autoRedefine/>
    <w:qFormat/>
    <w:uiPriority w:val="0"/>
    <w:pPr>
      <w:adjustRightInd w:val="0"/>
      <w:spacing w:line="360" w:lineRule="auto"/>
    </w:pPr>
  </w:style>
  <w:style w:type="paragraph" w:customStyle="1" w:styleId="985">
    <w:name w:val="Char Char8 Char"/>
    <w:basedOn w:val="8"/>
    <w:autoRedefine/>
    <w:semiHidden/>
    <w:qFormat/>
    <w:uiPriority w:val="0"/>
    <w:pPr>
      <w:tabs>
        <w:tab w:val="left" w:pos="360"/>
        <w:tab w:val="left" w:pos="900"/>
      </w:tabs>
      <w:spacing w:before="0" w:after="120" w:line="360" w:lineRule="auto"/>
      <w:ind w:left="542" w:leftChars="-12" w:firstLine="200" w:firstLineChars="200"/>
    </w:pPr>
    <w:rPr>
      <w:rFonts w:ascii="宋体" w:hAnsi="宋体" w:cs="宋体"/>
      <w:b w:val="0"/>
      <w:bCs w:val="0"/>
      <w:sz w:val="24"/>
      <w:szCs w:val="24"/>
    </w:rPr>
  </w:style>
  <w:style w:type="paragraph" w:customStyle="1" w:styleId="986">
    <w:name w:val="xl29"/>
    <w:basedOn w:val="1"/>
    <w:autoRedefine/>
    <w:qFormat/>
    <w:uiPriority w:val="0"/>
    <w:pPr>
      <w:widowControl/>
      <w:spacing w:before="100" w:beforeAutospacing="1" w:after="100" w:afterAutospacing="1"/>
      <w:jc w:val="left"/>
      <w:textAlignment w:val="bottom"/>
    </w:pPr>
    <w:rPr>
      <w:rFonts w:ascii="Arial" w:hAnsi="Arial" w:cs="Arial"/>
      <w:b/>
      <w:bCs/>
      <w:kern w:val="0"/>
      <w:sz w:val="22"/>
      <w:szCs w:val="22"/>
    </w:rPr>
  </w:style>
  <w:style w:type="paragraph" w:customStyle="1" w:styleId="987">
    <w:name w:val="封面"/>
    <w:basedOn w:val="1"/>
    <w:autoRedefine/>
    <w:qFormat/>
    <w:uiPriority w:val="0"/>
    <w:pPr>
      <w:adjustRightInd w:val="0"/>
      <w:spacing w:before="60" w:line="360" w:lineRule="auto"/>
      <w:ind w:firstLine="482"/>
      <w:jc w:val="center"/>
      <w:textAlignment w:val="baseline"/>
    </w:pPr>
    <w:rPr>
      <w:rFonts w:ascii="Arial" w:hAnsi="Arial" w:eastAsia="仿宋_GB2312"/>
      <w:b/>
      <w:kern w:val="0"/>
      <w:sz w:val="30"/>
      <w:szCs w:val="20"/>
    </w:rPr>
  </w:style>
  <w:style w:type="paragraph" w:customStyle="1" w:styleId="988">
    <w:name w:val="Char21"/>
    <w:basedOn w:val="1"/>
    <w:autoRedefine/>
    <w:qFormat/>
    <w:uiPriority w:val="0"/>
    <w:pPr>
      <w:spacing w:line="360" w:lineRule="auto"/>
      <w:ind w:firstLine="200" w:firstLineChars="200"/>
    </w:pPr>
    <w:rPr>
      <w:rFonts w:ascii="宋体" w:hAnsi="宋体" w:cs="宋体"/>
      <w:sz w:val="24"/>
    </w:rPr>
  </w:style>
  <w:style w:type="paragraph" w:customStyle="1" w:styleId="989">
    <w:name w:val="简单回函地址"/>
    <w:basedOn w:val="1"/>
    <w:autoRedefine/>
    <w:qFormat/>
    <w:uiPriority w:val="0"/>
  </w:style>
  <w:style w:type="paragraph" w:customStyle="1" w:styleId="990">
    <w:name w:val="页眉左"/>
    <w:basedOn w:val="4"/>
    <w:autoRedefine/>
    <w:qFormat/>
    <w:uiPriority w:val="0"/>
    <w:pPr>
      <w:pBdr>
        <w:bottom w:val="none" w:color="auto" w:sz="0" w:space="0"/>
      </w:pBdr>
      <w:adjustRightInd w:val="0"/>
      <w:snapToGrid/>
      <w:spacing w:before="60" w:after="60" w:line="240" w:lineRule="atLeast"/>
      <w:jc w:val="left"/>
      <w:textAlignment w:val="baseline"/>
    </w:pPr>
    <w:rPr>
      <w:sz w:val="22"/>
      <w:lang w:val="en-GB"/>
    </w:rPr>
  </w:style>
  <w:style w:type="paragraph" w:customStyle="1" w:styleId="991">
    <w:name w:val="样式 四号"/>
    <w:basedOn w:val="1"/>
    <w:autoRedefine/>
    <w:qFormat/>
    <w:uiPriority w:val="0"/>
    <w:pPr>
      <w:spacing w:line="360" w:lineRule="auto"/>
      <w:ind w:firstLine="480" w:firstLineChars="200"/>
    </w:pPr>
    <w:rPr>
      <w:rFonts w:ascii="宋体" w:hAnsi="宋体"/>
      <w:snapToGrid w:val="0"/>
      <w:kern w:val="0"/>
      <w:sz w:val="24"/>
    </w:rPr>
  </w:style>
  <w:style w:type="paragraph" w:customStyle="1" w:styleId="992">
    <w:name w:val="Char12"/>
    <w:basedOn w:val="1"/>
    <w:autoRedefine/>
    <w:qFormat/>
    <w:uiPriority w:val="0"/>
  </w:style>
  <w:style w:type="paragraph" w:customStyle="1" w:styleId="993">
    <w:name w:val="样式 标题 3 + 段前: 0.5 行 段后: 0.2 行"/>
    <w:basedOn w:val="8"/>
    <w:autoRedefine/>
    <w:qFormat/>
    <w:uiPriority w:val="0"/>
    <w:pPr>
      <w:spacing w:before="0" w:beforeLines="30" w:after="0" w:line="600" w:lineRule="exact"/>
      <w:ind w:firstLine="480" w:firstLineChars="200"/>
    </w:pPr>
    <w:rPr>
      <w:rFonts w:eastAsia="黑体" w:cs="宋体"/>
      <w:b w:val="0"/>
      <w:sz w:val="26"/>
      <w:szCs w:val="20"/>
    </w:rPr>
  </w:style>
  <w:style w:type="paragraph" w:customStyle="1" w:styleId="994">
    <w:name w:val="目录"/>
    <w:basedOn w:val="7"/>
    <w:next w:val="1"/>
    <w:autoRedefine/>
    <w:qFormat/>
    <w:uiPriority w:val="0"/>
    <w:pPr>
      <w:keepLines w:val="0"/>
      <w:widowControl/>
      <w:tabs>
        <w:tab w:val="left" w:pos="0"/>
        <w:tab w:val="left" w:pos="8280"/>
      </w:tabs>
      <w:spacing w:before="480" w:after="60" w:line="480" w:lineRule="exact"/>
      <w:ind w:right="50" w:rightChars="50"/>
      <w:jc w:val="left"/>
    </w:pPr>
    <w:rPr>
      <w:b w:val="0"/>
      <w:iCs/>
      <w:kern w:val="44"/>
      <w:szCs w:val="28"/>
      <w:lang w:eastAsia="en-US" w:bidi="en-US"/>
    </w:rPr>
  </w:style>
  <w:style w:type="paragraph" w:customStyle="1" w:styleId="995">
    <w:name w:val="默认段落字体 Para Char Char Char Char Char Char Char"/>
    <w:basedOn w:val="1"/>
    <w:autoRedefine/>
    <w:qFormat/>
    <w:uiPriority w:val="0"/>
    <w:pPr>
      <w:adjustRightInd w:val="0"/>
      <w:spacing w:line="360" w:lineRule="auto"/>
      <w:textAlignment w:val="baseline"/>
    </w:pPr>
    <w:rPr>
      <w:kern w:val="0"/>
      <w:sz w:val="24"/>
      <w:szCs w:val="20"/>
    </w:rPr>
  </w:style>
  <w:style w:type="paragraph" w:customStyle="1" w:styleId="996">
    <w:name w:val="封面 宋体"/>
    <w:basedOn w:val="997"/>
    <w:autoRedefine/>
    <w:qFormat/>
    <w:uiPriority w:val="0"/>
    <w:rPr>
      <w:rFonts w:ascii="宋体-方正超大字符集" w:hAnsi="宋体-方正超大字符集" w:eastAsia="宋体-方正超大字符集"/>
      <w:b w:val="0"/>
      <w:bCs/>
      <w:sz w:val="32"/>
    </w:rPr>
  </w:style>
  <w:style w:type="paragraph" w:customStyle="1" w:styleId="997">
    <w:name w:val="封面 黑体"/>
    <w:basedOn w:val="1"/>
    <w:autoRedefine/>
    <w:qFormat/>
    <w:uiPriority w:val="0"/>
    <w:pPr>
      <w:spacing w:before="240" w:after="240" w:line="480" w:lineRule="exact"/>
      <w:jc w:val="center"/>
    </w:pPr>
    <w:rPr>
      <w:b/>
      <w:sz w:val="30"/>
    </w:rPr>
  </w:style>
  <w:style w:type="paragraph" w:customStyle="1" w:styleId="998">
    <w:name w:val="表格段落1"/>
    <w:basedOn w:val="1"/>
    <w:autoRedefine/>
    <w:qFormat/>
    <w:uiPriority w:val="0"/>
    <w:pPr>
      <w:adjustRightInd w:val="0"/>
      <w:snapToGrid w:val="0"/>
      <w:spacing w:line="320" w:lineRule="exact"/>
      <w:jc w:val="center"/>
    </w:pPr>
  </w:style>
  <w:style w:type="paragraph" w:customStyle="1" w:styleId="999">
    <w:name w:val="小五表文"/>
    <w:autoRedefine/>
    <w:qFormat/>
    <w:uiPriority w:val="0"/>
    <w:pPr>
      <w:jc w:val="center"/>
    </w:pPr>
    <w:rPr>
      <w:rFonts w:ascii="Times New Roman" w:hAnsi="Times New Roman" w:eastAsia="仿宋_GB2312" w:cs="Times New Roman"/>
      <w:sz w:val="18"/>
      <w:lang w:val="en-US" w:eastAsia="zh-CN" w:bidi="ar-SA"/>
    </w:rPr>
  </w:style>
  <w:style w:type="paragraph" w:customStyle="1" w:styleId="1000">
    <w:name w:val="xl83"/>
    <w:basedOn w:val="1"/>
    <w:autoRedefine/>
    <w:qFormat/>
    <w:uiPriority w:val="0"/>
    <w:pPr>
      <w:widowControl/>
      <w:pBdr>
        <w:top w:val="single" w:color="auto" w:sz="12" w:space="0"/>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01">
    <w:name w:val="style23"/>
    <w:basedOn w:val="1"/>
    <w:autoRedefine/>
    <w:qFormat/>
    <w:uiPriority w:val="0"/>
    <w:pPr>
      <w:widowControl/>
      <w:spacing w:before="100" w:beforeAutospacing="1" w:after="100" w:afterAutospacing="1"/>
      <w:jc w:val="left"/>
    </w:pPr>
    <w:rPr>
      <w:rFonts w:ascii="宋体" w:hAnsi="宋体"/>
      <w:b/>
      <w:bCs/>
      <w:color w:val="990000"/>
      <w:kern w:val="0"/>
    </w:rPr>
  </w:style>
  <w:style w:type="paragraph" w:customStyle="1" w:styleId="1002">
    <w:name w:val="说明书"/>
    <w:basedOn w:val="1"/>
    <w:autoRedefine/>
    <w:qFormat/>
    <w:uiPriority w:val="0"/>
    <w:pPr>
      <w:widowControl/>
      <w:adjustRightInd w:val="0"/>
      <w:spacing w:line="500" w:lineRule="exact"/>
      <w:ind w:firstLine="624"/>
      <w:contextualSpacing/>
      <w:jc w:val="left"/>
      <w:textAlignment w:val="baseline"/>
    </w:pPr>
    <w:rPr>
      <w:rFonts w:ascii="Arial" w:hAnsi="Arial" w:cs="宋体"/>
      <w:kern w:val="0"/>
      <w:sz w:val="28"/>
      <w:szCs w:val="20"/>
    </w:rPr>
  </w:style>
  <w:style w:type="paragraph" w:customStyle="1" w:styleId="1003">
    <w:name w:val="xl194"/>
    <w:basedOn w:val="1"/>
    <w:autoRedefine/>
    <w:qFormat/>
    <w:uiPriority w:val="0"/>
    <w:pPr>
      <w:widowControl/>
      <w:spacing w:before="100" w:beforeAutospacing="1" w:after="100" w:afterAutospacing="1"/>
      <w:jc w:val="center"/>
    </w:pPr>
    <w:rPr>
      <w:kern w:val="0"/>
      <w:sz w:val="16"/>
      <w:szCs w:val="16"/>
    </w:rPr>
  </w:style>
  <w:style w:type="paragraph" w:customStyle="1" w:styleId="1004">
    <w:name w:val="Char Char Char Char Char Char1 Char Char Char Char Char Char Char"/>
    <w:basedOn w:val="1"/>
    <w:autoRedefine/>
    <w:qFormat/>
    <w:uiPriority w:val="0"/>
  </w:style>
  <w:style w:type="paragraph" w:customStyle="1" w:styleId="1005">
    <w:name w:val="样式111"/>
    <w:basedOn w:val="691"/>
    <w:autoRedefine/>
    <w:qFormat/>
    <w:uiPriority w:val="0"/>
    <w:rPr>
      <w:sz w:val="21"/>
    </w:rPr>
  </w:style>
  <w:style w:type="paragraph" w:customStyle="1" w:styleId="1006">
    <w:name w:val="xl138"/>
    <w:basedOn w:val="1"/>
    <w:autoRedefine/>
    <w:qFormat/>
    <w:uiPriority w:val="0"/>
    <w:pPr>
      <w:widowControl/>
      <w:pBdr>
        <w:left w:val="single" w:color="auto" w:sz="4" w:space="0"/>
        <w:bottom w:val="single" w:color="auto" w:sz="8" w:space="0"/>
      </w:pBdr>
      <w:spacing w:before="100" w:beforeAutospacing="1" w:after="100" w:afterAutospacing="1"/>
      <w:jc w:val="center"/>
      <w:textAlignment w:val="center"/>
    </w:pPr>
    <w:rPr>
      <w:kern w:val="0"/>
      <w:sz w:val="12"/>
      <w:szCs w:val="12"/>
    </w:rPr>
  </w:style>
  <w:style w:type="paragraph" w:customStyle="1" w:styleId="1007">
    <w:name w:val="样式11"/>
    <w:basedOn w:val="486"/>
    <w:autoRedefine/>
    <w:qFormat/>
    <w:uiPriority w:val="0"/>
    <w:pPr>
      <w:adjustRightInd w:val="0"/>
      <w:spacing w:line="240" w:lineRule="auto"/>
      <w:textAlignment w:val="baseline"/>
    </w:pPr>
    <w:rPr>
      <w:rFonts w:ascii="仿宋_GB2312" w:eastAsia="仿宋_GB2312"/>
      <w:color w:val="000000"/>
      <w:sz w:val="24"/>
      <w:szCs w:val="24"/>
    </w:rPr>
  </w:style>
  <w:style w:type="paragraph" w:customStyle="1" w:styleId="1008">
    <w:name w:val="dash6b63-6587"/>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09">
    <w:name w:val="font9"/>
    <w:basedOn w:val="1"/>
    <w:autoRedefine/>
    <w:qFormat/>
    <w:uiPriority w:val="0"/>
    <w:pPr>
      <w:widowControl/>
      <w:spacing w:before="100" w:beforeAutospacing="1" w:after="100" w:afterAutospacing="1"/>
      <w:jc w:val="left"/>
    </w:pPr>
    <w:rPr>
      <w:rFonts w:ascii="Arial" w:hAnsi="Arial" w:cs="Arial"/>
      <w:b/>
      <w:bCs/>
      <w:kern w:val="0"/>
      <w:sz w:val="28"/>
      <w:szCs w:val="28"/>
    </w:rPr>
  </w:style>
  <w:style w:type="paragraph" w:customStyle="1" w:styleId="1010">
    <w:name w:val="Char Char Char Char Char Char Char Char Char Char Char Char Char Char Char Char1"/>
    <w:basedOn w:val="1"/>
    <w:autoRedefine/>
    <w:qFormat/>
    <w:uiPriority w:val="0"/>
  </w:style>
  <w:style w:type="paragraph" w:customStyle="1" w:styleId="1011">
    <w:name w:val="xl41"/>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12">
    <w:name w:val="xl137"/>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2"/>
      <w:szCs w:val="12"/>
    </w:rPr>
  </w:style>
  <w:style w:type="paragraph" w:customStyle="1" w:styleId="1013">
    <w:name w:val="title1"/>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014">
    <w:name w:val="表中居中文字"/>
    <w:basedOn w:val="1"/>
    <w:autoRedefine/>
    <w:qFormat/>
    <w:uiPriority w:val="0"/>
    <w:pPr>
      <w:numPr>
        <w:ilvl w:val="3"/>
        <w:numId w:val="11"/>
      </w:numPr>
      <w:tabs>
        <w:tab w:val="clear" w:pos="2249"/>
      </w:tabs>
      <w:ind w:left="0" w:firstLine="0"/>
    </w:pPr>
    <w:rPr>
      <w:rFonts w:ascii="宋体" w:hAnsi="宋体" w:cs="Arial"/>
      <w:bCs/>
      <w:color w:val="FF0000"/>
      <w:sz w:val="24"/>
      <w:szCs w:val="18"/>
    </w:rPr>
  </w:style>
  <w:style w:type="paragraph" w:customStyle="1" w:styleId="1015">
    <w:name w:val="高段文"/>
    <w:basedOn w:val="1"/>
    <w:autoRedefine/>
    <w:qFormat/>
    <w:uiPriority w:val="0"/>
    <w:pPr>
      <w:spacing w:line="300" w:lineRule="auto"/>
      <w:ind w:firstLine="200" w:firstLineChars="200"/>
    </w:pPr>
    <w:rPr>
      <w:rFonts w:ascii="Arial" w:hAnsi="Arial" w:eastAsia="楷体_GB2312"/>
      <w:sz w:val="28"/>
      <w:szCs w:val="28"/>
    </w:rPr>
  </w:style>
  <w:style w:type="paragraph" w:customStyle="1" w:styleId="1016">
    <w:name w:val="6"/>
    <w:basedOn w:val="1"/>
    <w:next w:val="71"/>
    <w:autoRedefine/>
    <w:qFormat/>
    <w:uiPriority w:val="0"/>
    <w:pPr>
      <w:spacing w:after="120" w:line="480" w:lineRule="auto"/>
    </w:pPr>
  </w:style>
  <w:style w:type="paragraph" w:customStyle="1" w:styleId="1017">
    <w:name w:val="封面 名称"/>
    <w:basedOn w:val="997"/>
    <w:next w:val="997"/>
    <w:autoRedefine/>
    <w:qFormat/>
    <w:uiPriority w:val="0"/>
    <w:pPr>
      <w:spacing w:line="640" w:lineRule="exact"/>
    </w:pPr>
    <w:rPr>
      <w:rFonts w:eastAsia="宋体-方正超大字符集"/>
      <w:spacing w:val="40"/>
      <w:sz w:val="44"/>
      <w:szCs w:val="44"/>
    </w:rPr>
  </w:style>
  <w:style w:type="paragraph" w:customStyle="1" w:styleId="1018">
    <w:name w:val="EIA正文"/>
    <w:basedOn w:val="1"/>
    <w:autoRedefine/>
    <w:qFormat/>
    <w:uiPriority w:val="0"/>
    <w:pPr>
      <w:ind w:firstLine="200" w:firstLineChars="200"/>
    </w:pPr>
    <w:rPr>
      <w:color w:val="000000"/>
      <w:sz w:val="24"/>
      <w:szCs w:val="20"/>
    </w:rPr>
  </w:style>
  <w:style w:type="paragraph" w:customStyle="1" w:styleId="1019">
    <w:name w:val="MTDisplayEquation"/>
    <w:basedOn w:val="1"/>
    <w:next w:val="1"/>
    <w:autoRedefine/>
    <w:qFormat/>
    <w:uiPriority w:val="0"/>
    <w:pPr>
      <w:tabs>
        <w:tab w:val="center" w:pos="4540"/>
        <w:tab w:val="right" w:pos="9080"/>
      </w:tabs>
      <w:snapToGrid w:val="0"/>
      <w:spacing w:line="360" w:lineRule="auto"/>
    </w:pPr>
    <w:rPr>
      <w:i/>
    </w:rPr>
  </w:style>
  <w:style w:type="paragraph" w:customStyle="1" w:styleId="1020">
    <w:name w:val="Plain Text1"/>
    <w:basedOn w:val="1"/>
    <w:autoRedefine/>
    <w:qFormat/>
    <w:uiPriority w:val="0"/>
    <w:pPr>
      <w:widowControl/>
      <w:autoSpaceDE w:val="0"/>
      <w:autoSpaceDN w:val="0"/>
      <w:adjustRightInd w:val="0"/>
      <w:contextualSpacing/>
      <w:jc w:val="left"/>
    </w:pPr>
    <w:rPr>
      <w:rFonts w:cs="宋体"/>
      <w:kern w:val="0"/>
      <w:szCs w:val="20"/>
    </w:rPr>
  </w:style>
  <w:style w:type="paragraph" w:customStyle="1" w:styleId="1021">
    <w:name w:val="样式3"/>
    <w:basedOn w:val="1"/>
    <w:autoRedefine/>
    <w:qFormat/>
    <w:uiPriority w:val="0"/>
    <w:pPr>
      <w:widowControl/>
      <w:jc w:val="left"/>
    </w:pPr>
    <w:rPr>
      <w:spacing w:val="-4"/>
      <w:sz w:val="24"/>
    </w:rPr>
  </w:style>
  <w:style w:type="paragraph" w:customStyle="1" w:styleId="1022">
    <w:name w:val="xl188"/>
    <w:basedOn w:val="1"/>
    <w:autoRedefine/>
    <w:qFormat/>
    <w:uiPriority w:val="0"/>
    <w:pPr>
      <w:widowControl/>
      <w:spacing w:before="100" w:beforeAutospacing="1" w:after="100" w:afterAutospacing="1"/>
      <w:jc w:val="left"/>
      <w:textAlignment w:val="center"/>
    </w:pPr>
    <w:rPr>
      <w:kern w:val="0"/>
      <w:sz w:val="12"/>
      <w:szCs w:val="12"/>
    </w:rPr>
  </w:style>
  <w:style w:type="paragraph" w:customStyle="1" w:styleId="1023">
    <w:name w:val="xl183"/>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24">
    <w:name w:val="xl197"/>
    <w:basedOn w:val="1"/>
    <w:autoRedefine/>
    <w:qFormat/>
    <w:uiPriority w:val="0"/>
    <w:pPr>
      <w:widowControl/>
      <w:pBdr>
        <w:left w:val="single" w:color="auto" w:sz="4" w:space="0"/>
        <w:bottom w:val="single" w:color="auto" w:sz="8" w:space="0"/>
        <w:right w:val="single" w:color="auto" w:sz="4" w:space="0"/>
      </w:pBdr>
      <w:spacing w:before="100" w:beforeAutospacing="1" w:after="100" w:afterAutospacing="1"/>
      <w:jc w:val="center"/>
    </w:pPr>
    <w:rPr>
      <w:rFonts w:ascii="Arial Unicode MS" w:hAnsi="Arial Unicode MS"/>
      <w:kern w:val="0"/>
    </w:rPr>
  </w:style>
  <w:style w:type="paragraph" w:customStyle="1" w:styleId="1025">
    <w:name w:val="样式 四号 首行缩进:  2 字符"/>
    <w:basedOn w:val="1"/>
    <w:autoRedefine/>
    <w:qFormat/>
    <w:uiPriority w:val="0"/>
    <w:pPr>
      <w:spacing w:line="480" w:lineRule="atLeast"/>
      <w:ind w:firstLine="200" w:firstLineChars="200"/>
    </w:pPr>
    <w:rPr>
      <w:sz w:val="24"/>
    </w:rPr>
  </w:style>
  <w:style w:type="paragraph" w:customStyle="1" w:styleId="1026">
    <w:name w:val="Char3"/>
    <w:basedOn w:val="1"/>
    <w:autoRedefine/>
    <w:qFormat/>
    <w:uiPriority w:val="0"/>
    <w:pPr>
      <w:spacing w:before="60" w:line="360" w:lineRule="auto"/>
      <w:ind w:firstLine="200" w:firstLineChars="200"/>
    </w:pPr>
    <w:rPr>
      <w:rFonts w:eastAsia="黑体"/>
      <w:sz w:val="30"/>
    </w:rPr>
  </w:style>
  <w:style w:type="paragraph" w:customStyle="1" w:styleId="1027">
    <w:name w:val="unnamed1"/>
    <w:basedOn w:val="1"/>
    <w:autoRedefine/>
    <w:qFormat/>
    <w:uiPriority w:val="0"/>
    <w:pPr>
      <w:widowControl/>
      <w:spacing w:before="100" w:beforeAutospacing="1" w:after="100" w:afterAutospacing="1" w:line="345" w:lineRule="atLeast"/>
      <w:jc w:val="left"/>
    </w:pPr>
    <w:rPr>
      <w:rFonts w:ascii="ˎ̥" w:hAnsi="ˎ̥" w:cs="宋体"/>
      <w:color w:val="000000"/>
      <w:kern w:val="0"/>
      <w:sz w:val="18"/>
      <w:szCs w:val="18"/>
    </w:rPr>
  </w:style>
  <w:style w:type="paragraph" w:customStyle="1" w:styleId="1028">
    <w:name w:val="xl97"/>
    <w:basedOn w:val="1"/>
    <w:autoRedefine/>
    <w:qFormat/>
    <w:uiPriority w:val="0"/>
    <w:pPr>
      <w:widowControl/>
      <w:pBdr>
        <w:top w:val="single" w:color="auto" w:sz="12" w:space="0"/>
        <w:righ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29">
    <w:name w:val="00000000000000"/>
    <w:basedOn w:val="1"/>
    <w:autoRedefine/>
    <w:qFormat/>
    <w:uiPriority w:val="0"/>
    <w:pPr>
      <w:adjustRightInd w:val="0"/>
      <w:snapToGrid w:val="0"/>
      <w:spacing w:line="360" w:lineRule="auto"/>
      <w:ind w:firstLine="480" w:firstLineChars="200"/>
    </w:pPr>
    <w:rPr>
      <w:rFonts w:ascii="宋体" w:hAnsi="宋体"/>
      <w:bCs/>
      <w:kern w:val="18"/>
      <w:sz w:val="24"/>
    </w:rPr>
  </w:style>
  <w:style w:type="paragraph" w:customStyle="1" w:styleId="1030">
    <w:name w:val="五号 居中"/>
    <w:basedOn w:val="1"/>
    <w:autoRedefine/>
    <w:qFormat/>
    <w:uiPriority w:val="0"/>
    <w:pPr>
      <w:snapToGrid w:val="0"/>
      <w:spacing w:line="500" w:lineRule="exact"/>
      <w:jc w:val="center"/>
    </w:pPr>
    <w:rPr>
      <w:rFonts w:cs="宋体"/>
      <w:kern w:val="0"/>
      <w:szCs w:val="20"/>
    </w:rPr>
  </w:style>
  <w:style w:type="paragraph" w:customStyle="1" w:styleId="1031">
    <w:name w:val="xl114"/>
    <w:basedOn w:val="1"/>
    <w:autoRedefine/>
    <w:qFormat/>
    <w:uiPriority w:val="0"/>
    <w:pPr>
      <w:widowControl/>
      <w:pBdr>
        <w:left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32">
    <w:name w:val="xl93"/>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33">
    <w:name w:val="样式 标题 21.1标题 21.1标题2标题 2 Char1节_Heading 2标2 + 段前: 0.5 行..."/>
    <w:basedOn w:val="7"/>
    <w:autoRedefine/>
    <w:qFormat/>
    <w:uiPriority w:val="0"/>
    <w:pPr>
      <w:keepNext w:val="0"/>
      <w:adjustRightInd w:val="0"/>
      <w:snapToGrid w:val="0"/>
      <w:spacing w:before="120" w:beforeLines="50" w:after="120" w:afterLines="50" w:line="240" w:lineRule="auto"/>
      <w:ind w:left="576" w:hanging="576"/>
      <w:contextualSpacing/>
      <w:jc w:val="left"/>
    </w:pPr>
    <w:rPr>
      <w:rFonts w:ascii="宋体" w:hAnsi="宋体" w:eastAsia="宋体" w:cs="宋体"/>
      <w:bCs w:val="0"/>
      <w:color w:val="000000"/>
      <w:sz w:val="24"/>
      <w:szCs w:val="20"/>
    </w:rPr>
  </w:style>
  <w:style w:type="paragraph" w:customStyle="1" w:styleId="1034">
    <w:name w:val="样式 样式 首行缩进:  2 字符1 + 首行缩进:  2 字符"/>
    <w:basedOn w:val="1"/>
    <w:autoRedefine/>
    <w:qFormat/>
    <w:uiPriority w:val="0"/>
    <w:pPr>
      <w:adjustRightInd w:val="0"/>
      <w:spacing w:line="360" w:lineRule="auto"/>
      <w:ind w:firstLine="519" w:firstLineChars="200"/>
    </w:pPr>
    <w:rPr>
      <w:rFonts w:cs="宋体"/>
      <w:snapToGrid w:val="0"/>
      <w:kern w:val="0"/>
      <w:sz w:val="28"/>
      <w:szCs w:val="28"/>
    </w:rPr>
  </w:style>
  <w:style w:type="paragraph" w:customStyle="1" w:styleId="1035">
    <w:name w:val="Char Char1 Char"/>
    <w:basedOn w:val="1"/>
    <w:autoRedefine/>
    <w:qFormat/>
    <w:uiPriority w:val="0"/>
    <w:pPr>
      <w:spacing w:line="360" w:lineRule="auto"/>
      <w:ind w:firstLine="200" w:firstLineChars="200"/>
    </w:pPr>
  </w:style>
  <w:style w:type="paragraph" w:customStyle="1" w:styleId="1036">
    <w:name w:val="xl6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37">
    <w:name w:val="xl147"/>
    <w:basedOn w:val="1"/>
    <w:autoRedefine/>
    <w:qFormat/>
    <w:uiPriority w:val="0"/>
    <w:pPr>
      <w:widowControl/>
      <w:spacing w:before="100" w:beforeAutospacing="1" w:after="100" w:afterAutospacing="1"/>
      <w:jc w:val="center"/>
    </w:pPr>
    <w:rPr>
      <w:rFonts w:ascii="Arial Unicode MS" w:hAnsi="Arial Unicode MS"/>
      <w:kern w:val="0"/>
    </w:rPr>
  </w:style>
  <w:style w:type="paragraph" w:customStyle="1" w:styleId="1038">
    <w:name w:val="图框"/>
    <w:basedOn w:val="1"/>
    <w:autoRedefine/>
    <w:qFormat/>
    <w:uiPriority w:val="0"/>
    <w:pPr>
      <w:jc w:val="center"/>
    </w:pPr>
    <w:rPr>
      <w:szCs w:val="15"/>
    </w:rPr>
  </w:style>
  <w:style w:type="paragraph" w:customStyle="1" w:styleId="1039">
    <w:name w:val="xl63"/>
    <w:basedOn w:val="1"/>
    <w:autoRedefine/>
    <w:qFormat/>
    <w:uiPriority w:val="0"/>
    <w:pPr>
      <w:widowControl/>
      <w:spacing w:before="100" w:after="100"/>
      <w:jc w:val="center"/>
      <w:textAlignment w:val="center"/>
    </w:pPr>
    <w:rPr>
      <w:rFonts w:hint="eastAsia" w:ascii="黑体" w:hAnsi="宋体" w:eastAsia="黑体"/>
      <w:kern w:val="0"/>
      <w:sz w:val="24"/>
      <w:szCs w:val="20"/>
    </w:rPr>
  </w:style>
  <w:style w:type="paragraph" w:customStyle="1" w:styleId="1040">
    <w:name w:val="样式1"/>
    <w:basedOn w:val="10"/>
    <w:autoRedefine/>
    <w:qFormat/>
    <w:uiPriority w:val="0"/>
    <w:pPr>
      <w:keepNext w:val="0"/>
      <w:keepLines w:val="0"/>
      <w:tabs>
        <w:tab w:val="clear" w:pos="1008"/>
      </w:tabs>
      <w:spacing w:before="0" w:after="0" w:line="360" w:lineRule="exact"/>
      <w:ind w:left="0" w:firstLine="0"/>
      <w:jc w:val="center"/>
      <w:outlineLvl w:val="9"/>
    </w:pPr>
    <w:rPr>
      <w:rFonts w:ascii="宋体" w:hAnsi="宋体"/>
      <w:b w:val="0"/>
      <w:sz w:val="18"/>
      <w:szCs w:val="21"/>
    </w:rPr>
  </w:style>
  <w:style w:type="paragraph" w:styleId="1041">
    <w:name w:val="List Paragraph"/>
    <w:basedOn w:val="1"/>
    <w:autoRedefine/>
    <w:qFormat/>
    <w:uiPriority w:val="34"/>
    <w:pPr>
      <w:ind w:firstLine="420" w:firstLineChars="200"/>
    </w:pPr>
    <w:rPr>
      <w:szCs w:val="20"/>
    </w:rPr>
  </w:style>
  <w:style w:type="paragraph" w:customStyle="1" w:styleId="1042">
    <w:name w:val="xl101"/>
    <w:basedOn w:val="1"/>
    <w:autoRedefine/>
    <w:qFormat/>
    <w:uiPriority w:val="0"/>
    <w:pPr>
      <w:widowControl/>
      <w:pBdr>
        <w:left w:val="single" w:color="auto" w:sz="4" w:space="0"/>
        <w:right w:val="single" w:color="auto" w:sz="12"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043">
    <w:name w:val="纯文本 + Times New Roman"/>
    <w:basedOn w:val="45"/>
    <w:autoRedefine/>
    <w:qFormat/>
    <w:uiPriority w:val="0"/>
    <w:pPr>
      <w:pBdr>
        <w:bottom w:val="single" w:color="auto" w:sz="6" w:space="1"/>
      </w:pBdr>
      <w:jc w:val="center"/>
    </w:pPr>
    <w:rPr>
      <w:rFonts w:ascii="Times New Roman" w:hAnsi="Times New Roman" w:cs="Times New Roman"/>
    </w:rPr>
  </w:style>
  <w:style w:type="paragraph" w:customStyle="1" w:styleId="1044">
    <w:name w:val="font12"/>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045">
    <w:name w:val="xl40"/>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046">
    <w:name w:val="xl150"/>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047">
    <w:name w:val="main"/>
    <w:basedOn w:val="1"/>
    <w:autoRedefine/>
    <w:qFormat/>
    <w:uiPriority w:val="0"/>
    <w:pPr>
      <w:widowControl/>
      <w:spacing w:before="100" w:beforeAutospacing="1" w:after="100" w:afterAutospacing="1"/>
      <w:jc w:val="left"/>
    </w:pPr>
    <w:rPr>
      <w:rFonts w:ascii="宋体" w:hAnsi="宋体" w:cs="宋体"/>
      <w:color w:val="000000"/>
      <w:kern w:val="0"/>
      <w:sz w:val="24"/>
    </w:rPr>
  </w:style>
  <w:style w:type="paragraph" w:customStyle="1" w:styleId="1048">
    <w:name w:val="工艺1"/>
    <w:basedOn w:val="1"/>
    <w:autoRedefine/>
    <w:qFormat/>
    <w:uiPriority w:val="0"/>
    <w:pPr>
      <w:adjustRightInd w:val="0"/>
      <w:snapToGrid w:val="0"/>
      <w:spacing w:line="360" w:lineRule="auto"/>
    </w:pPr>
    <w:rPr>
      <w:rFonts w:hint="eastAsia" w:ascii="宋体"/>
      <w:b/>
      <w:sz w:val="28"/>
      <w:szCs w:val="20"/>
    </w:rPr>
  </w:style>
  <w:style w:type="paragraph" w:customStyle="1" w:styleId="1049">
    <w:name w:val="默认段落字体 Para Char Char Char Char Char Char Char Char Char Char Char Char Char"/>
    <w:basedOn w:val="1"/>
    <w:autoRedefine/>
    <w:qFormat/>
    <w:uiPriority w:val="0"/>
  </w:style>
  <w:style w:type="paragraph" w:customStyle="1" w:styleId="1050">
    <w:name w:val="图注"/>
    <w:basedOn w:val="1"/>
    <w:next w:val="1"/>
    <w:autoRedefine/>
    <w:qFormat/>
    <w:uiPriority w:val="0"/>
    <w:pPr>
      <w:spacing w:before="120" w:line="320" w:lineRule="atLeast"/>
      <w:ind w:left="7" w:leftChars="-27" w:hanging="72" w:hangingChars="30"/>
      <w:jc w:val="center"/>
    </w:pPr>
    <w:rPr>
      <w:rFonts w:ascii="宋体" w:hAnsi="宋体"/>
      <w:bCs/>
      <w:color w:val="000000"/>
      <w:kern w:val="0"/>
      <w:sz w:val="24"/>
    </w:rPr>
  </w:style>
  <w:style w:type="paragraph" w:customStyle="1" w:styleId="1051">
    <w:name w:val="表格文字-居中"/>
    <w:basedOn w:val="1"/>
    <w:next w:val="1"/>
    <w:autoRedefine/>
    <w:qFormat/>
    <w:uiPriority w:val="0"/>
    <w:pPr>
      <w:jc w:val="center"/>
    </w:pPr>
    <w:rPr>
      <w:rFonts w:ascii="宋体"/>
      <w:sz w:val="24"/>
    </w:rPr>
  </w:style>
  <w:style w:type="paragraph" w:customStyle="1" w:styleId="1052">
    <w:name w:val="报告标题2"/>
    <w:basedOn w:val="7"/>
    <w:autoRedefine/>
    <w:qFormat/>
    <w:uiPriority w:val="0"/>
    <w:pPr>
      <w:tabs>
        <w:tab w:val="left" w:pos="840"/>
      </w:tabs>
      <w:spacing w:line="360" w:lineRule="auto"/>
      <w:ind w:left="840"/>
    </w:pPr>
    <w:rPr>
      <w:rFonts w:ascii="Times New Roman" w:hAnsi="Times New Roman" w:eastAsia="宋体"/>
      <w:kern w:val="0"/>
    </w:rPr>
  </w:style>
  <w:style w:type="paragraph" w:customStyle="1" w:styleId="1053">
    <w:name w:val="xl72"/>
    <w:basedOn w:val="1"/>
    <w:autoRedefine/>
    <w:qFormat/>
    <w:uiPriority w:val="0"/>
    <w:pPr>
      <w:widowControl/>
      <w:spacing w:before="100" w:beforeAutospacing="1" w:after="100" w:afterAutospacing="1"/>
      <w:jc w:val="left"/>
    </w:pPr>
    <w:rPr>
      <w:rFonts w:ascii="宋体" w:hAnsi="宋体"/>
      <w:b/>
      <w:bCs/>
      <w:kern w:val="0"/>
      <w:sz w:val="24"/>
    </w:rPr>
  </w:style>
  <w:style w:type="paragraph" w:customStyle="1" w:styleId="1054">
    <w:name w:val="表格内容 + 左对齐"/>
    <w:basedOn w:val="324"/>
    <w:autoRedefine/>
    <w:qFormat/>
    <w:uiPriority w:val="0"/>
    <w:rPr>
      <w:rFonts w:cs="宋体"/>
      <w:szCs w:val="20"/>
    </w:rPr>
  </w:style>
  <w:style w:type="paragraph" w:customStyle="1" w:styleId="1055">
    <w:name w:val="样式 四号 首行缩进:  2 字符 段前: 5 磅 段后: 5 磅 行距: 单倍行距"/>
    <w:basedOn w:val="1"/>
    <w:autoRedefine/>
    <w:qFormat/>
    <w:uiPriority w:val="0"/>
    <w:pPr>
      <w:spacing w:before="100" w:beforeAutospacing="1" w:after="100" w:afterAutospacing="1"/>
      <w:ind w:firstLine="200" w:firstLineChars="200"/>
    </w:pPr>
    <w:rPr>
      <w:rFonts w:cs="宋体"/>
      <w:sz w:val="28"/>
      <w:szCs w:val="20"/>
    </w:rPr>
  </w:style>
  <w:style w:type="paragraph" w:customStyle="1" w:styleId="1056">
    <w:name w:val="xl37"/>
    <w:basedOn w:val="1"/>
    <w:autoRedefine/>
    <w:qFormat/>
    <w:uiPriority w:val="0"/>
    <w:pPr>
      <w:widowControl/>
      <w:spacing w:before="100" w:beforeAutospacing="1" w:after="100" w:afterAutospacing="1"/>
      <w:jc w:val="left"/>
    </w:pPr>
    <w:rPr>
      <w:rFonts w:ascii="Arial" w:hAnsi="Arial" w:cs="Arial"/>
      <w:kern w:val="0"/>
      <w:sz w:val="24"/>
    </w:rPr>
  </w:style>
  <w:style w:type="paragraph" w:customStyle="1" w:styleId="1057">
    <w:name w:val="xl70"/>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058">
    <w:name w:val="样式36"/>
    <w:basedOn w:val="1059"/>
    <w:autoRedefine/>
    <w:qFormat/>
    <w:uiPriority w:val="0"/>
    <w:pPr>
      <w:tabs>
        <w:tab w:val="left" w:pos="540"/>
        <w:tab w:val="left" w:pos="5250"/>
      </w:tabs>
      <w:ind w:firstLine="554" w:firstLineChars="198"/>
    </w:pPr>
    <w:rPr>
      <w:bCs w:val="0"/>
      <w:szCs w:val="28"/>
    </w:rPr>
  </w:style>
  <w:style w:type="paragraph" w:customStyle="1" w:styleId="1059">
    <w:name w:val="样式29"/>
    <w:basedOn w:val="1"/>
    <w:autoRedefine/>
    <w:qFormat/>
    <w:uiPriority w:val="0"/>
    <w:pPr>
      <w:tabs>
        <w:tab w:val="left" w:pos="540"/>
      </w:tabs>
      <w:ind w:firstLine="560" w:firstLineChars="200"/>
    </w:pPr>
    <w:rPr>
      <w:rFonts w:ascii="宋体" w:hAnsi="宋体"/>
      <w:bCs/>
      <w:color w:val="000000"/>
      <w:sz w:val="28"/>
    </w:rPr>
  </w:style>
  <w:style w:type="paragraph" w:customStyle="1" w:styleId="1060">
    <w:name w:val="宏福4"/>
    <w:basedOn w:val="1"/>
    <w:autoRedefine/>
    <w:qFormat/>
    <w:uiPriority w:val="0"/>
    <w:pPr>
      <w:adjustRightInd w:val="0"/>
      <w:spacing w:line="400" w:lineRule="atLeast"/>
      <w:ind w:firstLine="567"/>
      <w:jc w:val="left"/>
      <w:textAlignment w:val="baseline"/>
    </w:pPr>
    <w:rPr>
      <w:sz w:val="28"/>
      <w:szCs w:val="28"/>
    </w:rPr>
  </w:style>
  <w:style w:type="paragraph" w:customStyle="1" w:styleId="1061">
    <w:name w:val="样式 调研标题2 + 非加粗"/>
    <w:basedOn w:val="1"/>
    <w:autoRedefine/>
    <w:qFormat/>
    <w:uiPriority w:val="0"/>
    <w:pPr>
      <w:keepNext/>
      <w:keepLines/>
      <w:snapToGrid w:val="0"/>
      <w:spacing w:before="240" w:after="120" w:line="360" w:lineRule="exact"/>
      <w:outlineLvl w:val="1"/>
    </w:pPr>
    <w:rPr>
      <w:rFonts w:ascii="Arial" w:hAnsi="Arial" w:cs="宋体"/>
      <w:b/>
      <w:bCs/>
      <w:color w:val="000000"/>
      <w:sz w:val="28"/>
      <w:szCs w:val="32"/>
    </w:rPr>
  </w:style>
  <w:style w:type="paragraph" w:customStyle="1" w:styleId="1062">
    <w:name w:val="style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63">
    <w:name w:val="1.1.1.1"/>
    <w:basedOn w:val="1"/>
    <w:autoRedefine/>
    <w:qFormat/>
    <w:uiPriority w:val="0"/>
    <w:pPr>
      <w:spacing w:line="600" w:lineRule="exact"/>
      <w:outlineLvl w:val="0"/>
    </w:pPr>
    <w:rPr>
      <w:rFonts w:ascii="黑体" w:eastAsia="黑体"/>
      <w:sz w:val="24"/>
    </w:rPr>
  </w:style>
  <w:style w:type="paragraph" w:customStyle="1" w:styleId="1064">
    <w:name w:val="xl15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065">
    <w:name w:val="封面标准号1"/>
    <w:autoRedefine/>
    <w:qFormat/>
    <w:uiPriority w:val="0"/>
    <w:pPr>
      <w:widowControl w:val="0"/>
      <w:kinsoku w:val="0"/>
      <w:overflowPunct w:val="0"/>
      <w:autoSpaceDE w:val="0"/>
      <w:autoSpaceDN w:val="0"/>
      <w:spacing w:before="308"/>
      <w:jc w:val="right"/>
      <w:textAlignment w:val="center"/>
    </w:pPr>
    <w:rPr>
      <w:rFonts w:ascii="Times New Roman" w:hAnsi="Times New Roman" w:eastAsia="宋体" w:cs="Times New Roman"/>
      <w:sz w:val="28"/>
      <w:lang w:val="en-US" w:eastAsia="zh-CN" w:bidi="ar-SA"/>
    </w:rPr>
  </w:style>
  <w:style w:type="paragraph" w:customStyle="1" w:styleId="1066">
    <w:name w:val="font15"/>
    <w:basedOn w:val="1"/>
    <w:autoRedefine/>
    <w:qFormat/>
    <w:uiPriority w:val="0"/>
    <w:pPr>
      <w:widowControl/>
      <w:spacing w:before="100" w:beforeAutospacing="1" w:after="100" w:afterAutospacing="1"/>
      <w:jc w:val="left"/>
    </w:pPr>
    <w:rPr>
      <w:rFonts w:ascii="Tahoma" w:hAnsi="Tahoma" w:cs="Tahoma"/>
      <w:b/>
      <w:bCs/>
      <w:color w:val="000000"/>
      <w:kern w:val="0"/>
      <w:sz w:val="16"/>
      <w:szCs w:val="16"/>
    </w:rPr>
  </w:style>
  <w:style w:type="paragraph" w:customStyle="1" w:styleId="1067">
    <w:name w:val="Char6"/>
    <w:basedOn w:val="1"/>
    <w:autoRedefine/>
    <w:qFormat/>
    <w:uiPriority w:val="0"/>
  </w:style>
  <w:style w:type="paragraph" w:customStyle="1" w:styleId="1068">
    <w:name w:val=".66l.66l"/>
    <w:basedOn w:val="1"/>
    <w:autoRedefine/>
    <w:semiHidden/>
    <w:qFormat/>
    <w:uiPriority w:val="0"/>
    <w:pPr>
      <w:autoSpaceDE w:val="0"/>
      <w:autoSpaceDN w:val="0"/>
      <w:adjustRightInd w:val="0"/>
      <w:spacing w:line="312" w:lineRule="atLeast"/>
      <w:ind w:firstLine="570"/>
      <w:textAlignment w:val="baseline"/>
    </w:pPr>
    <w:rPr>
      <w:rFonts w:ascii="宋体"/>
      <w:kern w:val="0"/>
      <w:sz w:val="28"/>
      <w:szCs w:val="20"/>
    </w:rPr>
  </w:style>
  <w:style w:type="paragraph" w:customStyle="1" w:styleId="1069">
    <w:name w:val="环表头"/>
    <w:basedOn w:val="1"/>
    <w:autoRedefine/>
    <w:qFormat/>
    <w:uiPriority w:val="0"/>
    <w:pPr>
      <w:widowControl/>
      <w:tabs>
        <w:tab w:val="left" w:pos="0"/>
      </w:tabs>
      <w:adjustRightInd w:val="0"/>
      <w:spacing w:beforeLines="50" w:afterLines="50" w:line="400" w:lineRule="exact"/>
      <w:ind w:right="-266"/>
      <w:jc w:val="center"/>
      <w:textAlignment w:val="baseline"/>
    </w:pPr>
    <w:rPr>
      <w:rFonts w:ascii="宋体" w:hAnsi="宋体"/>
      <w:b/>
      <w:kern w:val="0"/>
      <w:sz w:val="24"/>
    </w:rPr>
  </w:style>
  <w:style w:type="paragraph" w:customStyle="1" w:styleId="1070">
    <w:name w:val="Char Char Char Char Char Char Char Char Char Char Char Char Char2"/>
    <w:basedOn w:val="1"/>
    <w:autoRedefine/>
    <w:qFormat/>
    <w:uiPriority w:val="0"/>
    <w:pPr>
      <w:spacing w:line="360" w:lineRule="auto"/>
      <w:ind w:firstLine="200" w:firstLineChars="200"/>
    </w:pPr>
    <w:rPr>
      <w:rFonts w:ascii="宋体" w:hAnsi="宋体" w:cs="宋体"/>
      <w:sz w:val="24"/>
    </w:rPr>
  </w:style>
  <w:style w:type="paragraph" w:customStyle="1" w:styleId="1071">
    <w:name w:val="xl84"/>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2">
    <w:name w:val="样式 标题 1 + 首行缩进:  2.5 字符"/>
    <w:basedOn w:val="6"/>
    <w:autoRedefine/>
    <w:qFormat/>
    <w:uiPriority w:val="0"/>
    <w:pPr>
      <w:keepNext w:val="0"/>
      <w:tabs>
        <w:tab w:val="left" w:pos="390"/>
      </w:tabs>
      <w:overflowPunct/>
      <w:snapToGrid/>
      <w:spacing w:before="100" w:after="100" w:line="240" w:lineRule="auto"/>
      <w:ind w:left="390" w:hanging="390" w:firstLineChars="200"/>
    </w:pPr>
    <w:rPr>
      <w:rFonts w:ascii="Calibri" w:hAnsi="Calibri" w:eastAsia="楷体_GB2312"/>
      <w:color w:val="auto"/>
      <w:sz w:val="28"/>
      <w:szCs w:val="28"/>
    </w:rPr>
  </w:style>
  <w:style w:type="paragraph" w:customStyle="1" w:styleId="1073">
    <w:name w:val="xl64"/>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074">
    <w:name w:val="xl94"/>
    <w:basedOn w:val="1"/>
    <w:autoRedefine/>
    <w:qFormat/>
    <w:uiPriority w:val="0"/>
    <w:pPr>
      <w:widowControl/>
      <w:pBdr>
        <w:left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75">
    <w:name w:val="unnamed2"/>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76">
    <w:name w:val="封面正文"/>
    <w:autoRedefine/>
    <w:qFormat/>
    <w:uiPriority w:val="0"/>
    <w:pPr>
      <w:jc w:val="both"/>
    </w:pPr>
    <w:rPr>
      <w:rFonts w:ascii="Times New Roman" w:hAnsi="Times New Roman" w:eastAsia="宋体" w:cs="Times New Roman"/>
      <w:lang w:val="en-US" w:eastAsia="zh-CN" w:bidi="ar-SA"/>
    </w:rPr>
  </w:style>
  <w:style w:type="paragraph" w:customStyle="1" w:styleId="1077">
    <w:name w:val="样式 样式 样式 标题 3东明_小节H3条标题1.1.1二级节名h33rd level3l3CTHeading 3 - ... ..."/>
    <w:basedOn w:val="773"/>
    <w:autoRedefine/>
    <w:qFormat/>
    <w:uiPriority w:val="0"/>
    <w:pPr>
      <w:spacing w:after="0"/>
    </w:pPr>
  </w:style>
  <w:style w:type="paragraph" w:customStyle="1" w:styleId="1078">
    <w:name w:val="样式 标题 4 + 黑色 左侧:  -0.01 厘米 首行缩进:  0.01 厘米"/>
    <w:basedOn w:val="9"/>
    <w:autoRedefine/>
    <w:qFormat/>
    <w:uiPriority w:val="0"/>
    <w:pPr>
      <w:tabs>
        <w:tab w:val="left" w:pos="1080"/>
        <w:tab w:val="left" w:pos="1680"/>
      </w:tabs>
      <w:spacing w:before="0" w:beforeLines="50" w:after="0" w:line="312" w:lineRule="auto"/>
      <w:ind w:left="864" w:hanging="864" w:firstLineChars="250"/>
      <w:jc w:val="left"/>
    </w:pPr>
    <w:rPr>
      <w:rFonts w:ascii="仿宋_GB2312" w:hAnsi="Arial" w:eastAsia="仿宋_GB2312" w:cs="宋体"/>
      <w:b w:val="0"/>
      <w:bCs w:val="0"/>
      <w:color w:val="000000"/>
      <w:szCs w:val="20"/>
    </w:rPr>
  </w:style>
  <w:style w:type="paragraph" w:customStyle="1" w:styleId="1079">
    <w:name w:val="徐正文"/>
    <w:basedOn w:val="1"/>
    <w:autoRedefine/>
    <w:qFormat/>
    <w:uiPriority w:val="0"/>
    <w:pPr>
      <w:adjustRightInd w:val="0"/>
      <w:snapToGrid w:val="0"/>
      <w:spacing w:line="500" w:lineRule="atLeast"/>
      <w:ind w:firstLine="200" w:firstLineChars="200"/>
    </w:pPr>
    <w:rPr>
      <w:rFonts w:ascii="宋体" w:hAnsi="宋体"/>
      <w:bCs/>
      <w:sz w:val="24"/>
    </w:rPr>
  </w:style>
  <w:style w:type="paragraph" w:customStyle="1" w:styleId="1080">
    <w:name w:val="样式110"/>
    <w:basedOn w:val="1081"/>
    <w:autoRedefine/>
    <w:qFormat/>
    <w:uiPriority w:val="0"/>
    <w:pPr>
      <w:adjustRightInd w:val="0"/>
    </w:pPr>
  </w:style>
  <w:style w:type="paragraph" w:customStyle="1" w:styleId="1081">
    <w:name w:val="图框文字"/>
    <w:basedOn w:val="1"/>
    <w:autoRedefine/>
    <w:qFormat/>
    <w:uiPriority w:val="0"/>
    <w:pPr>
      <w:jc w:val="center"/>
      <w:textAlignment w:val="center"/>
    </w:pPr>
  </w:style>
  <w:style w:type="paragraph" w:customStyle="1" w:styleId="1082">
    <w:name w:val="xl86"/>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083">
    <w:name w:val="xl189"/>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rPr>
  </w:style>
  <w:style w:type="paragraph" w:customStyle="1" w:styleId="1084">
    <w:name w:val="xl74"/>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085">
    <w:name w:val="font8"/>
    <w:basedOn w:val="1"/>
    <w:autoRedefine/>
    <w:qFormat/>
    <w:uiPriority w:val="0"/>
    <w:pPr>
      <w:widowControl/>
      <w:spacing w:before="100" w:beforeAutospacing="1" w:after="100" w:afterAutospacing="1"/>
      <w:jc w:val="left"/>
    </w:pPr>
    <w:rPr>
      <w:rFonts w:ascii="Arial" w:hAnsi="Arial" w:cs="Arial"/>
      <w:b/>
      <w:bCs/>
      <w:kern w:val="0"/>
      <w:sz w:val="24"/>
    </w:rPr>
  </w:style>
  <w:style w:type="paragraph" w:customStyle="1" w:styleId="1086">
    <w:name w:val="Char1 Char Char Char Char Char Char"/>
    <w:basedOn w:val="1"/>
    <w:autoRedefine/>
    <w:qFormat/>
    <w:uiPriority w:val="0"/>
    <w:pPr>
      <w:widowControl/>
      <w:contextualSpacing/>
      <w:jc w:val="left"/>
    </w:pPr>
    <w:rPr>
      <w:rFonts w:cs="宋体"/>
      <w:kern w:val="0"/>
    </w:rPr>
  </w:style>
  <w:style w:type="paragraph" w:customStyle="1" w:styleId="1087">
    <w:name w:val="xl185"/>
    <w:basedOn w:val="1"/>
    <w:autoRedefine/>
    <w:qFormat/>
    <w:uiPriority w:val="0"/>
    <w:pPr>
      <w:widowControl/>
      <w:pBdr>
        <w:bottom w:val="single" w:color="auto" w:sz="12" w:space="0"/>
        <w:right w:val="single" w:color="auto" w:sz="4"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088">
    <w:name w:val="表格文字-左对齐"/>
    <w:basedOn w:val="1"/>
    <w:next w:val="1"/>
    <w:autoRedefine/>
    <w:qFormat/>
    <w:uiPriority w:val="0"/>
    <w:rPr>
      <w:rFonts w:ascii="宋体"/>
      <w:sz w:val="24"/>
    </w:rPr>
  </w:style>
  <w:style w:type="paragraph" w:customStyle="1" w:styleId="1089">
    <w:name w:val="目录1"/>
    <w:basedOn w:val="56"/>
    <w:autoRedefine/>
    <w:qFormat/>
    <w:uiPriority w:val="0"/>
    <w:pPr>
      <w:keepNext/>
      <w:widowControl/>
      <w:tabs>
        <w:tab w:val="right" w:leader="dot" w:pos="8160"/>
        <w:tab w:val="right" w:leader="dot" w:pos="8280"/>
        <w:tab w:val="right" w:leader="dot" w:pos="8820"/>
      </w:tabs>
      <w:snapToGrid/>
      <w:spacing w:beforeLines="50" w:afterLines="50" w:line="480" w:lineRule="exact"/>
    </w:pPr>
    <w:rPr>
      <w:rFonts w:ascii="宋体" w:hAnsi="宋体"/>
      <w:b w:val="0"/>
      <w:bCs w:val="0"/>
      <w:kern w:val="0"/>
      <w:sz w:val="30"/>
      <w:szCs w:val="24"/>
      <w:lang w:val="zh-CN" w:bidi="en-US"/>
    </w:rPr>
  </w:style>
  <w:style w:type="paragraph" w:customStyle="1" w:styleId="1090">
    <w:name w:val="默认段落字体 Para Char"/>
    <w:basedOn w:val="1"/>
    <w:next w:val="1"/>
    <w:autoRedefine/>
    <w:qFormat/>
    <w:uiPriority w:val="0"/>
    <w:pPr>
      <w:spacing w:line="360" w:lineRule="auto"/>
      <w:ind w:firstLine="200" w:firstLineChars="200"/>
    </w:pPr>
    <w:rPr>
      <w:rFonts w:ascii="宋体" w:hAnsi="宋体" w:cs="宋体"/>
      <w:sz w:val="24"/>
    </w:rPr>
  </w:style>
  <w:style w:type="paragraph" w:customStyle="1" w:styleId="1091">
    <w:name w:val="菏泽-标题 3"/>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092">
    <w:name w:val="xl17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rPr>
  </w:style>
  <w:style w:type="paragraph" w:customStyle="1" w:styleId="1093">
    <w:name w:val="heading"/>
    <w:basedOn w:val="1"/>
    <w:next w:val="1"/>
    <w:autoRedefine/>
    <w:qFormat/>
    <w:uiPriority w:val="0"/>
    <w:pPr>
      <w:keepNext/>
      <w:keepLines/>
      <w:tabs>
        <w:tab w:val="left" w:pos="576"/>
      </w:tabs>
      <w:spacing w:line="360" w:lineRule="auto"/>
      <w:ind w:left="576"/>
      <w:outlineLvl w:val="1"/>
    </w:pPr>
    <w:rPr>
      <w:rFonts w:ascii="宋体" w:hAnsi="Arial Black" w:cs="宋体"/>
      <w:sz w:val="24"/>
    </w:rPr>
  </w:style>
  <w:style w:type="paragraph" w:customStyle="1" w:styleId="1094">
    <w:name w:val="页脚2"/>
    <w:basedOn w:val="53"/>
    <w:autoRedefine/>
    <w:qFormat/>
    <w:uiPriority w:val="0"/>
    <w:pPr>
      <w:pBdr>
        <w:top w:val="single" w:color="auto" w:sz="4" w:space="1"/>
      </w:pBdr>
      <w:wordWrap w:val="0"/>
      <w:snapToGrid/>
      <w:ind w:right="190"/>
      <w:jc w:val="right"/>
    </w:pPr>
    <w:rPr>
      <w:rFonts w:ascii="宋体" w:hAnsi="宋体"/>
      <w:kern w:val="2"/>
      <w:szCs w:val="18"/>
    </w:rPr>
  </w:style>
  <w:style w:type="paragraph" w:customStyle="1" w:styleId="1095">
    <w:name w:val="甲乙酮2"/>
    <w:basedOn w:val="393"/>
    <w:next w:val="1"/>
    <w:autoRedefine/>
    <w:qFormat/>
    <w:uiPriority w:val="0"/>
  </w:style>
  <w:style w:type="paragraph" w:customStyle="1" w:styleId="1096">
    <w:name w:val="xl182"/>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097">
    <w:name w:val="表格式"/>
    <w:basedOn w:val="63"/>
    <w:autoRedefine/>
    <w:qFormat/>
    <w:uiPriority w:val="0"/>
    <w:pPr>
      <w:snapToGrid/>
      <w:spacing w:line="340" w:lineRule="exact"/>
      <w:jc w:val="center"/>
    </w:pPr>
    <w:rPr>
      <w:rFonts w:ascii="Courier New" w:hAnsi="Courier New"/>
    </w:rPr>
  </w:style>
  <w:style w:type="paragraph" w:customStyle="1" w:styleId="1098">
    <w:name w:val="xl68"/>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099">
    <w:name w:val="xl11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100">
    <w:name w:val="Char1 Char Char Char Char Char Char Char Char Char"/>
    <w:basedOn w:val="1"/>
    <w:autoRedefine/>
    <w:qFormat/>
    <w:uiPriority w:val="0"/>
    <w:rPr>
      <w:sz w:val="24"/>
    </w:rPr>
  </w:style>
  <w:style w:type="paragraph" w:customStyle="1" w:styleId="1101">
    <w:name w:val="xl136"/>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102">
    <w:name w:val="Char Char Char Char Char Char1 Char Char Char Char"/>
    <w:basedOn w:val="1"/>
    <w:autoRedefine/>
    <w:qFormat/>
    <w:uiPriority w:val="0"/>
    <w:rPr>
      <w:sz w:val="24"/>
    </w:rPr>
  </w:style>
  <w:style w:type="paragraph" w:customStyle="1" w:styleId="1103">
    <w:name w:val="xl39"/>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04">
    <w:name w:val="节标题"/>
    <w:basedOn w:val="1"/>
    <w:next w:val="1"/>
    <w:autoRedefine/>
    <w:qFormat/>
    <w:uiPriority w:val="0"/>
    <w:pPr>
      <w:widowControl/>
      <w:spacing w:line="578" w:lineRule="atLeast"/>
      <w:jc w:val="center"/>
      <w:textAlignment w:val="baseline"/>
    </w:pPr>
    <w:rPr>
      <w:color w:val="000000"/>
      <w:kern w:val="0"/>
      <w:sz w:val="28"/>
      <w:szCs w:val="20"/>
      <w:u w:color="000000"/>
    </w:rPr>
  </w:style>
  <w:style w:type="paragraph" w:customStyle="1" w:styleId="1105">
    <w:name w:val="表格内容2"/>
    <w:basedOn w:val="324"/>
    <w:autoRedefine/>
    <w:qFormat/>
    <w:uiPriority w:val="0"/>
    <w:pPr>
      <w:overflowPunct w:val="0"/>
      <w:autoSpaceDE/>
      <w:autoSpaceDN/>
      <w:snapToGrid w:val="0"/>
      <w:textAlignment w:val="baseline"/>
    </w:pPr>
    <w:rPr>
      <w:rFonts w:cs="Arial"/>
      <w:color w:val="000000"/>
      <w:szCs w:val="24"/>
    </w:rPr>
  </w:style>
  <w:style w:type="paragraph" w:customStyle="1" w:styleId="1106">
    <w:name w:val="bh1"/>
    <w:basedOn w:val="1"/>
    <w:autoRedefine/>
    <w:qFormat/>
    <w:uiPriority w:val="0"/>
    <w:pPr>
      <w:widowControl/>
      <w:jc w:val="left"/>
    </w:pPr>
    <w:rPr>
      <w:rFonts w:ascii="宋体" w:hAnsi="宋体" w:cs="宋体"/>
      <w:kern w:val="0"/>
      <w:sz w:val="24"/>
    </w:rPr>
  </w:style>
  <w:style w:type="paragraph" w:customStyle="1" w:styleId="1107">
    <w:name w:val="xl127"/>
    <w:basedOn w:val="1"/>
    <w:autoRedefine/>
    <w:qFormat/>
    <w:uiPriority w:val="0"/>
    <w:pPr>
      <w:widowControl/>
      <w:pBdr>
        <w:top w:val="single" w:color="auto" w:sz="8"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08">
    <w:name w:val="中文报告书样式"/>
    <w:basedOn w:val="1"/>
    <w:autoRedefine/>
    <w:qFormat/>
    <w:uiPriority w:val="0"/>
    <w:pPr>
      <w:adjustRightInd w:val="0"/>
      <w:spacing w:line="480" w:lineRule="atLeast"/>
      <w:ind w:firstLine="482"/>
      <w:textAlignment w:val="baseline"/>
    </w:pPr>
    <w:rPr>
      <w:kern w:val="24"/>
      <w:sz w:val="24"/>
      <w:szCs w:val="20"/>
    </w:rPr>
  </w:style>
  <w:style w:type="paragraph" w:customStyle="1" w:styleId="1109">
    <w:name w:val="xl121"/>
    <w:basedOn w:val="1"/>
    <w:autoRedefine/>
    <w:qFormat/>
    <w:uiPriority w:val="0"/>
    <w:pPr>
      <w:widowControl/>
      <w:spacing w:before="100" w:beforeAutospacing="1" w:after="100" w:afterAutospacing="1"/>
      <w:jc w:val="left"/>
    </w:pPr>
    <w:rPr>
      <w:rFonts w:ascii="Arial Unicode MS" w:hAnsi="Arial Unicode MS"/>
      <w:kern w:val="0"/>
      <w:sz w:val="16"/>
      <w:szCs w:val="16"/>
    </w:rPr>
  </w:style>
  <w:style w:type="paragraph" w:customStyle="1" w:styleId="1110">
    <w:name w:val="样式 上标"/>
    <w:basedOn w:val="685"/>
    <w:next w:val="685"/>
    <w:autoRedefine/>
    <w:qFormat/>
    <w:uiPriority w:val="0"/>
    <w:pPr>
      <w:spacing w:before="0" w:after="0" w:line="320" w:lineRule="exact"/>
      <w:ind w:firstLine="200"/>
    </w:pPr>
    <w:rPr>
      <w:caps/>
      <w:szCs w:val="36"/>
    </w:rPr>
  </w:style>
  <w:style w:type="paragraph" w:customStyle="1" w:styleId="1111">
    <w:name w:val="表内5S"/>
    <w:basedOn w:val="1"/>
    <w:autoRedefine/>
    <w:qFormat/>
    <w:uiPriority w:val="0"/>
    <w:pPr>
      <w:spacing w:line="300" w:lineRule="atLeast"/>
      <w:jc w:val="center"/>
    </w:pPr>
    <w:rPr>
      <w:rFonts w:eastAsia="方正宋三简体"/>
      <w:szCs w:val="20"/>
    </w:rPr>
  </w:style>
  <w:style w:type="paragraph" w:customStyle="1" w:styleId="1112">
    <w:name w:val="xl178"/>
    <w:basedOn w:val="1"/>
    <w:autoRedefine/>
    <w:qFormat/>
    <w:uiPriority w:val="0"/>
    <w:pPr>
      <w:widowControl/>
      <w:spacing w:before="100" w:beforeAutospacing="1" w:after="100" w:afterAutospacing="1"/>
      <w:jc w:val="center"/>
    </w:pPr>
    <w:rPr>
      <w:rFonts w:ascii="Arial Unicode MS" w:hAnsi="Arial Unicode MS"/>
      <w:kern w:val="0"/>
      <w:sz w:val="12"/>
      <w:szCs w:val="12"/>
    </w:rPr>
  </w:style>
  <w:style w:type="paragraph" w:customStyle="1" w:styleId="1113">
    <w:name w:val="表格内容格式"/>
    <w:basedOn w:val="1"/>
    <w:autoRedefine/>
    <w:qFormat/>
    <w:uiPriority w:val="0"/>
    <w:pPr>
      <w:adjustRightInd w:val="0"/>
      <w:spacing w:line="240" w:lineRule="atLeast"/>
      <w:jc w:val="center"/>
      <w:textAlignment w:val="baseline"/>
    </w:pPr>
    <w:rPr>
      <w:snapToGrid w:val="0"/>
      <w:color w:val="000000"/>
      <w:kern w:val="0"/>
      <w:szCs w:val="20"/>
    </w:rPr>
  </w:style>
  <w:style w:type="paragraph" w:customStyle="1" w:styleId="1114">
    <w:name w:val="xl187"/>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kern w:val="0"/>
      <w:sz w:val="16"/>
      <w:szCs w:val="16"/>
    </w:rPr>
  </w:style>
  <w:style w:type="paragraph" w:customStyle="1" w:styleId="1115">
    <w:name w:val="标题四"/>
    <w:basedOn w:val="8"/>
    <w:autoRedefine/>
    <w:qFormat/>
    <w:uiPriority w:val="0"/>
    <w:pPr>
      <w:tabs>
        <w:tab w:val="left" w:pos="0"/>
        <w:tab w:val="left" w:pos="1260"/>
      </w:tabs>
      <w:spacing w:before="0" w:after="0" w:line="240" w:lineRule="auto"/>
      <w:ind w:left="1260" w:hanging="420"/>
      <w:contextualSpacing/>
    </w:pPr>
    <w:rPr>
      <w:rFonts w:ascii="黑体" w:eastAsia="黑体"/>
      <w:sz w:val="28"/>
      <w:szCs w:val="28"/>
    </w:rPr>
  </w:style>
  <w:style w:type="paragraph" w:customStyle="1" w:styleId="1116">
    <w:name w:val="正文居中"/>
    <w:basedOn w:val="56"/>
    <w:autoRedefine/>
    <w:qFormat/>
    <w:uiPriority w:val="0"/>
    <w:pPr>
      <w:tabs>
        <w:tab w:val="left" w:pos="244"/>
        <w:tab w:val="left" w:pos="720"/>
      </w:tabs>
      <w:adjustRightInd w:val="0"/>
      <w:snapToGrid/>
      <w:jc w:val="center"/>
    </w:pPr>
    <w:rPr>
      <w:rFonts w:ascii="宋体" w:hAnsi="Arial"/>
      <w:b w:val="0"/>
      <w:bCs w:val="0"/>
      <w:caps w:val="0"/>
      <w:sz w:val="28"/>
      <w:szCs w:val="28"/>
    </w:rPr>
  </w:style>
  <w:style w:type="paragraph" w:customStyle="1" w:styleId="1117">
    <w:name w:val="正文文字"/>
    <w:basedOn w:val="3"/>
    <w:autoRedefine/>
    <w:qFormat/>
    <w:uiPriority w:val="0"/>
    <w:pPr>
      <w:widowControl/>
      <w:spacing w:after="0" w:line="360" w:lineRule="auto"/>
      <w:ind w:left="0" w:leftChars="0" w:firstLine="200" w:firstLineChars="200"/>
      <w:jc w:val="left"/>
    </w:pPr>
    <w:rPr>
      <w:rFonts w:ascii="Calibri" w:hAnsi="Calibri" w:eastAsia="仿宋_GB2312"/>
      <w:color w:val="000000"/>
      <w:szCs w:val="24"/>
      <w:lang w:eastAsia="en-US" w:bidi="en-US"/>
    </w:rPr>
  </w:style>
  <w:style w:type="paragraph" w:customStyle="1" w:styleId="1118">
    <w:name w:val="Char1"/>
    <w:basedOn w:val="1"/>
    <w:autoRedefine/>
    <w:qFormat/>
    <w:uiPriority w:val="0"/>
    <w:pPr>
      <w:spacing w:line="240" w:lineRule="exact"/>
      <w:ind w:firstLine="200" w:firstLineChars="200"/>
    </w:pPr>
    <w:rPr>
      <w:sz w:val="28"/>
      <w:szCs w:val="28"/>
    </w:rPr>
  </w:style>
  <w:style w:type="paragraph" w:customStyle="1" w:styleId="1119">
    <w:name w:val="正文 首行缩进:  2 字符 Char Char"/>
    <w:basedOn w:val="1"/>
    <w:autoRedefine/>
    <w:qFormat/>
    <w:uiPriority w:val="0"/>
    <w:pPr>
      <w:spacing w:before="240" w:after="240" w:line="480" w:lineRule="exact"/>
      <w:ind w:firstLine="560" w:firstLineChars="200"/>
    </w:pPr>
    <w:rPr>
      <w:sz w:val="28"/>
      <w:szCs w:val="20"/>
    </w:rPr>
  </w:style>
  <w:style w:type="paragraph" w:customStyle="1" w:styleId="1120">
    <w:name w:val="Char Char Char Char Char Char Char Char Char Char Char Char Char1"/>
    <w:basedOn w:val="1"/>
    <w:autoRedefine/>
    <w:qFormat/>
    <w:uiPriority w:val="0"/>
    <w:pPr>
      <w:jc w:val="center"/>
    </w:pPr>
    <w:rPr>
      <w:rFonts w:ascii="宋体"/>
    </w:rPr>
  </w:style>
  <w:style w:type="paragraph" w:customStyle="1" w:styleId="1121">
    <w:name w:val="样式27"/>
    <w:basedOn w:val="6"/>
    <w:autoRedefine/>
    <w:qFormat/>
    <w:uiPriority w:val="0"/>
    <w:pPr>
      <w:keepNext w:val="0"/>
      <w:tabs>
        <w:tab w:val="left" w:pos="390"/>
      </w:tabs>
      <w:overflowPunct/>
      <w:snapToGrid/>
      <w:spacing w:before="340" w:beforeLines="100" w:after="330" w:afterLines="100" w:line="360" w:lineRule="auto"/>
      <w:ind w:left="390" w:firstLine="0"/>
      <w:jc w:val="center"/>
      <w:outlineLvl w:val="9"/>
    </w:pPr>
    <w:rPr>
      <w:rFonts w:ascii="黑体" w:hAnsi="Calibri" w:cs="Arial Unicode MS"/>
      <w:b w:val="0"/>
      <w:bCs w:val="0"/>
      <w:color w:val="auto"/>
      <w:kern w:val="2"/>
      <w:sz w:val="32"/>
      <w:szCs w:val="32"/>
    </w:rPr>
  </w:style>
  <w:style w:type="paragraph" w:customStyle="1" w:styleId="1122">
    <w:name w:val="ST20_32"/>
    <w:basedOn w:val="53"/>
    <w:autoRedefine/>
    <w:qFormat/>
    <w:uiPriority w:val="0"/>
    <w:pPr>
      <w:contextualSpacing/>
    </w:pPr>
    <w:rPr>
      <w:kern w:val="2"/>
      <w:sz w:val="21"/>
      <w:szCs w:val="21"/>
    </w:rPr>
  </w:style>
  <w:style w:type="paragraph" w:customStyle="1" w:styleId="1123">
    <w:name w:val="xl34"/>
    <w:basedOn w:val="1"/>
    <w:autoRedefine/>
    <w:qFormat/>
    <w:uiPriority w:val="0"/>
    <w:pPr>
      <w:widowControl/>
      <w:pBdr>
        <w:top w:val="single" w:color="auto" w:sz="4" w:space="0"/>
        <w:left w:val="single" w:color="auto" w:sz="4" w:space="0"/>
        <w:bottom w:val="single" w:color="auto" w:sz="8" w:space="0"/>
        <w:right w:val="single" w:color="auto" w:sz="4" w:space="0"/>
      </w:pBdr>
      <w:spacing w:before="100" w:beforeAutospacing="1" w:after="100" w:afterAutospacing="1"/>
      <w:jc w:val="center"/>
      <w:textAlignment w:val="center"/>
    </w:pPr>
    <w:rPr>
      <w:rFonts w:ascii="Arial Unicode MS" w:hAnsi="Arial Unicode MS" w:eastAsia="Arial Unicode MS"/>
      <w:kern w:val="0"/>
      <w:sz w:val="20"/>
      <w:szCs w:val="20"/>
    </w:rPr>
  </w:style>
  <w:style w:type="paragraph" w:customStyle="1" w:styleId="1124">
    <w:name w:val="Char Char3 Char Char"/>
    <w:basedOn w:val="1"/>
    <w:autoRedefine/>
    <w:qFormat/>
    <w:uiPriority w:val="0"/>
    <w:pPr>
      <w:spacing w:line="360" w:lineRule="auto"/>
      <w:ind w:firstLine="200" w:firstLineChars="200"/>
    </w:pPr>
    <w:rPr>
      <w:rFonts w:ascii="宋体" w:hAnsi="宋体" w:cs="宋体"/>
      <w:sz w:val="24"/>
    </w:rPr>
  </w:style>
  <w:style w:type="paragraph" w:customStyle="1" w:styleId="1125">
    <w:name w:val="Char Char Char Char2"/>
    <w:basedOn w:val="1"/>
    <w:autoRedefine/>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1126">
    <w:name w:val="列出段落11"/>
    <w:basedOn w:val="1"/>
    <w:autoRedefine/>
    <w:qFormat/>
    <w:uiPriority w:val="0"/>
    <w:pPr>
      <w:spacing w:line="360" w:lineRule="auto"/>
      <w:ind w:firstLine="420" w:firstLineChars="200"/>
    </w:pPr>
    <w:rPr>
      <w:sz w:val="24"/>
    </w:rPr>
  </w:style>
  <w:style w:type="paragraph" w:customStyle="1" w:styleId="1127">
    <w:name w:val="样式44"/>
    <w:basedOn w:val="1"/>
    <w:autoRedefine/>
    <w:qFormat/>
    <w:uiPriority w:val="0"/>
    <w:pPr>
      <w:spacing w:line="500" w:lineRule="exact"/>
      <w:ind w:firstLine="594" w:firstLineChars="212"/>
    </w:pPr>
    <w:rPr>
      <w:rFonts w:ascii="宋体" w:hAnsi="宋体"/>
      <w:sz w:val="28"/>
      <w:szCs w:val="20"/>
    </w:rPr>
  </w:style>
  <w:style w:type="paragraph" w:customStyle="1" w:styleId="1128">
    <w:name w:val="正文4"/>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129">
    <w:name w:val="样式 列表 + 左侧:  0 厘米 悬挂缩进: 2 字符"/>
    <w:basedOn w:val="63"/>
    <w:autoRedefine/>
    <w:qFormat/>
    <w:uiPriority w:val="0"/>
    <w:pPr>
      <w:tabs>
        <w:tab w:val="center" w:pos="4153"/>
        <w:tab w:val="right" w:pos="8306"/>
      </w:tabs>
      <w:spacing w:line="240" w:lineRule="auto"/>
      <w:jc w:val="center"/>
    </w:pPr>
    <w:rPr>
      <w:rFonts w:eastAsia="方正仿宋_GBK" w:cs="宋体"/>
      <w:szCs w:val="21"/>
    </w:rPr>
  </w:style>
  <w:style w:type="paragraph" w:customStyle="1" w:styleId="1130">
    <w:name w:val="Char Char Char Char Char Char1 Char Char Char Char Char Char Char1"/>
    <w:basedOn w:val="1"/>
    <w:autoRedefine/>
    <w:qFormat/>
    <w:uiPriority w:val="0"/>
  </w:style>
  <w:style w:type="paragraph" w:customStyle="1" w:styleId="1131">
    <w:name w:val="文字"/>
    <w:basedOn w:val="1"/>
    <w:next w:val="1"/>
    <w:autoRedefine/>
    <w:qFormat/>
    <w:uiPriority w:val="0"/>
    <w:pPr>
      <w:autoSpaceDE w:val="0"/>
      <w:autoSpaceDN w:val="0"/>
      <w:adjustRightInd w:val="0"/>
      <w:contextualSpacing/>
      <w:jc w:val="left"/>
    </w:pPr>
    <w:rPr>
      <w:rFonts w:ascii="Fang Song" w:eastAsia="Fang Song"/>
      <w:kern w:val="0"/>
    </w:rPr>
  </w:style>
  <w:style w:type="paragraph" w:customStyle="1" w:styleId="1132">
    <w:name w:val="正文无空格"/>
    <w:basedOn w:val="1"/>
    <w:autoRedefine/>
    <w:qFormat/>
    <w:uiPriority w:val="0"/>
    <w:pPr>
      <w:spacing w:line="360" w:lineRule="auto"/>
      <w:jc w:val="left"/>
    </w:pPr>
    <w:rPr>
      <w:rFonts w:ascii="宋体" w:hAnsi="宋体"/>
      <w:sz w:val="28"/>
      <w:szCs w:val="28"/>
    </w:rPr>
  </w:style>
  <w:style w:type="paragraph" w:customStyle="1" w:styleId="1133">
    <w:name w:val="框图"/>
    <w:basedOn w:val="1"/>
    <w:autoRedefine/>
    <w:qFormat/>
    <w:uiPriority w:val="0"/>
    <w:pPr>
      <w:adjustRightInd w:val="0"/>
      <w:snapToGrid w:val="0"/>
      <w:jc w:val="center"/>
    </w:pPr>
    <w:rPr>
      <w:rFonts w:hAnsi="宋体"/>
      <w:b/>
    </w:rPr>
  </w:style>
  <w:style w:type="paragraph" w:customStyle="1" w:styleId="1134">
    <w:name w:val="表格文字2"/>
    <w:basedOn w:val="1"/>
    <w:autoRedefine/>
    <w:semiHidden/>
    <w:qFormat/>
    <w:uiPriority w:val="0"/>
    <w:pPr>
      <w:tabs>
        <w:tab w:val="left" w:pos="277"/>
        <w:tab w:val="left" w:pos="600"/>
        <w:tab w:val="left" w:pos="780"/>
        <w:tab w:val="left" w:pos="2517"/>
      </w:tabs>
      <w:adjustRightInd w:val="0"/>
      <w:spacing w:before="60"/>
      <w:jc w:val="center"/>
      <w:textAlignment w:val="baseline"/>
    </w:pPr>
    <w:rPr>
      <w:rFonts w:eastAsia="楷体_GB2312"/>
      <w:kern w:val="0"/>
      <w:sz w:val="24"/>
      <w:szCs w:val="20"/>
    </w:rPr>
  </w:style>
  <w:style w:type="paragraph" w:customStyle="1" w:styleId="1135">
    <w:name w:val="CM31"/>
    <w:basedOn w:val="1"/>
    <w:next w:val="1"/>
    <w:autoRedefine/>
    <w:qFormat/>
    <w:uiPriority w:val="0"/>
    <w:pPr>
      <w:autoSpaceDE w:val="0"/>
      <w:autoSpaceDN w:val="0"/>
      <w:adjustRightInd w:val="0"/>
      <w:spacing w:line="468" w:lineRule="atLeast"/>
      <w:jc w:val="left"/>
    </w:pPr>
    <w:rPr>
      <w:rFonts w:ascii="黑体" w:eastAsia="黑体"/>
      <w:kern w:val="0"/>
      <w:sz w:val="24"/>
    </w:rPr>
  </w:style>
  <w:style w:type="paragraph" w:customStyle="1" w:styleId="1136">
    <w:name w:val="表样式1"/>
    <w:basedOn w:val="1"/>
    <w:autoRedefine/>
    <w:qFormat/>
    <w:uiPriority w:val="0"/>
    <w:pPr>
      <w:spacing w:line="320" w:lineRule="exact"/>
      <w:ind w:firstLine="200" w:firstLineChars="200"/>
    </w:pPr>
    <w:rPr>
      <w:rFonts w:ascii="宋体" w:hAnsi="宋体"/>
      <w:color w:val="000000"/>
      <w:sz w:val="24"/>
      <w:szCs w:val="18"/>
    </w:rPr>
  </w:style>
  <w:style w:type="paragraph" w:customStyle="1" w:styleId="1137">
    <w:name w:val="表题"/>
    <w:basedOn w:val="11"/>
    <w:autoRedefine/>
    <w:semiHidden/>
    <w:qFormat/>
    <w:uiPriority w:val="0"/>
    <w:pPr>
      <w:spacing w:line="100" w:lineRule="atLeast"/>
      <w:ind w:firstLine="0"/>
      <w:jc w:val="center"/>
    </w:pPr>
    <w:rPr>
      <w:sz w:val="24"/>
    </w:rPr>
  </w:style>
  <w:style w:type="paragraph" w:customStyle="1" w:styleId="1138">
    <w:name w:val="样式23"/>
    <w:basedOn w:val="1"/>
    <w:autoRedefine/>
    <w:qFormat/>
    <w:uiPriority w:val="0"/>
    <w:pPr>
      <w:spacing w:beforeLines="50" w:afterLines="100"/>
      <w:ind w:right="141" w:rightChars="67" w:firstLine="480" w:firstLineChars="200"/>
    </w:pPr>
    <w:rPr>
      <w:rFonts w:ascii="黑体" w:eastAsia="黑体"/>
      <w:sz w:val="24"/>
      <w:szCs w:val="20"/>
    </w:rPr>
  </w:style>
  <w:style w:type="paragraph" w:customStyle="1" w:styleId="1139">
    <w:name w:val="title2"/>
    <w:basedOn w:val="1"/>
    <w:autoRedefine/>
    <w:qFormat/>
    <w:uiPriority w:val="0"/>
    <w:pPr>
      <w:widowControl/>
      <w:spacing w:before="100" w:beforeAutospacing="1" w:after="100" w:afterAutospacing="1"/>
      <w:jc w:val="left"/>
    </w:pPr>
    <w:rPr>
      <w:rFonts w:ascii="宋体" w:hAnsi="宋体" w:cs="宋体"/>
      <w:kern w:val="0"/>
      <w:sz w:val="24"/>
    </w:rPr>
  </w:style>
  <w:style w:type="paragraph" w:customStyle="1" w:styleId="1140">
    <w:name w:val="xl110"/>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rPr>
  </w:style>
  <w:style w:type="paragraph" w:customStyle="1" w:styleId="1141">
    <w:name w:val="xl195"/>
    <w:basedOn w:val="1"/>
    <w:autoRedefine/>
    <w:qFormat/>
    <w:uiPriority w:val="0"/>
    <w:pPr>
      <w:widowControl/>
      <w:pBdr>
        <w:top w:val="single" w:color="auto" w:sz="4" w:space="0"/>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142">
    <w:name w:val="表格文字中对齐"/>
    <w:basedOn w:val="1"/>
    <w:autoRedefine/>
    <w:qFormat/>
    <w:uiPriority w:val="0"/>
    <w:pPr>
      <w:spacing w:line="320" w:lineRule="exact"/>
      <w:jc w:val="center"/>
    </w:pPr>
    <w:rPr>
      <w:rFonts w:ascii="宋体" w:hAnsi="宋体"/>
      <w:color w:val="000000"/>
      <w:kern w:val="0"/>
    </w:rPr>
  </w:style>
  <w:style w:type="paragraph" w:customStyle="1" w:styleId="1143">
    <w:name w:val="引用文章"/>
    <w:basedOn w:val="1"/>
    <w:autoRedefine/>
    <w:qFormat/>
    <w:uiPriority w:val="0"/>
    <w:pPr>
      <w:spacing w:line="360" w:lineRule="auto"/>
      <w:ind w:firstLine="420" w:firstLineChars="200"/>
    </w:pPr>
    <w:rPr>
      <w:rFonts w:eastAsia="楷体_GB2312" w:cs="宋体"/>
      <w:sz w:val="24"/>
      <w:szCs w:val="20"/>
    </w:rPr>
  </w:style>
  <w:style w:type="paragraph" w:customStyle="1" w:styleId="1144">
    <w:name w:val="p17"/>
    <w:basedOn w:val="1"/>
    <w:autoRedefine/>
    <w:qFormat/>
    <w:uiPriority w:val="0"/>
    <w:pPr>
      <w:widowControl/>
      <w:snapToGrid w:val="0"/>
      <w:spacing w:line="480" w:lineRule="atLeast"/>
      <w:ind w:firstLine="482"/>
    </w:pPr>
    <w:rPr>
      <w:kern w:val="0"/>
      <w:sz w:val="24"/>
    </w:rPr>
  </w:style>
  <w:style w:type="paragraph" w:customStyle="1" w:styleId="1145">
    <w:name w:val="Char2 Char Char Char1"/>
    <w:basedOn w:val="1"/>
    <w:autoRedefine/>
    <w:qFormat/>
    <w:uiPriority w:val="0"/>
    <w:pPr>
      <w:spacing w:line="360" w:lineRule="auto"/>
      <w:ind w:firstLine="200" w:firstLineChars="200"/>
    </w:pPr>
    <w:rPr>
      <w:rFonts w:ascii="宋体" w:hAnsi="宋体" w:cs="宋体"/>
      <w:sz w:val="24"/>
    </w:rPr>
  </w:style>
  <w:style w:type="paragraph" w:customStyle="1" w:styleId="1146">
    <w:name w:val="报告标题1"/>
    <w:basedOn w:val="6"/>
    <w:autoRedefine/>
    <w:qFormat/>
    <w:uiPriority w:val="0"/>
    <w:pPr>
      <w:keepLines/>
      <w:tabs>
        <w:tab w:val="left" w:pos="390"/>
      </w:tabs>
      <w:overflowPunct/>
      <w:snapToGrid/>
      <w:spacing w:before="200" w:after="200" w:line="360" w:lineRule="auto"/>
      <w:ind w:left="390" w:firstLine="0"/>
    </w:pPr>
    <w:rPr>
      <w:rFonts w:ascii="Calibri" w:hAnsi="Calibri" w:eastAsia="宋体"/>
      <w:color w:val="auto"/>
      <w:sz w:val="44"/>
      <w:szCs w:val="44"/>
    </w:rPr>
  </w:style>
  <w:style w:type="paragraph" w:customStyle="1" w:styleId="1147">
    <w:name w:val="表格项目"/>
    <w:basedOn w:val="903"/>
    <w:next w:val="903"/>
    <w:autoRedefine/>
    <w:semiHidden/>
    <w:qFormat/>
    <w:uiPriority w:val="0"/>
    <w:pPr>
      <w:spacing w:before="100" w:beforeAutospacing="1" w:after="100" w:afterAutospacing="1" w:line="240" w:lineRule="auto"/>
    </w:pPr>
    <w:rPr>
      <w:b/>
      <w:bCs/>
      <w:caps/>
      <w:szCs w:val="21"/>
    </w:rPr>
  </w:style>
  <w:style w:type="paragraph" w:customStyle="1" w:styleId="1148">
    <w:name w:val="1.1"/>
    <w:basedOn w:val="1"/>
    <w:autoRedefine/>
    <w:qFormat/>
    <w:uiPriority w:val="0"/>
    <w:pPr>
      <w:spacing w:line="600" w:lineRule="exact"/>
      <w:outlineLvl w:val="0"/>
    </w:pPr>
    <w:rPr>
      <w:rFonts w:eastAsia="黑体"/>
      <w:sz w:val="32"/>
    </w:rPr>
  </w:style>
  <w:style w:type="paragraph" w:customStyle="1" w:styleId="1149">
    <w:name w:val="表格标题栏文字"/>
    <w:basedOn w:val="1"/>
    <w:next w:val="1"/>
    <w:autoRedefine/>
    <w:qFormat/>
    <w:uiPriority w:val="0"/>
    <w:pPr>
      <w:jc w:val="center"/>
    </w:pPr>
    <w:rPr>
      <w:rFonts w:ascii="黑体" w:eastAsia="黑体"/>
      <w:caps/>
      <w:sz w:val="24"/>
    </w:rPr>
  </w:style>
  <w:style w:type="paragraph" w:customStyle="1" w:styleId="1150">
    <w:name w:val="Char1 Char Char Char1"/>
    <w:basedOn w:val="1"/>
    <w:autoRedefine/>
    <w:qFormat/>
    <w:uiPriority w:val="0"/>
    <w:pPr>
      <w:spacing w:line="360" w:lineRule="auto"/>
      <w:ind w:firstLine="200" w:firstLineChars="200"/>
    </w:pPr>
    <w:rPr>
      <w:rFonts w:ascii="宋体" w:hAnsi="宋体" w:cs="宋体"/>
      <w:sz w:val="24"/>
    </w:rPr>
  </w:style>
  <w:style w:type="paragraph" w:customStyle="1" w:styleId="1151">
    <w:name w:val="正文-1"/>
    <w:basedOn w:val="1"/>
    <w:autoRedefine/>
    <w:qFormat/>
    <w:uiPriority w:val="0"/>
    <w:pPr>
      <w:adjustRightInd w:val="0"/>
      <w:spacing w:line="440" w:lineRule="exact"/>
      <w:ind w:firstLine="200" w:firstLineChars="200"/>
    </w:pPr>
    <w:rPr>
      <w:sz w:val="24"/>
      <w:szCs w:val="20"/>
    </w:rPr>
  </w:style>
  <w:style w:type="paragraph" w:customStyle="1" w:styleId="1152">
    <w:name w:val="Char Char Char Char Char Char Char Char Char Char Char Char Char Char Char Char Char Char Char Char Char Char Char Char"/>
    <w:basedOn w:val="1"/>
    <w:autoRedefine/>
    <w:qFormat/>
    <w:uiPriority w:val="0"/>
    <w:pPr>
      <w:widowControl/>
      <w:contextualSpacing/>
      <w:jc w:val="left"/>
    </w:pPr>
    <w:rPr>
      <w:rFonts w:cs="宋体"/>
      <w:kern w:val="0"/>
    </w:rPr>
  </w:style>
  <w:style w:type="paragraph" w:customStyle="1" w:styleId="1153">
    <w:name w:val="xl177"/>
    <w:basedOn w:val="1"/>
    <w:autoRedefine/>
    <w:qFormat/>
    <w:uiPriority w:val="0"/>
    <w:pPr>
      <w:widowControl/>
      <w:pBdr>
        <w:lef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154">
    <w:name w:val="k4"/>
    <w:basedOn w:val="34"/>
    <w:autoRedefine/>
    <w:qFormat/>
    <w:uiPriority w:val="0"/>
    <w:pPr>
      <w:widowControl w:val="0"/>
      <w:numPr>
        <w:ilvl w:val="0"/>
        <w:numId w:val="12"/>
      </w:numPr>
      <w:tabs>
        <w:tab w:val="left" w:pos="360"/>
        <w:tab w:val="clear" w:pos="504"/>
      </w:tabs>
      <w:snapToGrid/>
      <w:spacing w:before="0" w:after="0" w:line="360" w:lineRule="auto"/>
      <w:ind w:left="0" w:right="0" w:firstLine="480"/>
    </w:pPr>
    <w:rPr>
      <w:rFonts w:ascii="宋体" w:hAnsi="Courier New"/>
      <w:b/>
      <w:kern w:val="2"/>
      <w:sz w:val="28"/>
    </w:rPr>
  </w:style>
  <w:style w:type="paragraph" w:customStyle="1" w:styleId="1155">
    <w:name w:val="cdb"/>
    <w:basedOn w:val="1"/>
    <w:autoRedefine/>
    <w:qFormat/>
    <w:uiPriority w:val="0"/>
    <w:pPr>
      <w:spacing w:before="120"/>
      <w:ind w:left="851" w:firstLine="482"/>
    </w:pPr>
    <w:rPr>
      <w:szCs w:val="20"/>
    </w:rPr>
  </w:style>
  <w:style w:type="paragraph" w:customStyle="1" w:styleId="1156">
    <w:name w:val="东明_a"/>
    <w:basedOn w:val="1"/>
    <w:autoRedefine/>
    <w:qFormat/>
    <w:uiPriority w:val="0"/>
    <w:pPr>
      <w:spacing w:before="240" w:after="240" w:line="480" w:lineRule="exact"/>
      <w:ind w:left="560"/>
    </w:pPr>
    <w:rPr>
      <w:b/>
      <w:bCs/>
      <w:sz w:val="28"/>
      <w:szCs w:val="20"/>
    </w:rPr>
  </w:style>
  <w:style w:type="paragraph" w:customStyle="1" w:styleId="1157">
    <w:name w:val="样式 标题 1章标题 11标题 1H1一、 + 行距: 1.5 倍行距5"/>
    <w:basedOn w:val="6"/>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158">
    <w:name w:val="图 标题"/>
    <w:basedOn w:val="286"/>
    <w:autoRedefine/>
    <w:qFormat/>
    <w:uiPriority w:val="0"/>
    <w:pPr>
      <w:spacing w:line="240" w:lineRule="auto"/>
      <w:ind w:firstLine="0" w:firstLineChars="0"/>
      <w:jc w:val="center"/>
    </w:pPr>
    <w:rPr>
      <w:b/>
      <w:color w:val="FF0000"/>
    </w:rPr>
  </w:style>
  <w:style w:type="paragraph" w:customStyle="1" w:styleId="1159">
    <w:name w:val="表中文字1"/>
    <w:autoRedefine/>
    <w:qFormat/>
    <w:uiPriority w:val="0"/>
    <w:pPr>
      <w:widowControl w:val="0"/>
      <w:adjustRightInd w:val="0"/>
      <w:snapToGrid w:val="0"/>
      <w:spacing w:line="280" w:lineRule="exact"/>
      <w:jc w:val="center"/>
    </w:pPr>
    <w:rPr>
      <w:rFonts w:ascii="仿宋_GB2312" w:hAnsi="Times New Roman" w:eastAsia="仿宋_GB2312" w:cs="Times New Roman"/>
      <w:kern w:val="2"/>
      <w:sz w:val="24"/>
      <w:szCs w:val="24"/>
      <w:lang w:val="en-US" w:eastAsia="zh-CN" w:bidi="ar-SA"/>
    </w:rPr>
  </w:style>
  <w:style w:type="paragraph" w:customStyle="1" w:styleId="1160">
    <w:name w:val="流程"/>
    <w:basedOn w:val="1"/>
    <w:autoRedefine/>
    <w:qFormat/>
    <w:uiPriority w:val="0"/>
    <w:pPr>
      <w:topLinePunct/>
      <w:adjustRightInd w:val="0"/>
      <w:snapToGrid w:val="0"/>
      <w:jc w:val="center"/>
    </w:pPr>
    <w:rPr>
      <w:rFonts w:cs="宋体"/>
      <w:bCs/>
      <w:color w:val="000000"/>
      <w:szCs w:val="20"/>
    </w:rPr>
  </w:style>
  <w:style w:type="paragraph" w:customStyle="1" w:styleId="1161">
    <w:name w:val="样式12"/>
    <w:basedOn w:val="1081"/>
    <w:autoRedefine/>
    <w:qFormat/>
    <w:uiPriority w:val="0"/>
    <w:pPr>
      <w:adjustRightInd w:val="0"/>
    </w:pPr>
    <w:rPr>
      <w:rFonts w:ascii="仿宋_GB2312" w:hAnsi="宋体" w:eastAsia="仿宋_GB2312"/>
      <w:b/>
      <w:color w:val="FF0000"/>
      <w:szCs w:val="30"/>
    </w:rPr>
  </w:style>
  <w:style w:type="paragraph" w:customStyle="1" w:styleId="1162">
    <w:name w:val="样式32"/>
    <w:basedOn w:val="1"/>
    <w:autoRedefine/>
    <w:qFormat/>
    <w:uiPriority w:val="0"/>
    <w:pPr>
      <w:spacing w:line="360" w:lineRule="auto"/>
      <w:ind w:firstLine="480" w:firstLineChars="200"/>
    </w:pPr>
    <w:rPr>
      <w:rFonts w:ascii="宋体" w:hAnsi="宋体"/>
      <w:spacing w:val="-20"/>
      <w:sz w:val="28"/>
      <w:szCs w:val="28"/>
    </w:rPr>
  </w:style>
  <w:style w:type="paragraph" w:customStyle="1" w:styleId="1163">
    <w:name w:val="样式 正文（首行缩进两字） + 宋体 小四 加粗 行距: 固定值 24 磅"/>
    <w:basedOn w:val="11"/>
    <w:autoRedefine/>
    <w:qFormat/>
    <w:uiPriority w:val="0"/>
    <w:pPr>
      <w:tabs>
        <w:tab w:val="left" w:pos="5940"/>
      </w:tabs>
      <w:adjustRightInd w:val="0"/>
      <w:spacing w:line="480" w:lineRule="exact"/>
      <w:ind w:firstLine="0" w:firstLineChars="0"/>
      <w:jc w:val="center"/>
      <w:textAlignment w:val="baseline"/>
    </w:pPr>
    <w:rPr>
      <w:sz w:val="24"/>
    </w:rPr>
  </w:style>
  <w:style w:type="paragraph" w:customStyle="1" w:styleId="1164">
    <w:name w:val="碳酸钙标题3"/>
    <w:basedOn w:val="8"/>
    <w:autoRedefine/>
    <w:qFormat/>
    <w:uiPriority w:val="0"/>
    <w:pPr>
      <w:tabs>
        <w:tab w:val="left" w:pos="1260"/>
        <w:tab w:val="left" w:pos="2126"/>
      </w:tabs>
      <w:spacing w:line="360" w:lineRule="auto"/>
      <w:ind w:left="1701" w:firstLine="435"/>
    </w:pPr>
    <w:rPr>
      <w:color w:val="000000"/>
      <w:kern w:val="0"/>
      <w:sz w:val="24"/>
    </w:rPr>
  </w:style>
  <w:style w:type="paragraph" w:customStyle="1" w:styleId="1165">
    <w:name w:val="样式 标题 2节 + 段前: 1 行 段后: 0.5 行1"/>
    <w:basedOn w:val="1"/>
    <w:autoRedefine/>
    <w:qFormat/>
    <w:uiPriority w:val="0"/>
    <w:pPr>
      <w:numPr>
        <w:ilvl w:val="1"/>
        <w:numId w:val="13"/>
      </w:numPr>
    </w:pPr>
  </w:style>
  <w:style w:type="paragraph" w:customStyle="1" w:styleId="1166">
    <w:name w:val="Char Char1 Char Char Char Char Char Char Char Char Char Char Char Char Char Char Char Char Char Char Char Char1 Char1"/>
    <w:basedOn w:val="1"/>
    <w:autoRedefine/>
    <w:qFormat/>
    <w:uiPriority w:val="0"/>
    <w:pPr>
      <w:spacing w:line="360" w:lineRule="auto"/>
      <w:ind w:firstLine="200" w:firstLineChars="200"/>
    </w:pPr>
    <w:rPr>
      <w:szCs w:val="20"/>
    </w:rPr>
  </w:style>
  <w:style w:type="paragraph" w:customStyle="1" w:styleId="1167">
    <w:name w:val="xl55"/>
    <w:basedOn w:val="1"/>
    <w:autoRedefine/>
    <w:qFormat/>
    <w:uiPriority w:val="0"/>
    <w:pPr>
      <w:widowControl/>
      <w:spacing w:before="100" w:beforeAutospacing="1" w:after="100" w:afterAutospacing="1"/>
      <w:jc w:val="left"/>
    </w:pPr>
    <w:rPr>
      <w:rFonts w:ascii="Arial" w:hAnsi="Arial" w:cs="Arial"/>
      <w:b/>
      <w:bCs/>
      <w:i/>
      <w:iCs/>
      <w:kern w:val="0"/>
      <w:sz w:val="22"/>
      <w:szCs w:val="22"/>
    </w:rPr>
  </w:style>
  <w:style w:type="paragraph" w:customStyle="1" w:styleId="1168">
    <w:name w:val="一级标题 大王 20100426"/>
    <w:basedOn w:val="1"/>
    <w:autoRedefine/>
    <w:qFormat/>
    <w:uiPriority w:val="0"/>
    <w:pPr>
      <w:numPr>
        <w:ilvl w:val="1"/>
        <w:numId w:val="4"/>
      </w:numPr>
      <w:tabs>
        <w:tab w:val="left" w:pos="284"/>
      </w:tabs>
      <w:spacing w:beforeLines="20" w:afterLines="50"/>
      <w:ind w:left="425" w:hanging="425"/>
      <w:outlineLvl w:val="0"/>
    </w:pPr>
    <w:rPr>
      <w:rFonts w:eastAsia="黑体"/>
      <w:b/>
      <w:sz w:val="30"/>
      <w:szCs w:val="30"/>
    </w:rPr>
  </w:style>
  <w:style w:type="paragraph" w:customStyle="1" w:styleId="1169">
    <w:name w:val="xl184"/>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170">
    <w:name w:val="表内正文"/>
    <w:basedOn w:val="1"/>
    <w:autoRedefine/>
    <w:qFormat/>
    <w:uiPriority w:val="0"/>
    <w:rPr>
      <w:sz w:val="24"/>
    </w:rPr>
  </w:style>
  <w:style w:type="paragraph" w:customStyle="1" w:styleId="1171">
    <w:name w:val="图名文字"/>
    <w:autoRedefine/>
    <w:qFormat/>
    <w:uiPriority w:val="0"/>
    <w:pPr>
      <w:adjustRightInd w:val="0"/>
      <w:spacing w:after="60"/>
      <w:jc w:val="center"/>
    </w:pPr>
    <w:rPr>
      <w:rFonts w:ascii="Times New Roman" w:hAnsi="Times New Roman" w:eastAsia="黑体" w:cs="Times New Roman"/>
      <w:sz w:val="21"/>
      <w:lang w:val="en-US" w:eastAsia="zh-CN" w:bidi="ar-SA"/>
    </w:rPr>
  </w:style>
  <w:style w:type="paragraph" w:customStyle="1" w:styleId="1172">
    <w:name w:val="标准正文"/>
    <w:basedOn w:val="1"/>
    <w:autoRedefine/>
    <w:qFormat/>
    <w:uiPriority w:val="0"/>
    <w:pPr>
      <w:spacing w:line="500" w:lineRule="exact"/>
      <w:ind w:firstLine="200" w:firstLineChars="200"/>
      <w:jc w:val="left"/>
    </w:pPr>
    <w:rPr>
      <w:rFonts w:ascii="Calibri" w:hAnsi="Calibri"/>
      <w:kern w:val="0"/>
      <w:sz w:val="24"/>
      <w:szCs w:val="20"/>
    </w:rPr>
  </w:style>
  <w:style w:type="paragraph" w:customStyle="1" w:styleId="1173">
    <w:name w:val="样式 样式 首行缩进:  0.77 厘米 行距: 固定值 20 磅 + 居中 首行缩进:  0 厘米 行距: 单倍行距"/>
    <w:basedOn w:val="1"/>
    <w:autoRedefine/>
    <w:qFormat/>
    <w:uiPriority w:val="0"/>
    <w:pPr>
      <w:spacing w:line="240" w:lineRule="atLeast"/>
      <w:jc w:val="center"/>
    </w:pPr>
    <w:rPr>
      <w:color w:val="000000"/>
    </w:rPr>
  </w:style>
  <w:style w:type="paragraph" w:customStyle="1" w:styleId="1174">
    <w:name w:val="font7"/>
    <w:basedOn w:val="1"/>
    <w:autoRedefine/>
    <w:qFormat/>
    <w:uiPriority w:val="0"/>
    <w:pPr>
      <w:widowControl/>
      <w:spacing w:before="100" w:beforeAutospacing="1" w:after="100" w:afterAutospacing="1"/>
      <w:jc w:val="left"/>
    </w:pPr>
    <w:rPr>
      <w:rFonts w:ascii="宋体" w:hAnsi="宋体"/>
      <w:b/>
      <w:bCs/>
      <w:kern w:val="0"/>
      <w:sz w:val="22"/>
      <w:szCs w:val="22"/>
    </w:rPr>
  </w:style>
  <w:style w:type="paragraph" w:customStyle="1" w:styleId="1175">
    <w:name w:val="xl61"/>
    <w:basedOn w:val="1"/>
    <w:autoRedefine/>
    <w:qFormat/>
    <w:uiPriority w:val="0"/>
    <w:pPr>
      <w:widowControl/>
      <w:pBdr>
        <w:right w:val="single" w:color="auto" w:sz="4" w:space="0"/>
      </w:pBdr>
      <w:spacing w:before="100" w:beforeAutospacing="1" w:after="100" w:afterAutospacing="1"/>
      <w:jc w:val="center"/>
    </w:pPr>
    <w:rPr>
      <w:rFonts w:ascii="Arial" w:hAnsi="Arial" w:cs="Arial"/>
      <w:b/>
      <w:bCs/>
      <w:kern w:val="0"/>
      <w:sz w:val="22"/>
      <w:szCs w:val="22"/>
    </w:rPr>
  </w:style>
  <w:style w:type="paragraph" w:customStyle="1" w:styleId="1176">
    <w:name w:val="表内5号居中"/>
    <w:autoRedefine/>
    <w:qFormat/>
    <w:uiPriority w:val="0"/>
    <w:pPr>
      <w:widowControl w:val="0"/>
      <w:adjustRightInd w:val="0"/>
      <w:snapToGrid w:val="0"/>
      <w:jc w:val="center"/>
      <w:textAlignment w:val="baseline"/>
    </w:pPr>
    <w:rPr>
      <w:rFonts w:ascii="Times New Roman" w:hAnsi="Times New Roman" w:eastAsia="宋体" w:cs="Times New Roman"/>
      <w:b/>
      <w:bCs/>
      <w:sz w:val="24"/>
      <w:lang w:val="en-US" w:eastAsia="zh-CN" w:bidi="ar-SA"/>
    </w:rPr>
  </w:style>
  <w:style w:type="paragraph" w:customStyle="1" w:styleId="1177">
    <w:name w:val="工业统一表格文字"/>
    <w:basedOn w:val="1"/>
    <w:autoRedefine/>
    <w:qFormat/>
    <w:uiPriority w:val="0"/>
    <w:pPr>
      <w:adjustRightInd w:val="0"/>
      <w:snapToGrid w:val="0"/>
      <w:spacing w:beforeLines="20" w:afterLines="20"/>
      <w:ind w:left="-20" w:leftChars="-20" w:right="-20" w:rightChars="-20"/>
      <w:jc w:val="center"/>
    </w:pPr>
    <w:rPr>
      <w:rFonts w:ascii="宋体"/>
      <w:szCs w:val="20"/>
    </w:rPr>
  </w:style>
  <w:style w:type="paragraph" w:customStyle="1" w:styleId="1178">
    <w:name w:val="注解"/>
    <w:autoRedefine/>
    <w:qFormat/>
    <w:uiPriority w:val="0"/>
    <w:pPr>
      <w:widowControl w:val="0"/>
      <w:jc w:val="center"/>
    </w:pPr>
    <w:rPr>
      <w:rFonts w:ascii="宋体" w:hAnsi="Arial Black" w:eastAsia="宋体" w:cs="Times New Roman"/>
      <w:kern w:val="2"/>
      <w:sz w:val="18"/>
      <w:lang w:val="en-US" w:eastAsia="zh-CN" w:bidi="ar-SA"/>
    </w:rPr>
  </w:style>
  <w:style w:type="paragraph" w:customStyle="1" w:styleId="1179">
    <w:name w:val="表格内容1"/>
    <w:basedOn w:val="324"/>
    <w:autoRedefine/>
    <w:qFormat/>
    <w:uiPriority w:val="0"/>
    <w:pPr>
      <w:autoSpaceDE/>
      <w:autoSpaceDN/>
      <w:adjustRightInd/>
    </w:pPr>
    <w:rPr>
      <w:rFonts w:cs="宋体"/>
      <w:kern w:val="2"/>
      <w:szCs w:val="20"/>
    </w:rPr>
  </w:style>
  <w:style w:type="paragraph" w:customStyle="1" w:styleId="1180">
    <w:name w:val="表1"/>
    <w:basedOn w:val="1"/>
    <w:autoRedefine/>
    <w:qFormat/>
    <w:uiPriority w:val="0"/>
    <w:pPr>
      <w:jc w:val="center"/>
    </w:pPr>
    <w:rPr>
      <w:rFonts w:ascii="宋体" w:hAnsi="宋体"/>
      <w:color w:val="000000"/>
    </w:rPr>
  </w:style>
  <w:style w:type="paragraph" w:customStyle="1" w:styleId="1181">
    <w:name w:val="Char Char1 Char Char Char Char Char Char Char Char Char Char Char Char Char Char Char Char Char Char Char Char1 Char"/>
    <w:basedOn w:val="1"/>
    <w:autoRedefine/>
    <w:qFormat/>
    <w:uiPriority w:val="0"/>
    <w:pPr>
      <w:adjustRightInd w:val="0"/>
      <w:snapToGrid w:val="0"/>
      <w:spacing w:line="360" w:lineRule="auto"/>
      <w:ind w:firstLine="200" w:firstLineChars="200"/>
    </w:pPr>
    <w:rPr>
      <w:rFonts w:ascii="仿宋_GB2312" w:eastAsia="仿宋_GB2312"/>
      <w:sz w:val="28"/>
    </w:rPr>
  </w:style>
  <w:style w:type="paragraph" w:customStyle="1" w:styleId="1182">
    <w:name w:val="默认段落字体 Para Char Char Char Char Char Char Char Char Char1 Char Char Char Char Char Char Char Char Char Char"/>
    <w:basedOn w:val="1"/>
    <w:autoRedefine/>
    <w:qFormat/>
    <w:uiPriority w:val="0"/>
    <w:pPr>
      <w:shd w:val="clear" w:color="auto" w:fill="000080"/>
    </w:pPr>
    <w:rPr>
      <w:rFonts w:ascii="Tahoma" w:hAnsi="Tahoma"/>
      <w:kern w:val="0"/>
      <w:sz w:val="20"/>
    </w:rPr>
  </w:style>
  <w:style w:type="paragraph" w:customStyle="1" w:styleId="1183">
    <w:name w:val="样式 行距: 1.5 倍行距 首行缩进:  2.25 字符"/>
    <w:basedOn w:val="1"/>
    <w:autoRedefine/>
    <w:qFormat/>
    <w:uiPriority w:val="0"/>
    <w:pPr>
      <w:spacing w:afterLines="100" w:line="360" w:lineRule="auto"/>
    </w:pPr>
    <w:rPr>
      <w:rFonts w:ascii="宋体" w:hAnsi="宋体" w:cs="宋体"/>
      <w:sz w:val="24"/>
      <w:szCs w:val="20"/>
    </w:rPr>
  </w:style>
  <w:style w:type="paragraph" w:customStyle="1" w:styleId="1184">
    <w:name w:val="Char Char Char Char Char Char Char Char Char1"/>
    <w:basedOn w:val="1"/>
    <w:autoRedefine/>
    <w:qFormat/>
    <w:uiPriority w:val="0"/>
    <w:pPr>
      <w:widowControl/>
      <w:spacing w:after="160" w:line="240" w:lineRule="exact"/>
      <w:jc w:val="left"/>
    </w:pPr>
    <w:rPr>
      <w:rFonts w:ascii="Calibri" w:hAnsi="Calibri"/>
      <w:szCs w:val="22"/>
    </w:rPr>
  </w:style>
  <w:style w:type="paragraph" w:customStyle="1" w:styleId="1185">
    <w:name w:val="xl125"/>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186">
    <w:name w:val="正文表格5号"/>
    <w:basedOn w:val="1"/>
    <w:autoRedefine/>
    <w:qFormat/>
    <w:uiPriority w:val="0"/>
    <w:pPr>
      <w:adjustRightInd w:val="0"/>
      <w:spacing w:line="460" w:lineRule="exact"/>
      <w:textAlignment w:val="baseline"/>
    </w:pPr>
    <w:rPr>
      <w:rFonts w:ascii="宋体"/>
      <w:kern w:val="0"/>
      <w:szCs w:val="20"/>
    </w:rPr>
  </w:style>
  <w:style w:type="paragraph" w:customStyle="1" w:styleId="1187">
    <w:name w:val="Char Char Char Char Char Char Char Char Char Char3"/>
    <w:basedOn w:val="1"/>
    <w:autoRedefine/>
    <w:qFormat/>
    <w:uiPriority w:val="0"/>
  </w:style>
  <w:style w:type="paragraph" w:customStyle="1" w:styleId="1188">
    <w:name w:val="Char2 Char Char Char"/>
    <w:basedOn w:val="1"/>
    <w:autoRedefine/>
    <w:semiHidden/>
    <w:qFormat/>
    <w:uiPriority w:val="0"/>
    <w:pPr>
      <w:spacing w:line="360" w:lineRule="auto"/>
      <w:ind w:firstLine="200" w:firstLineChars="200"/>
    </w:pPr>
    <w:rPr>
      <w:rFonts w:ascii="宋体" w:hAnsi="宋体" w:cs="宋体"/>
      <w:sz w:val="24"/>
    </w:rPr>
  </w:style>
  <w:style w:type="paragraph" w:customStyle="1" w:styleId="1189">
    <w:name w:val="字元"/>
    <w:basedOn w:val="1"/>
    <w:autoRedefine/>
    <w:qFormat/>
    <w:uiPriority w:val="0"/>
    <w:pPr>
      <w:widowControl/>
      <w:jc w:val="left"/>
    </w:pPr>
    <w:rPr>
      <w:rFonts w:eastAsia="仿宋_GB2312"/>
      <w:kern w:val="0"/>
      <w:sz w:val="24"/>
      <w:szCs w:val="20"/>
    </w:rPr>
  </w:style>
  <w:style w:type="paragraph" w:customStyle="1" w:styleId="1190">
    <w:name w:val="默认段落字体 Para Char Char Char1 Char Char Char Char Char Char Char Char Char Char"/>
    <w:basedOn w:val="1"/>
    <w:autoRedefine/>
    <w:qFormat/>
    <w:uiPriority w:val="0"/>
    <w:rPr>
      <w:sz w:val="24"/>
    </w:rPr>
  </w:style>
  <w:style w:type="paragraph" w:customStyle="1" w:styleId="1191">
    <w:name w:val="样式 样式 题注 + (西文) 宋体 + 段后: 1 行"/>
    <w:basedOn w:val="1"/>
    <w:autoRedefine/>
    <w:qFormat/>
    <w:uiPriority w:val="0"/>
    <w:pPr>
      <w:keepNext/>
      <w:spacing w:line="360" w:lineRule="auto"/>
      <w:ind w:firstLine="200" w:firstLineChars="200"/>
      <w:jc w:val="left"/>
    </w:pPr>
    <w:rPr>
      <w:rFonts w:ascii="宋体" w:hAnsi="宋体" w:cs="宋体"/>
      <w:color w:val="000000"/>
      <w:sz w:val="28"/>
      <w:szCs w:val="20"/>
    </w:rPr>
  </w:style>
  <w:style w:type="paragraph" w:customStyle="1" w:styleId="1192">
    <w:name w:val="表头0"/>
    <w:autoRedefine/>
    <w:qFormat/>
    <w:uiPriority w:val="0"/>
    <w:pPr>
      <w:adjustRightInd w:val="0"/>
      <w:snapToGrid w:val="0"/>
      <w:spacing w:beforeLines="10" w:line="360" w:lineRule="auto"/>
      <w:jc w:val="center"/>
    </w:pPr>
    <w:rPr>
      <w:rFonts w:ascii="Times New Roman" w:hAnsi="Times New Roman" w:eastAsia="宋体" w:cs="Times New Roman"/>
      <w:b/>
      <w:sz w:val="21"/>
      <w:lang w:val="en-US" w:eastAsia="zh-CN" w:bidi="ar-SA"/>
    </w:rPr>
  </w:style>
  <w:style w:type="paragraph" w:customStyle="1" w:styleId="1193">
    <w:name w:val="表字"/>
    <w:basedOn w:val="1"/>
    <w:autoRedefine/>
    <w:qFormat/>
    <w:uiPriority w:val="0"/>
    <w:pPr>
      <w:jc w:val="center"/>
    </w:pPr>
    <w:rPr>
      <w:rFonts w:ascii="宋体"/>
      <w:szCs w:val="20"/>
    </w:rPr>
  </w:style>
  <w:style w:type="paragraph" w:customStyle="1" w:styleId="1194">
    <w:name w:val="xl135"/>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195">
    <w:name w:val="xl60"/>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196">
    <w:name w:val="样式 样式 样式 默认段落字体 Para Char Char Char Char + 字距调整二号 + +"/>
    <w:basedOn w:val="1"/>
    <w:autoRedefine/>
    <w:qFormat/>
    <w:uiPriority w:val="0"/>
    <w:pPr>
      <w:spacing w:beforeLines="50" w:afterLines="50" w:line="360" w:lineRule="auto"/>
      <w:jc w:val="center"/>
    </w:pPr>
    <w:rPr>
      <w:rFonts w:eastAsia="黑体"/>
      <w:kern w:val="44"/>
      <w:sz w:val="32"/>
    </w:rPr>
  </w:style>
  <w:style w:type="paragraph" w:customStyle="1" w:styleId="1197">
    <w:name w:val="Char Char Char2 Char"/>
    <w:basedOn w:val="1"/>
    <w:autoRedefine/>
    <w:qFormat/>
    <w:uiPriority w:val="0"/>
    <w:pPr>
      <w:spacing w:line="360" w:lineRule="auto"/>
      <w:ind w:firstLine="200" w:firstLineChars="200"/>
    </w:pPr>
    <w:rPr>
      <w:rFonts w:ascii="宋体" w:hAnsi="宋体" w:cs="宋体"/>
      <w:sz w:val="24"/>
    </w:rPr>
  </w:style>
  <w:style w:type="paragraph" w:customStyle="1" w:styleId="1198">
    <w:name w:val="Char Char2 Char Char"/>
    <w:basedOn w:val="1"/>
    <w:autoRedefine/>
    <w:qFormat/>
    <w:uiPriority w:val="0"/>
  </w:style>
  <w:style w:type="paragraph" w:customStyle="1" w:styleId="1199">
    <w:name w:val="默认段落字体 Para Char Char Char1 Char Char Char Char"/>
    <w:basedOn w:val="1"/>
    <w:autoRedefine/>
    <w:qFormat/>
    <w:uiPriority w:val="0"/>
    <w:pPr>
      <w:tabs>
        <w:tab w:val="left" w:pos="360"/>
      </w:tabs>
    </w:pPr>
    <w:rPr>
      <w:szCs w:val="20"/>
    </w:rPr>
  </w:style>
  <w:style w:type="paragraph" w:customStyle="1" w:styleId="1200">
    <w:name w:val="Char Char3 Char Char Char Char"/>
    <w:basedOn w:val="1"/>
    <w:autoRedefine/>
    <w:qFormat/>
    <w:uiPriority w:val="0"/>
    <w:pPr>
      <w:widowControl/>
      <w:spacing w:after="160" w:line="240" w:lineRule="exact"/>
      <w:jc w:val="left"/>
    </w:pPr>
    <w:rPr>
      <w:rFonts w:ascii="Verdana" w:hAnsi="Verdana"/>
      <w:kern w:val="0"/>
      <w:sz w:val="20"/>
      <w:szCs w:val="20"/>
      <w:lang w:eastAsia="en-US"/>
    </w:rPr>
  </w:style>
  <w:style w:type="paragraph" w:customStyle="1" w:styleId="1201">
    <w:name w:val="- 页码 -"/>
    <w:autoRedefine/>
    <w:qFormat/>
    <w:uiPriority w:val="0"/>
    <w:pPr>
      <w:widowControl w:val="0"/>
      <w:jc w:val="both"/>
    </w:pPr>
    <w:rPr>
      <w:rFonts w:ascii="Times New Roman" w:hAnsi="Times New Roman" w:eastAsia="宋体" w:cs="Times New Roman"/>
      <w:kern w:val="2"/>
      <w:sz w:val="21"/>
      <w:szCs w:val="21"/>
      <w:lang w:val="en-US" w:eastAsia="zh-CN" w:bidi="ar-SA"/>
    </w:rPr>
  </w:style>
  <w:style w:type="paragraph" w:customStyle="1" w:styleId="1202">
    <w:name w:val="xl87"/>
    <w:basedOn w:val="1"/>
    <w:autoRedefine/>
    <w:qFormat/>
    <w:uiPriority w:val="0"/>
    <w:pPr>
      <w:widowControl/>
      <w:spacing w:before="100" w:beforeAutospacing="1" w:after="100" w:afterAutospacing="1"/>
      <w:jc w:val="center"/>
      <w:textAlignment w:val="center"/>
    </w:pPr>
    <w:rPr>
      <w:rFonts w:ascii="Arial Unicode MS" w:hAnsi="Arial Unicode MS"/>
      <w:kern w:val="0"/>
      <w:sz w:val="12"/>
      <w:szCs w:val="12"/>
    </w:rPr>
  </w:style>
  <w:style w:type="paragraph" w:customStyle="1" w:styleId="1203">
    <w:name w:val="样式 标题 2 + 行距: 1.5 倍行距2"/>
    <w:basedOn w:val="7"/>
    <w:autoRedefine/>
    <w:semiHidden/>
    <w:qFormat/>
    <w:uiPriority w:val="0"/>
    <w:pPr>
      <w:snapToGrid w:val="0"/>
      <w:spacing w:before="120" w:beforeLines="100" w:after="120" w:afterLines="100" w:line="240" w:lineRule="auto"/>
      <w:ind w:left="1134" w:hanging="992"/>
      <w:jc w:val="left"/>
    </w:pPr>
    <w:rPr>
      <w:rFonts w:ascii="Times New Roman" w:hAnsi="Times New Roman" w:cs="宋体"/>
      <w:sz w:val="28"/>
      <w:szCs w:val="28"/>
    </w:rPr>
  </w:style>
  <w:style w:type="paragraph" w:customStyle="1" w:styleId="1204">
    <w:name w:val="xl191"/>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05">
    <w:name w:val="东明_正文 Char"/>
    <w:basedOn w:val="1"/>
    <w:autoRedefine/>
    <w:qFormat/>
    <w:uiPriority w:val="0"/>
    <w:pPr>
      <w:spacing w:before="240" w:after="240" w:line="480" w:lineRule="exact"/>
      <w:ind w:firstLine="560" w:firstLineChars="200"/>
    </w:pPr>
    <w:rPr>
      <w:sz w:val="28"/>
      <w:szCs w:val="20"/>
    </w:rPr>
  </w:style>
  <w:style w:type="paragraph" w:customStyle="1" w:styleId="1206">
    <w:name w:val="样式15"/>
    <w:basedOn w:val="1"/>
    <w:autoRedefine/>
    <w:qFormat/>
    <w:uiPriority w:val="0"/>
    <w:pPr>
      <w:numPr>
        <w:ilvl w:val="0"/>
        <w:numId w:val="14"/>
      </w:numPr>
      <w:tabs>
        <w:tab w:val="left" w:pos="432"/>
      </w:tabs>
    </w:pPr>
    <w:rPr>
      <w:sz w:val="24"/>
    </w:rPr>
  </w:style>
  <w:style w:type="paragraph" w:customStyle="1" w:styleId="1207">
    <w:name w:val="样式 标题 1章标题 11标题 1H1一、 + 行距: 单倍行距"/>
    <w:basedOn w:val="6"/>
    <w:autoRedefine/>
    <w:semiHidden/>
    <w:qFormat/>
    <w:uiPriority w:val="0"/>
    <w:pPr>
      <w:keepLines/>
      <w:overflowPunct/>
      <w:spacing w:before="340" w:after="330" w:line="240" w:lineRule="auto"/>
      <w:ind w:left="3845" w:hanging="3845"/>
      <w:jc w:val="center"/>
    </w:pPr>
    <w:rPr>
      <w:rFonts w:cs="宋体"/>
      <w:color w:val="auto"/>
      <w:sz w:val="44"/>
      <w:szCs w:val="20"/>
    </w:rPr>
  </w:style>
  <w:style w:type="paragraph" w:customStyle="1" w:styleId="1208">
    <w:name w:val="xl113"/>
    <w:basedOn w:val="1"/>
    <w:autoRedefine/>
    <w:qFormat/>
    <w:uiPriority w:val="0"/>
    <w:pPr>
      <w:widowControl/>
      <w:pBdr>
        <w:top w:val="single" w:color="auto" w:sz="8" w:space="0"/>
        <w:bottom w:val="single" w:color="auto" w:sz="12" w:space="0"/>
      </w:pBdr>
      <w:spacing w:before="100" w:beforeAutospacing="1" w:after="100" w:afterAutospacing="1"/>
      <w:jc w:val="left"/>
    </w:pPr>
    <w:rPr>
      <w:rFonts w:ascii="Arial Unicode MS" w:hAnsi="Arial Unicode MS"/>
      <w:kern w:val="0"/>
      <w:sz w:val="16"/>
      <w:szCs w:val="16"/>
    </w:rPr>
  </w:style>
  <w:style w:type="paragraph" w:customStyle="1" w:styleId="1209">
    <w:name w:val="封面标准文稿编辑信息"/>
    <w:autoRedefine/>
    <w:qFormat/>
    <w:uiPriority w:val="0"/>
    <w:pPr>
      <w:spacing w:before="180" w:line="180" w:lineRule="exact"/>
      <w:jc w:val="center"/>
    </w:pPr>
    <w:rPr>
      <w:rFonts w:ascii="宋体" w:hAnsi="Times New Roman" w:eastAsia="宋体" w:cs="Times New Roman"/>
      <w:sz w:val="21"/>
      <w:lang w:val="en-US" w:eastAsia="zh-CN" w:bidi="ar-SA"/>
    </w:rPr>
  </w:style>
  <w:style w:type="paragraph" w:customStyle="1" w:styleId="1210">
    <w:name w:val="xl152"/>
    <w:basedOn w:val="1"/>
    <w:autoRedefine/>
    <w:qFormat/>
    <w:uiPriority w:val="0"/>
    <w:pPr>
      <w:widowControl/>
      <w:spacing w:before="100" w:beforeAutospacing="1" w:after="100" w:afterAutospacing="1"/>
      <w:jc w:val="left"/>
      <w:textAlignment w:val="center"/>
    </w:pPr>
    <w:rPr>
      <w:rFonts w:ascii="Arial Unicode MS" w:hAnsi="Arial Unicode MS"/>
      <w:kern w:val="0"/>
      <w:sz w:val="16"/>
      <w:szCs w:val="16"/>
    </w:rPr>
  </w:style>
  <w:style w:type="paragraph" w:customStyle="1" w:styleId="1211">
    <w:name w:val="Char Char Char Char Char Char Char Char Char Char1 Char Char Char"/>
    <w:basedOn w:val="1"/>
    <w:autoRedefine/>
    <w:qFormat/>
    <w:uiPriority w:val="0"/>
    <w:pPr>
      <w:widowControl/>
      <w:contextualSpacing/>
      <w:jc w:val="left"/>
    </w:pPr>
    <w:rPr>
      <w:rFonts w:cs="宋体"/>
      <w:kern w:val="0"/>
    </w:rPr>
  </w:style>
  <w:style w:type="paragraph" w:customStyle="1" w:styleId="1212">
    <w:name w:val="表头样式1"/>
    <w:basedOn w:val="1"/>
    <w:autoRedefine/>
    <w:qFormat/>
    <w:uiPriority w:val="0"/>
    <w:pPr>
      <w:widowControl/>
      <w:tabs>
        <w:tab w:val="left" w:pos="2310"/>
      </w:tabs>
      <w:autoSpaceDE w:val="0"/>
      <w:autoSpaceDN w:val="0"/>
      <w:adjustRightInd w:val="0"/>
      <w:spacing w:line="480" w:lineRule="exact"/>
      <w:contextualSpacing/>
      <w:jc w:val="center"/>
    </w:pPr>
    <w:rPr>
      <w:rFonts w:cs="宋体"/>
      <w:b/>
      <w:bCs/>
      <w:kern w:val="0"/>
    </w:rPr>
  </w:style>
  <w:style w:type="paragraph" w:customStyle="1" w:styleId="1213">
    <w:name w:val="xl75"/>
    <w:basedOn w:val="1"/>
    <w:autoRedefine/>
    <w:qFormat/>
    <w:uiPriority w:val="0"/>
    <w:pPr>
      <w:widowControl/>
      <w:spacing w:before="100" w:beforeAutospacing="1" w:after="100" w:afterAutospacing="1"/>
      <w:jc w:val="left"/>
    </w:pPr>
    <w:rPr>
      <w:kern w:val="0"/>
      <w:sz w:val="12"/>
      <w:szCs w:val="12"/>
    </w:rPr>
  </w:style>
  <w:style w:type="paragraph" w:customStyle="1" w:styleId="1214">
    <w:name w:val="CM18"/>
    <w:basedOn w:val="1"/>
    <w:next w:val="1"/>
    <w:autoRedefine/>
    <w:qFormat/>
    <w:uiPriority w:val="0"/>
    <w:pPr>
      <w:autoSpaceDE w:val="0"/>
      <w:autoSpaceDN w:val="0"/>
      <w:adjustRightInd w:val="0"/>
      <w:spacing w:line="468" w:lineRule="atLeast"/>
      <w:contextualSpacing/>
      <w:jc w:val="left"/>
    </w:pPr>
    <w:rPr>
      <w:rFonts w:ascii="黑体" w:eastAsia="黑体"/>
      <w:kern w:val="0"/>
    </w:rPr>
  </w:style>
  <w:style w:type="paragraph" w:customStyle="1" w:styleId="1215">
    <w:name w:val="xl109"/>
    <w:basedOn w:val="1"/>
    <w:autoRedefine/>
    <w:qFormat/>
    <w:uiPriority w:val="0"/>
    <w:pPr>
      <w:widowControl/>
      <w:pBdr>
        <w:top w:val="single" w:color="auto" w:sz="12"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16">
    <w:name w:val="菏泽-标题4"/>
    <w:basedOn w:val="1"/>
    <w:autoRedefine/>
    <w:qFormat/>
    <w:uiPriority w:val="0"/>
    <w:pPr>
      <w:spacing w:line="440" w:lineRule="exact"/>
      <w:ind w:firstLine="420" w:firstLineChars="200"/>
    </w:pPr>
    <w:rPr>
      <w:rFonts w:ascii="华文细黑" w:hAnsi="华文细黑" w:eastAsia="华文细黑"/>
      <w:b/>
      <w:szCs w:val="20"/>
    </w:rPr>
  </w:style>
  <w:style w:type="paragraph" w:customStyle="1" w:styleId="1217">
    <w:name w:val="xl99"/>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18">
    <w:name w:val="IDC A-Head (2nd Line)"/>
    <w:basedOn w:val="1"/>
    <w:next w:val="1"/>
    <w:autoRedefine/>
    <w:qFormat/>
    <w:uiPriority w:val="0"/>
    <w:pPr>
      <w:widowControl/>
      <w:jc w:val="center"/>
    </w:pPr>
    <w:rPr>
      <w:caps/>
      <w:kern w:val="0"/>
      <w:sz w:val="24"/>
      <w:szCs w:val="20"/>
    </w:rPr>
  </w:style>
  <w:style w:type="paragraph" w:customStyle="1" w:styleId="1219">
    <w:name w:val="样式 正文文本 + 首行缩进:  2 字符 段前: 0.5 行"/>
    <w:basedOn w:val="1"/>
    <w:autoRedefine/>
    <w:qFormat/>
    <w:uiPriority w:val="0"/>
    <w:pPr>
      <w:widowControl/>
      <w:spacing w:line="360" w:lineRule="auto"/>
      <w:ind w:firstLine="480" w:firstLineChars="200"/>
    </w:pPr>
    <w:rPr>
      <w:rFonts w:ascii="宋体" w:hAnsi="宋体" w:cs="宋体"/>
      <w:color w:val="000000"/>
      <w:sz w:val="24"/>
    </w:rPr>
  </w:style>
  <w:style w:type="paragraph" w:customStyle="1" w:styleId="1220">
    <w:name w:val="CM22"/>
    <w:basedOn w:val="102"/>
    <w:next w:val="102"/>
    <w:autoRedefine/>
    <w:qFormat/>
    <w:uiPriority w:val="0"/>
    <w:pPr>
      <w:spacing w:after="145"/>
    </w:pPr>
    <w:rPr>
      <w:color w:val="auto"/>
    </w:rPr>
  </w:style>
  <w:style w:type="paragraph" w:customStyle="1" w:styleId="1221">
    <w:name w:val="xl148"/>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rPr>
  </w:style>
  <w:style w:type="paragraph" w:customStyle="1" w:styleId="1222">
    <w:name w:val="正文表"/>
    <w:basedOn w:val="1"/>
    <w:autoRedefine/>
    <w:qFormat/>
    <w:uiPriority w:val="0"/>
    <w:pPr>
      <w:tabs>
        <w:tab w:val="left" w:pos="2451"/>
        <w:tab w:val="left" w:pos="4614"/>
        <w:tab w:val="left" w:pos="6777"/>
        <w:tab w:val="left" w:pos="8940"/>
      </w:tabs>
      <w:autoSpaceDE w:val="0"/>
      <w:autoSpaceDN w:val="0"/>
      <w:adjustRightInd w:val="0"/>
      <w:contextualSpacing/>
      <w:jc w:val="center"/>
      <w:textAlignment w:val="bottom"/>
    </w:pPr>
    <w:rPr>
      <w:color w:val="000000"/>
      <w:kern w:val="0"/>
      <w:sz w:val="28"/>
      <w:szCs w:val="20"/>
    </w:rPr>
  </w:style>
  <w:style w:type="paragraph" w:customStyle="1" w:styleId="1223">
    <w:name w:val="p15"/>
    <w:basedOn w:val="1"/>
    <w:autoRedefine/>
    <w:qFormat/>
    <w:uiPriority w:val="0"/>
    <w:pPr>
      <w:widowControl/>
      <w:jc w:val="left"/>
    </w:pPr>
    <w:rPr>
      <w:rFonts w:ascii="宋体" w:hAnsi="宋体" w:cs="宋体"/>
      <w:kern w:val="0"/>
      <w:sz w:val="24"/>
    </w:rPr>
  </w:style>
  <w:style w:type="paragraph" w:customStyle="1" w:styleId="1224">
    <w:name w:val="样式9"/>
    <w:basedOn w:val="6"/>
    <w:autoRedefine/>
    <w:qFormat/>
    <w:uiPriority w:val="0"/>
    <w:pPr>
      <w:keepLines/>
      <w:tabs>
        <w:tab w:val="left" w:pos="390"/>
      </w:tabs>
      <w:overflowPunct/>
      <w:snapToGrid/>
      <w:spacing w:before="340" w:beforeLines="200" w:after="330" w:afterLines="200" w:line="520" w:lineRule="exact"/>
      <w:ind w:left="390" w:firstLine="0"/>
    </w:pPr>
    <w:rPr>
      <w:rFonts w:ascii="Calibri" w:hAnsi="Calibri" w:eastAsia="宋体"/>
      <w:color w:val="auto"/>
      <w:sz w:val="44"/>
      <w:szCs w:val="44"/>
    </w:rPr>
  </w:style>
  <w:style w:type="paragraph" w:customStyle="1" w:styleId="1225">
    <w:name w:val="环评正文"/>
    <w:basedOn w:val="6"/>
    <w:autoRedefine/>
    <w:qFormat/>
    <w:uiPriority w:val="0"/>
    <w:pPr>
      <w:keepNext w:val="0"/>
      <w:overflowPunct/>
      <w:snapToGrid/>
      <w:spacing w:before="60" w:after="60" w:line="400" w:lineRule="exact"/>
      <w:ind w:left="0" w:firstLine="480" w:firstLineChars="200"/>
      <w:outlineLvl w:val="9"/>
    </w:pPr>
    <w:rPr>
      <w:rFonts w:eastAsia="仿宋_GB2312"/>
      <w:b w:val="0"/>
      <w:color w:val="auto"/>
      <w:sz w:val="24"/>
      <w:szCs w:val="28"/>
    </w:rPr>
  </w:style>
  <w:style w:type="paragraph" w:customStyle="1" w:styleId="1226">
    <w:name w:val="xl129"/>
    <w:basedOn w:val="1"/>
    <w:autoRedefine/>
    <w:qFormat/>
    <w:uiPriority w:val="0"/>
    <w:pPr>
      <w:widowControl/>
      <w:pBdr>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27">
    <w:name w:val="text4"/>
    <w:basedOn w:val="1"/>
    <w:autoRedefine/>
    <w:qFormat/>
    <w:uiPriority w:val="0"/>
    <w:pPr>
      <w:widowControl/>
      <w:spacing w:after="150" w:line="336" w:lineRule="auto"/>
      <w:ind w:firstLine="400"/>
      <w:jc w:val="left"/>
    </w:pPr>
    <w:rPr>
      <w:rFonts w:ascii="Arial Unicode MS" w:hAnsi="Arial Unicode MS"/>
      <w:color w:val="333300"/>
      <w:kern w:val="0"/>
      <w:sz w:val="20"/>
      <w:szCs w:val="20"/>
    </w:rPr>
  </w:style>
  <w:style w:type="paragraph" w:customStyle="1" w:styleId="1228">
    <w:name w:val="xl164"/>
    <w:basedOn w:val="1"/>
    <w:autoRedefine/>
    <w:qFormat/>
    <w:uiPriority w:val="0"/>
    <w:pPr>
      <w:widowControl/>
      <w:pBdr>
        <w:left w:val="single" w:color="auto" w:sz="12" w:space="0"/>
        <w:bottom w:val="single" w:color="auto" w:sz="12" w:space="0"/>
      </w:pBdr>
      <w:spacing w:before="100" w:beforeAutospacing="1" w:after="100" w:afterAutospacing="1"/>
      <w:jc w:val="center"/>
    </w:pPr>
    <w:rPr>
      <w:rFonts w:ascii="Arial Unicode MS" w:hAnsi="Arial Unicode MS"/>
      <w:kern w:val="0"/>
    </w:rPr>
  </w:style>
  <w:style w:type="paragraph" w:customStyle="1" w:styleId="1229">
    <w:name w:val="Char Char Char Char Char Char Char Char Char Char2"/>
    <w:basedOn w:val="1"/>
    <w:autoRedefine/>
    <w:qFormat/>
    <w:uiPriority w:val="0"/>
    <w:pPr>
      <w:widowControl/>
      <w:contextualSpacing/>
      <w:jc w:val="left"/>
    </w:pPr>
    <w:rPr>
      <w:rFonts w:cs="宋体"/>
      <w:kern w:val="0"/>
    </w:rPr>
  </w:style>
  <w:style w:type="paragraph" w:customStyle="1" w:styleId="1230">
    <w:name w:val="样式 标题 4东明_小节2Char Char Char Char Char Char Char Char Char Char..."/>
    <w:basedOn w:val="9"/>
    <w:autoRedefine/>
    <w:semiHidden/>
    <w:qFormat/>
    <w:uiPriority w:val="0"/>
    <w:pPr>
      <w:snapToGrid w:val="0"/>
      <w:spacing w:before="0" w:after="0" w:line="600" w:lineRule="exact"/>
      <w:ind w:left="2884" w:hanging="1984"/>
    </w:pPr>
    <w:rPr>
      <w:rFonts w:ascii="Times New Roman" w:hAnsi="Times New Roman" w:eastAsia="黑体" w:cs="宋体"/>
      <w:b w:val="0"/>
      <w:sz w:val="24"/>
      <w:szCs w:val="20"/>
    </w:rPr>
  </w:style>
  <w:style w:type="paragraph" w:customStyle="1" w:styleId="1231">
    <w:name w:val="表标题7.2"/>
    <w:basedOn w:val="1"/>
    <w:autoRedefine/>
    <w:qFormat/>
    <w:uiPriority w:val="0"/>
    <w:pPr>
      <w:numPr>
        <w:ilvl w:val="0"/>
        <w:numId w:val="15"/>
      </w:numPr>
      <w:tabs>
        <w:tab w:val="left" w:pos="3765"/>
        <w:tab w:val="center" w:pos="4060"/>
        <w:tab w:val="right" w:pos="8261"/>
        <w:tab w:val="clear" w:pos="726"/>
      </w:tabs>
      <w:suppressAutoHyphens/>
      <w:adjustRightInd w:val="0"/>
      <w:spacing w:beforeLines="100" w:line="0" w:lineRule="atLeast"/>
      <w:ind w:left="3041"/>
      <w:jc w:val="center"/>
    </w:pPr>
    <w:rPr>
      <w:rFonts w:ascii="黑体" w:eastAsia="黑体" w:cs="宋体"/>
      <w:b/>
      <w:bCs/>
      <w:spacing w:val="6"/>
      <w:kern w:val="0"/>
      <w:sz w:val="24"/>
    </w:rPr>
  </w:style>
  <w:style w:type="paragraph" w:customStyle="1" w:styleId="1232">
    <w:name w:val="xl107"/>
    <w:basedOn w:val="1"/>
    <w:autoRedefine/>
    <w:qFormat/>
    <w:uiPriority w:val="0"/>
    <w:pPr>
      <w:widowControl/>
      <w:pBdr>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33">
    <w:name w:val="样式 标题 4 + (符号) 宋体 段前: 6 磅"/>
    <w:basedOn w:val="9"/>
    <w:autoRedefine/>
    <w:qFormat/>
    <w:uiPriority w:val="0"/>
    <w:pPr>
      <w:snapToGrid w:val="0"/>
      <w:spacing w:before="0" w:after="0" w:line="540" w:lineRule="exact"/>
      <w:ind w:left="2884" w:hanging="1984"/>
      <w:jc w:val="left"/>
    </w:pPr>
    <w:rPr>
      <w:rFonts w:ascii="Times New Roman" w:hAnsi="宋体" w:cs="宋体"/>
      <w:sz w:val="24"/>
      <w:szCs w:val="20"/>
    </w:rPr>
  </w:style>
  <w:style w:type="paragraph" w:customStyle="1" w:styleId="1234">
    <w:name w:val="Char11"/>
    <w:basedOn w:val="1"/>
    <w:autoRedefine/>
    <w:qFormat/>
    <w:uiPriority w:val="0"/>
    <w:pPr>
      <w:snapToGrid w:val="0"/>
      <w:spacing w:line="500" w:lineRule="exact"/>
      <w:contextualSpacing/>
    </w:pPr>
    <w:rPr>
      <w:rFonts w:eastAsia="仿宋_GB2312"/>
    </w:rPr>
  </w:style>
  <w:style w:type="paragraph" w:customStyle="1" w:styleId="1235">
    <w:name w:val="表体"/>
    <w:basedOn w:val="160"/>
    <w:autoRedefine/>
    <w:semiHidden/>
    <w:qFormat/>
    <w:uiPriority w:val="0"/>
    <w:pPr>
      <w:overflowPunct w:val="0"/>
      <w:autoSpaceDE w:val="0"/>
      <w:autoSpaceDN w:val="0"/>
      <w:snapToGrid/>
      <w:spacing w:line="300" w:lineRule="atLeast"/>
      <w:jc w:val="left"/>
    </w:pPr>
    <w:rPr>
      <w:rFonts w:eastAsia="宋体"/>
      <w:color w:val="000000"/>
      <w:spacing w:val="0"/>
      <w:kern w:val="24"/>
      <w:sz w:val="18"/>
    </w:rPr>
  </w:style>
  <w:style w:type="paragraph" w:customStyle="1" w:styleId="1236">
    <w:name w:val="wj12"/>
    <w:basedOn w:val="1"/>
    <w:autoRedefine/>
    <w:qFormat/>
    <w:uiPriority w:val="0"/>
    <w:pPr>
      <w:widowControl/>
      <w:spacing w:before="100" w:beforeAutospacing="1" w:after="100" w:afterAutospacing="1"/>
      <w:jc w:val="left"/>
    </w:pPr>
    <w:rPr>
      <w:rFonts w:ascii="宋体" w:hAnsi="宋体" w:cs="宋体"/>
      <w:kern w:val="0"/>
      <w:sz w:val="18"/>
      <w:szCs w:val="18"/>
    </w:rPr>
  </w:style>
  <w:style w:type="paragraph" w:customStyle="1" w:styleId="1237">
    <w:name w:val="xl156"/>
    <w:basedOn w:val="1"/>
    <w:autoRedefine/>
    <w:qFormat/>
    <w:uiPriority w:val="0"/>
    <w:pPr>
      <w:widowControl/>
      <w:pBdr>
        <w:left w:val="single" w:color="auto" w:sz="4" w:space="0"/>
        <w:right w:val="single" w:color="auto" w:sz="4" w:space="0"/>
      </w:pBdr>
      <w:spacing w:before="100" w:beforeAutospacing="1" w:after="100" w:afterAutospacing="1"/>
      <w:jc w:val="left"/>
    </w:pPr>
    <w:rPr>
      <w:rFonts w:ascii="Arial Unicode MS" w:hAnsi="Arial Unicode MS"/>
      <w:kern w:val="0"/>
      <w:sz w:val="20"/>
      <w:szCs w:val="20"/>
    </w:rPr>
  </w:style>
  <w:style w:type="paragraph" w:customStyle="1" w:styleId="1238">
    <w:name w:val="样式 标题 51)项标5 +"/>
    <w:basedOn w:val="10"/>
    <w:autoRedefine/>
    <w:qFormat/>
    <w:uiPriority w:val="0"/>
    <w:pPr>
      <w:keepNext w:val="0"/>
      <w:keepLines w:val="0"/>
      <w:tabs>
        <w:tab w:val="left" w:pos="987"/>
        <w:tab w:val="clear" w:pos="1008"/>
      </w:tabs>
      <w:spacing w:before="0" w:after="0" w:line="360" w:lineRule="auto"/>
      <w:ind w:left="987" w:hanging="420"/>
      <w:contextualSpacing/>
    </w:pPr>
    <w:rPr>
      <w:rFonts w:hAnsi="Arial"/>
      <w:b w:val="0"/>
      <w:bCs/>
      <w:color w:val="000000"/>
      <w:spacing w:val="3"/>
      <w:szCs w:val="28"/>
    </w:rPr>
  </w:style>
  <w:style w:type="paragraph" w:customStyle="1" w:styleId="1239">
    <w:name w:val="xl81"/>
    <w:basedOn w:val="1"/>
    <w:autoRedefine/>
    <w:qFormat/>
    <w:uiPriority w:val="0"/>
    <w:pPr>
      <w:widowControl/>
      <w:pBdr>
        <w:left w:val="single" w:color="auto" w:sz="12" w:space="0"/>
        <w:bottom w:val="single" w:color="auto" w:sz="12" w:space="0"/>
        <w:right w:val="single" w:color="auto" w:sz="4" w:space="0"/>
      </w:pBdr>
      <w:spacing w:before="100" w:beforeAutospacing="1" w:after="100" w:afterAutospacing="1"/>
      <w:jc w:val="center"/>
    </w:pPr>
    <w:rPr>
      <w:rFonts w:ascii="Arial Unicode MS" w:hAnsi="Arial Unicode MS"/>
      <w:kern w:val="0"/>
      <w:sz w:val="12"/>
      <w:szCs w:val="12"/>
    </w:rPr>
  </w:style>
  <w:style w:type="paragraph" w:customStyle="1" w:styleId="1240">
    <w:name w:val="菏泽-正文 Char"/>
    <w:basedOn w:val="1"/>
    <w:autoRedefine/>
    <w:qFormat/>
    <w:uiPriority w:val="0"/>
    <w:pPr>
      <w:spacing w:line="440" w:lineRule="exact"/>
      <w:ind w:firstLine="420" w:firstLineChars="200"/>
    </w:pPr>
    <w:rPr>
      <w:rFonts w:ascii="Arial" w:hAnsi="Arial" w:eastAsia="华文细黑"/>
    </w:rPr>
  </w:style>
  <w:style w:type="paragraph" w:customStyle="1" w:styleId="1241">
    <w:name w:val="小Ꮄ"/>
    <w:basedOn w:val="1"/>
    <w:autoRedefine/>
    <w:qFormat/>
    <w:uiPriority w:val="0"/>
    <w:pPr>
      <w:spacing w:before="60" w:after="60" w:line="360" w:lineRule="auto"/>
    </w:pPr>
  </w:style>
  <w:style w:type="paragraph" w:customStyle="1" w:styleId="1242">
    <w:name w:val="xl130"/>
    <w:basedOn w:val="1"/>
    <w:autoRedefine/>
    <w:qFormat/>
    <w:uiPriority w:val="0"/>
    <w:pPr>
      <w:widowControl/>
      <w:pBdr>
        <w:left w:val="single" w:color="auto" w:sz="4" w:space="0"/>
        <w:right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43">
    <w:name w:val="样式 样式 样式 标题 4 + 宋体 行距: 1.5 倍行距 + 段前: 0.5 行 + Times New Roman"/>
    <w:basedOn w:val="852"/>
    <w:autoRedefine/>
    <w:qFormat/>
    <w:uiPriority w:val="0"/>
    <w:pPr>
      <w:snapToGrid w:val="0"/>
      <w:spacing w:beforeLines="50" w:after="120"/>
      <w:ind w:left="2884" w:hanging="2884"/>
      <w:jc w:val="left"/>
    </w:pPr>
    <w:rPr>
      <w:rFonts w:hAnsi="Times New Roman"/>
      <w:b w:val="0"/>
    </w:rPr>
  </w:style>
  <w:style w:type="paragraph" w:customStyle="1" w:styleId="1244">
    <w:name w:val="xl174"/>
    <w:basedOn w:val="1"/>
    <w:autoRedefine/>
    <w:qFormat/>
    <w:uiPriority w:val="0"/>
    <w:pPr>
      <w:widowControl/>
      <w:spacing w:before="100" w:beforeAutospacing="1" w:after="100" w:afterAutospacing="1"/>
      <w:jc w:val="center"/>
    </w:pPr>
    <w:rPr>
      <w:rFonts w:ascii="Arial Unicode MS" w:hAnsi="Arial Unicode MS"/>
      <w:kern w:val="0"/>
      <w:sz w:val="16"/>
      <w:szCs w:val="16"/>
    </w:rPr>
  </w:style>
  <w:style w:type="paragraph" w:customStyle="1" w:styleId="1245">
    <w:name w:val="样式 样式 样式 首行缩进:  2 字符 + 首行缩进:  2 字符 + 居中 行距: 单倍行距"/>
    <w:basedOn w:val="1"/>
    <w:autoRedefine/>
    <w:qFormat/>
    <w:uiPriority w:val="0"/>
    <w:pPr>
      <w:jc w:val="center"/>
    </w:pPr>
    <w:rPr>
      <w:rFonts w:eastAsia="仿宋_GB2312"/>
      <w:sz w:val="24"/>
      <w:szCs w:val="20"/>
    </w:rPr>
  </w:style>
  <w:style w:type="paragraph" w:customStyle="1" w:styleId="1246">
    <w:name w:val="xl45"/>
    <w:basedOn w:val="1"/>
    <w:autoRedefine/>
    <w:qFormat/>
    <w:uiPriority w:val="0"/>
    <w:pPr>
      <w:widowControl/>
      <w:spacing w:before="100" w:beforeAutospacing="1" w:after="100" w:afterAutospacing="1"/>
      <w:jc w:val="center"/>
    </w:pPr>
    <w:rPr>
      <w:rFonts w:ascii="Arial" w:hAnsi="Arial" w:cs="Arial"/>
      <w:b/>
      <w:bCs/>
      <w:kern w:val="0"/>
      <w:sz w:val="22"/>
      <w:szCs w:val="22"/>
    </w:rPr>
  </w:style>
  <w:style w:type="paragraph" w:customStyle="1" w:styleId="1247">
    <w:name w:val="表格 左侧"/>
    <w:basedOn w:val="200"/>
    <w:autoRedefine/>
    <w:qFormat/>
    <w:uiPriority w:val="0"/>
    <w:pPr>
      <w:widowControl/>
      <w:adjustRightInd/>
      <w:snapToGrid/>
      <w:spacing w:beforeLines="0" w:afterLines="0" w:line="240" w:lineRule="auto"/>
      <w:jc w:val="left"/>
    </w:pPr>
    <w:rPr>
      <w:rFonts w:ascii="Times New Roman"/>
      <w:b/>
      <w:bCs/>
      <w:snapToGrid w:val="0"/>
      <w:kern w:val="18"/>
      <w:szCs w:val="21"/>
    </w:rPr>
  </w:style>
  <w:style w:type="paragraph" w:customStyle="1" w:styleId="1248">
    <w:name w:val="xl91"/>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49">
    <w:name w:val="xl139"/>
    <w:basedOn w:val="1"/>
    <w:autoRedefine/>
    <w:qFormat/>
    <w:uiPriority w:val="0"/>
    <w:pPr>
      <w:widowControl/>
      <w:spacing w:before="100" w:beforeAutospacing="1" w:after="100" w:afterAutospacing="1"/>
      <w:jc w:val="center"/>
      <w:textAlignment w:val="center"/>
    </w:pPr>
    <w:rPr>
      <w:rFonts w:ascii="Arial Unicode MS" w:hAnsi="Arial Unicode MS"/>
      <w:kern w:val="0"/>
      <w:sz w:val="16"/>
      <w:szCs w:val="16"/>
    </w:rPr>
  </w:style>
  <w:style w:type="paragraph" w:customStyle="1" w:styleId="1250">
    <w:name w:val="font_mid"/>
    <w:basedOn w:val="1"/>
    <w:autoRedefine/>
    <w:qFormat/>
    <w:uiPriority w:val="0"/>
    <w:pPr>
      <w:widowControl/>
      <w:spacing w:before="100" w:beforeAutospacing="1" w:after="100" w:afterAutospacing="1"/>
      <w:jc w:val="left"/>
    </w:pPr>
    <w:rPr>
      <w:rFonts w:ascii="宋体" w:hAnsi="宋体"/>
      <w:color w:val="000000"/>
      <w:kern w:val="0"/>
      <w:sz w:val="24"/>
    </w:rPr>
  </w:style>
  <w:style w:type="paragraph" w:customStyle="1" w:styleId="1251">
    <w:name w:val="表格的文字"/>
    <w:basedOn w:val="1"/>
    <w:autoRedefine/>
    <w:qFormat/>
    <w:uiPriority w:val="0"/>
    <w:pPr>
      <w:spacing w:line="300" w:lineRule="exact"/>
      <w:jc w:val="center"/>
    </w:pPr>
    <w:rPr>
      <w:rFonts w:ascii="仿宋_GB2312" w:eastAsia="仿宋_GB2312"/>
      <w:bCs/>
      <w:szCs w:val="20"/>
    </w:rPr>
  </w:style>
  <w:style w:type="paragraph" w:customStyle="1" w:styleId="1252">
    <w:name w:val="新正文"/>
    <w:basedOn w:val="1"/>
    <w:autoRedefine/>
    <w:qFormat/>
    <w:uiPriority w:val="0"/>
    <w:pPr>
      <w:spacing w:line="480" w:lineRule="exact"/>
      <w:ind w:firstLine="567"/>
    </w:pPr>
    <w:rPr>
      <w:rFonts w:ascii="仿宋_GB2312" w:eastAsia="仿宋_GB2312"/>
      <w:bCs/>
      <w:kern w:val="0"/>
      <w:sz w:val="28"/>
      <w:szCs w:val="20"/>
    </w:rPr>
  </w:style>
  <w:style w:type="paragraph" w:customStyle="1" w:styleId="1253">
    <w:name w:val="brdrw15brsp20 tqctx4153t"/>
    <w:autoRedefine/>
    <w:qFormat/>
    <w:uiPriority w:val="0"/>
    <w:pPr>
      <w:widowControl w:val="0"/>
      <w:pBdr>
        <w:bottom w:val="single" w:color="auto" w:sz="6" w:space="0"/>
      </w:pBdr>
      <w:adjustRightInd w:val="0"/>
      <w:spacing w:line="312" w:lineRule="atLeast"/>
      <w:jc w:val="center"/>
      <w:textAlignment w:val="baseline"/>
    </w:pPr>
    <w:rPr>
      <w:rFonts w:ascii="Times New Roman" w:hAnsi="Times New Roman" w:eastAsia="宋体" w:cs="Times New Roman"/>
      <w:sz w:val="21"/>
      <w:lang w:val="en-US" w:eastAsia="zh-CN" w:bidi="ar-SA"/>
    </w:rPr>
  </w:style>
  <w:style w:type="paragraph" w:customStyle="1" w:styleId="1254">
    <w:name w:val="xl196"/>
    <w:basedOn w:val="1"/>
    <w:autoRedefine/>
    <w:qFormat/>
    <w:uiPriority w:val="0"/>
    <w:pPr>
      <w:widowControl/>
      <w:pBdr>
        <w:left w:val="single" w:color="auto" w:sz="4" w:space="0"/>
        <w:right w:val="single" w:color="auto" w:sz="4" w:space="0"/>
      </w:pBdr>
      <w:spacing w:before="100" w:beforeAutospacing="1" w:after="100" w:afterAutospacing="1"/>
      <w:jc w:val="center"/>
    </w:pPr>
    <w:rPr>
      <w:rFonts w:ascii="Arial Unicode MS" w:hAnsi="Arial Unicode MS"/>
      <w:kern w:val="0"/>
    </w:rPr>
  </w:style>
  <w:style w:type="paragraph" w:customStyle="1" w:styleId="1255">
    <w:name w:val="zw"/>
    <w:basedOn w:val="1"/>
    <w:autoRedefine/>
    <w:qFormat/>
    <w:uiPriority w:val="0"/>
    <w:pPr>
      <w:widowControl/>
      <w:spacing w:before="100" w:beforeAutospacing="1" w:after="100" w:afterAutospacing="1" w:line="400" w:lineRule="atLeast"/>
      <w:jc w:val="left"/>
    </w:pPr>
    <w:rPr>
      <w:rFonts w:hint="eastAsia" w:ascii="宋体" w:hAnsi="宋体"/>
      <w:kern w:val="0"/>
      <w:sz w:val="22"/>
      <w:szCs w:val="22"/>
    </w:rPr>
  </w:style>
  <w:style w:type="paragraph" w:customStyle="1" w:styleId="1256">
    <w:name w:val="3级标题"/>
    <w:basedOn w:val="1"/>
    <w:autoRedefine/>
    <w:qFormat/>
    <w:uiPriority w:val="0"/>
    <w:pPr>
      <w:spacing w:before="300" w:line="460" w:lineRule="exact"/>
      <w:outlineLvl w:val="2"/>
    </w:pPr>
    <w:rPr>
      <w:b/>
      <w:sz w:val="24"/>
      <w:szCs w:val="20"/>
    </w:rPr>
  </w:style>
  <w:style w:type="paragraph" w:customStyle="1" w:styleId="1257">
    <w:name w:val="Char51"/>
    <w:basedOn w:val="1"/>
    <w:autoRedefine/>
    <w:qFormat/>
    <w:uiPriority w:val="0"/>
  </w:style>
  <w:style w:type="paragraph" w:customStyle="1" w:styleId="1258">
    <w:name w:val="xl180"/>
    <w:basedOn w:val="1"/>
    <w:autoRedefine/>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259">
    <w:name w:val="样式 标题 2 + 段前: 0.1 行 段后: 0.1 行"/>
    <w:basedOn w:val="7"/>
    <w:autoRedefine/>
    <w:qFormat/>
    <w:uiPriority w:val="0"/>
    <w:pPr>
      <w:spacing w:before="120" w:beforeLines="100" w:after="120" w:afterLines="100" w:line="240" w:lineRule="auto"/>
      <w:ind w:left="1134" w:hanging="992"/>
    </w:pPr>
    <w:rPr>
      <w:rFonts w:ascii="Times New Roman" w:hAnsi="Times New Roman" w:cs="宋体"/>
      <w:sz w:val="30"/>
      <w:szCs w:val="20"/>
    </w:rPr>
  </w:style>
  <w:style w:type="paragraph" w:customStyle="1" w:styleId="1260">
    <w:name w:val="copyright"/>
    <w:basedOn w:val="1"/>
    <w:autoRedefine/>
    <w:qFormat/>
    <w:uiPriority w:val="0"/>
    <w:pPr>
      <w:widowControl/>
      <w:spacing w:before="100" w:beforeAutospacing="1" w:after="100" w:afterAutospacing="1"/>
      <w:ind w:firstLine="401"/>
      <w:jc w:val="left"/>
    </w:pPr>
    <w:rPr>
      <w:rFonts w:ascii="宋体" w:hAnsi="宋体" w:cs="宋体"/>
      <w:color w:val="000000"/>
      <w:kern w:val="0"/>
      <w:sz w:val="20"/>
      <w:szCs w:val="20"/>
    </w:rPr>
  </w:style>
  <w:style w:type="paragraph" w:customStyle="1" w:styleId="1261">
    <w:name w:val="样式 标题 4 + (西文) Times New Roman (中文) 宋体 小四"/>
    <w:basedOn w:val="9"/>
    <w:autoRedefine/>
    <w:qFormat/>
    <w:uiPriority w:val="0"/>
    <w:pPr>
      <w:tabs>
        <w:tab w:val="left" w:pos="1247"/>
      </w:tabs>
      <w:spacing w:before="0" w:beforeLines="25" w:after="0" w:afterLines="25" w:line="360" w:lineRule="auto"/>
      <w:ind w:left="964" w:hanging="964"/>
    </w:pPr>
    <w:rPr>
      <w:rFonts w:ascii="宋体" w:hAnsi="宋体"/>
      <w:b w:val="0"/>
      <w:bCs w:val="0"/>
      <w:sz w:val="24"/>
      <w:szCs w:val="24"/>
    </w:rPr>
  </w:style>
  <w:style w:type="paragraph" w:customStyle="1" w:styleId="1262">
    <w:name w:val="Char Char Char"/>
    <w:basedOn w:val="1"/>
    <w:autoRedefine/>
    <w:qFormat/>
    <w:uiPriority w:val="0"/>
    <w:rPr>
      <w:sz w:val="24"/>
    </w:rPr>
  </w:style>
  <w:style w:type="paragraph" w:customStyle="1" w:styleId="1263">
    <w:name w:val="东明_正文"/>
    <w:basedOn w:val="1"/>
    <w:autoRedefine/>
    <w:qFormat/>
    <w:uiPriority w:val="0"/>
    <w:pPr>
      <w:spacing w:before="240" w:after="240" w:line="480" w:lineRule="exact"/>
      <w:ind w:firstLine="560" w:firstLineChars="200"/>
    </w:pPr>
    <w:rPr>
      <w:sz w:val="28"/>
      <w:szCs w:val="20"/>
    </w:rPr>
  </w:style>
  <w:style w:type="paragraph" w:customStyle="1" w:styleId="1264">
    <w:name w:val="表格文本 小五 居中"/>
    <w:basedOn w:val="1"/>
    <w:autoRedefine/>
    <w:qFormat/>
    <w:uiPriority w:val="0"/>
    <w:pPr>
      <w:adjustRightInd w:val="0"/>
      <w:snapToGrid w:val="0"/>
      <w:jc w:val="center"/>
    </w:pPr>
    <w:rPr>
      <w:rFonts w:cs="宋体"/>
    </w:rPr>
  </w:style>
  <w:style w:type="paragraph" w:customStyle="1" w:styleId="1265">
    <w:name w:val="xl116"/>
    <w:basedOn w:val="1"/>
    <w:autoRedefine/>
    <w:qFormat/>
    <w:uiPriority w:val="0"/>
    <w:pPr>
      <w:widowControl/>
      <w:pBdr>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266">
    <w:name w:val="表格样式"/>
    <w:basedOn w:val="1"/>
    <w:autoRedefine/>
    <w:qFormat/>
    <w:uiPriority w:val="0"/>
    <w:pPr>
      <w:widowControl/>
    </w:pPr>
    <w:rPr>
      <w:sz w:val="24"/>
    </w:rPr>
  </w:style>
  <w:style w:type="paragraph" w:customStyle="1" w:styleId="1267">
    <w:name w:val="表格文字中 Char Char"/>
    <w:basedOn w:val="1"/>
    <w:autoRedefine/>
    <w:qFormat/>
    <w:uiPriority w:val="0"/>
    <w:pPr>
      <w:keepNext/>
      <w:widowControl/>
      <w:spacing w:line="160" w:lineRule="atLeast"/>
      <w:contextualSpacing/>
      <w:jc w:val="center"/>
    </w:pPr>
    <w:rPr>
      <w:rFonts w:cs="宋体"/>
      <w:color w:val="000000"/>
      <w:kern w:val="0"/>
      <w:szCs w:val="20"/>
    </w:rPr>
  </w:style>
  <w:style w:type="paragraph" w:customStyle="1" w:styleId="1268">
    <w:name w:val="表文"/>
    <w:basedOn w:val="1"/>
    <w:autoRedefine/>
    <w:qFormat/>
    <w:uiPriority w:val="0"/>
    <w:pPr>
      <w:keepNext/>
      <w:adjustRightInd w:val="0"/>
      <w:spacing w:before="40" w:line="288" w:lineRule="auto"/>
      <w:jc w:val="center"/>
      <w:textAlignment w:val="baseline"/>
    </w:pPr>
    <w:rPr>
      <w:kern w:val="0"/>
      <w:sz w:val="24"/>
      <w:szCs w:val="20"/>
    </w:rPr>
  </w:style>
  <w:style w:type="paragraph" w:customStyle="1" w:styleId="1269">
    <w:name w:val="菏泽-标题 3 Char Char Char"/>
    <w:basedOn w:val="1"/>
    <w:next w:val="1"/>
    <w:autoRedefine/>
    <w:qFormat/>
    <w:uiPriority w:val="0"/>
    <w:pPr>
      <w:keepNext/>
      <w:keepLines/>
      <w:overflowPunct w:val="0"/>
      <w:snapToGrid w:val="0"/>
      <w:spacing w:line="440" w:lineRule="exact"/>
      <w:ind w:firstLine="359" w:firstLineChars="128"/>
      <w:outlineLvl w:val="2"/>
    </w:pPr>
    <w:rPr>
      <w:rFonts w:ascii="华文细黑" w:hAnsi="华文细黑" w:eastAsia="华文细黑"/>
      <w:b/>
      <w:sz w:val="28"/>
      <w:szCs w:val="28"/>
    </w:rPr>
  </w:style>
  <w:style w:type="paragraph" w:customStyle="1" w:styleId="1270">
    <w:name w:val="样式 标题 1章标题 11标题 1H1一、 + 行距: 1.5 倍行距3"/>
    <w:basedOn w:val="6"/>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71">
    <w:name w:val="5 Char"/>
    <w:basedOn w:val="1"/>
    <w:autoRedefine/>
    <w:qFormat/>
    <w:uiPriority w:val="0"/>
    <w:rPr>
      <w:sz w:val="24"/>
    </w:rPr>
  </w:style>
  <w:style w:type="paragraph" w:customStyle="1" w:styleId="1272">
    <w:name w:val="正文内容"/>
    <w:basedOn w:val="1"/>
    <w:autoRedefine/>
    <w:qFormat/>
    <w:uiPriority w:val="0"/>
    <w:pPr>
      <w:adjustRightInd w:val="0"/>
      <w:snapToGrid w:val="0"/>
      <w:spacing w:line="360" w:lineRule="auto"/>
      <w:ind w:firstLine="510"/>
    </w:pPr>
    <w:rPr>
      <w:rFonts w:ascii="宋体" w:hAnsi="宋体"/>
      <w:snapToGrid w:val="0"/>
      <w:spacing w:val="4"/>
      <w:kern w:val="0"/>
      <w:sz w:val="24"/>
      <w:szCs w:val="20"/>
    </w:rPr>
  </w:style>
  <w:style w:type="paragraph" w:customStyle="1" w:styleId="1273">
    <w:name w:val="xl26"/>
    <w:basedOn w:val="1"/>
    <w:autoRedefine/>
    <w:qFormat/>
    <w:uiPriority w:val="0"/>
    <w:pPr>
      <w:widowControl/>
      <w:pBdr>
        <w:bottom w:val="single" w:color="auto" w:sz="4" w:space="0"/>
        <w:right w:val="single" w:color="auto" w:sz="4" w:space="0"/>
      </w:pBdr>
      <w:spacing w:before="100" w:after="100"/>
      <w:jc w:val="center"/>
      <w:textAlignment w:val="top"/>
    </w:pPr>
    <w:rPr>
      <w:kern w:val="0"/>
      <w:szCs w:val="20"/>
    </w:rPr>
  </w:style>
  <w:style w:type="paragraph" w:customStyle="1" w:styleId="1274">
    <w:name w:val="样式 标题 2 + 行距: 1.5 倍行距1"/>
    <w:basedOn w:val="7"/>
    <w:autoRedefine/>
    <w:qFormat/>
    <w:uiPriority w:val="0"/>
    <w:pPr>
      <w:snapToGrid w:val="0"/>
      <w:spacing w:before="240" w:after="240" w:line="240" w:lineRule="auto"/>
      <w:ind w:left="1134" w:hanging="992"/>
      <w:jc w:val="left"/>
    </w:pPr>
    <w:rPr>
      <w:rFonts w:ascii="Times New Roman" w:hAnsi="Times New Roman" w:cs="宋体"/>
      <w:sz w:val="28"/>
      <w:szCs w:val="20"/>
    </w:rPr>
  </w:style>
  <w:style w:type="paragraph" w:customStyle="1" w:styleId="1275">
    <w:name w:val="标题21"/>
    <w:basedOn w:val="1"/>
    <w:autoRedefine/>
    <w:qFormat/>
    <w:uiPriority w:val="0"/>
    <w:pPr>
      <w:suppressLineNumbers/>
      <w:spacing w:line="360" w:lineRule="auto"/>
      <w:outlineLvl w:val="1"/>
    </w:pPr>
    <w:rPr>
      <w:rFonts w:eastAsia="黑体"/>
      <w:sz w:val="36"/>
      <w:szCs w:val="36"/>
    </w:rPr>
  </w:style>
  <w:style w:type="paragraph" w:customStyle="1" w:styleId="1276">
    <w:name w:val="普通 (Web)"/>
    <w:basedOn w:val="1"/>
    <w:autoRedefine/>
    <w:qFormat/>
    <w:uiPriority w:val="0"/>
    <w:pPr>
      <w:widowControl/>
      <w:spacing w:before="100" w:beforeAutospacing="1" w:after="100" w:afterAutospacing="1"/>
      <w:jc w:val="left"/>
    </w:pPr>
    <w:rPr>
      <w:rFonts w:ascii="宋体" w:hAnsi="宋体"/>
      <w:kern w:val="0"/>
      <w:sz w:val="24"/>
    </w:rPr>
  </w:style>
  <w:style w:type="paragraph" w:customStyle="1" w:styleId="1277">
    <w:name w:val="样式 样式 样式 正文 首行缩进:  2 字符 SL CON + 首行缩进:  2 字符 + (符号) 宋体 + 字距调整小四"/>
    <w:basedOn w:val="1"/>
    <w:autoRedefine/>
    <w:qFormat/>
    <w:uiPriority w:val="0"/>
    <w:pPr>
      <w:widowControl/>
      <w:numPr>
        <w:ilvl w:val="0"/>
        <w:numId w:val="4"/>
      </w:numPr>
      <w:tabs>
        <w:tab w:val="left" w:pos="377"/>
      </w:tabs>
      <w:spacing w:line="360" w:lineRule="auto"/>
      <w:ind w:left="0" w:firstLine="480" w:firstLineChars="200"/>
    </w:pPr>
    <w:rPr>
      <w:rFonts w:ascii="宋体" w:hAnsi="宋体" w:cs="宋体"/>
      <w:kern w:val="24"/>
      <w:sz w:val="24"/>
    </w:rPr>
  </w:style>
  <w:style w:type="paragraph" w:customStyle="1" w:styleId="1278">
    <w:name w:val="样式 题注 + (西文) Arial (中文) 黑体 小四 Char Char"/>
    <w:basedOn w:val="24"/>
    <w:autoRedefine/>
    <w:qFormat/>
    <w:uiPriority w:val="0"/>
    <w:pPr>
      <w:keepNext/>
      <w:numPr>
        <w:ilvl w:val="0"/>
        <w:numId w:val="16"/>
      </w:numPr>
      <w:tabs>
        <w:tab w:val="left" w:pos="1620"/>
      </w:tabs>
      <w:adjustRightInd w:val="0"/>
      <w:spacing w:line="240" w:lineRule="auto"/>
      <w:ind w:left="1620" w:leftChars="600" w:hanging="360" w:hangingChars="200"/>
      <w:jc w:val="center"/>
    </w:pPr>
    <w:rPr>
      <w:sz w:val="24"/>
      <w:szCs w:val="28"/>
    </w:rPr>
  </w:style>
  <w:style w:type="paragraph" w:customStyle="1" w:styleId="1279">
    <w:name w:val="标题正4"/>
    <w:basedOn w:val="1"/>
    <w:autoRedefine/>
    <w:qFormat/>
    <w:uiPriority w:val="0"/>
    <w:pPr>
      <w:jc w:val="center"/>
    </w:pPr>
    <w:rPr>
      <w:rFonts w:ascii="仿宋_GB2312" w:eastAsia="仿宋_GB2312"/>
      <w:color w:val="000000"/>
    </w:rPr>
  </w:style>
  <w:style w:type="paragraph" w:customStyle="1" w:styleId="1280">
    <w:name w:val="xl193"/>
    <w:basedOn w:val="1"/>
    <w:autoRedefine/>
    <w:qFormat/>
    <w:uiPriority w:val="0"/>
    <w:pPr>
      <w:widowControl/>
      <w:pBdr>
        <w:left w:val="single" w:color="auto" w:sz="4" w:space="0"/>
        <w:bottom w:val="single" w:color="auto" w:sz="4" w:space="0"/>
        <w:right w:val="single" w:color="auto" w:sz="4" w:space="0"/>
      </w:pBdr>
      <w:spacing w:before="100" w:beforeAutospacing="1" w:after="100" w:afterAutospacing="1"/>
      <w:jc w:val="left"/>
    </w:pPr>
    <w:rPr>
      <w:rFonts w:ascii="Arial Unicode MS" w:hAnsi="Arial Unicode MS"/>
      <w:kern w:val="0"/>
      <w:sz w:val="16"/>
      <w:szCs w:val="16"/>
    </w:rPr>
  </w:style>
  <w:style w:type="paragraph" w:customStyle="1" w:styleId="1281">
    <w:name w:val="表序号"/>
    <w:basedOn w:val="10"/>
    <w:autoRedefine/>
    <w:qFormat/>
    <w:uiPriority w:val="0"/>
    <w:pPr>
      <w:tabs>
        <w:tab w:val="left" w:pos="3093"/>
        <w:tab w:val="clear" w:pos="1008"/>
      </w:tabs>
      <w:spacing w:before="0" w:after="0" w:line="360" w:lineRule="auto"/>
      <w:ind w:left="3093" w:hanging="420"/>
      <w:jc w:val="center"/>
    </w:pPr>
    <w:rPr>
      <w:rFonts w:ascii="宋体" w:hAnsi="Arial"/>
      <w:kern w:val="0"/>
      <w:sz w:val="24"/>
    </w:rPr>
  </w:style>
  <w:style w:type="paragraph" w:customStyle="1" w:styleId="1282">
    <w:name w:val="ST20_1"/>
    <w:basedOn w:val="1"/>
    <w:autoRedefine/>
    <w:qFormat/>
    <w:uiPriority w:val="0"/>
    <w:pPr>
      <w:autoSpaceDE w:val="0"/>
      <w:autoSpaceDN w:val="0"/>
      <w:adjustRightInd w:val="0"/>
      <w:spacing w:line="312" w:lineRule="atLeast"/>
      <w:jc w:val="center"/>
      <w:textAlignment w:val="baseline"/>
    </w:pPr>
    <w:rPr>
      <w:rFonts w:ascii="宋体" w:hAnsi="Tms Rmn"/>
      <w:kern w:val="0"/>
      <w:sz w:val="24"/>
      <w:szCs w:val="20"/>
    </w:rPr>
  </w:style>
  <w:style w:type="paragraph" w:customStyle="1" w:styleId="1283">
    <w:name w:val="xl32"/>
    <w:basedOn w:val="1"/>
    <w:autoRedefine/>
    <w:qFormat/>
    <w:uiPriority w:val="0"/>
    <w:pPr>
      <w:widowControl/>
      <w:pBdr>
        <w:right w:val="single" w:color="auto" w:sz="4" w:space="0"/>
      </w:pBdr>
      <w:spacing w:before="100" w:beforeAutospacing="1" w:after="100" w:afterAutospacing="1"/>
      <w:jc w:val="center"/>
      <w:textAlignment w:val="bottom"/>
    </w:pPr>
    <w:rPr>
      <w:rFonts w:ascii="Arial" w:hAnsi="Arial" w:cs="Arial"/>
      <w:kern w:val="0"/>
      <w:sz w:val="28"/>
      <w:szCs w:val="28"/>
    </w:rPr>
  </w:style>
  <w:style w:type="paragraph" w:customStyle="1" w:styleId="1284">
    <w:name w:val="样式 小四 首行缩进:  1.01 厘米 行距: 1.5 倍行距"/>
    <w:basedOn w:val="1"/>
    <w:autoRedefine/>
    <w:qFormat/>
    <w:uiPriority w:val="0"/>
    <w:pPr>
      <w:spacing w:line="360" w:lineRule="auto"/>
    </w:pPr>
    <w:rPr>
      <w:rFonts w:ascii="宋体" w:hAnsi="宋体" w:cs="宋体"/>
      <w:sz w:val="24"/>
    </w:rPr>
  </w:style>
  <w:style w:type="paragraph" w:customStyle="1" w:styleId="1285">
    <w:name w:val="表头及图标"/>
    <w:basedOn w:val="411"/>
    <w:autoRedefine/>
    <w:qFormat/>
    <w:uiPriority w:val="0"/>
    <w:pPr>
      <w:ind w:firstLine="0" w:firstLineChars="0"/>
      <w:jc w:val="center"/>
    </w:pPr>
    <w:rPr>
      <w:b/>
      <w:bCs/>
      <w:sz w:val="21"/>
      <w:szCs w:val="20"/>
    </w:rPr>
  </w:style>
  <w:style w:type="paragraph" w:customStyle="1" w:styleId="1286">
    <w:name w:val="公式样式1"/>
    <w:basedOn w:val="1"/>
    <w:autoRedefine/>
    <w:qFormat/>
    <w:uiPriority w:val="0"/>
    <w:pPr>
      <w:spacing w:line="360" w:lineRule="auto"/>
      <w:ind w:firstLine="235" w:firstLineChars="100"/>
    </w:pPr>
    <w:rPr>
      <w:rFonts w:ascii="宋体" w:hAnsi="Arial Black"/>
      <w:szCs w:val="20"/>
    </w:rPr>
  </w:style>
  <w:style w:type="paragraph" w:customStyle="1" w:styleId="1287">
    <w:name w:val="样式 正文文本 + 宋体 行距: 1.5 倍行距"/>
    <w:basedOn w:val="34"/>
    <w:autoRedefine/>
    <w:qFormat/>
    <w:uiPriority w:val="0"/>
    <w:pPr>
      <w:widowControl w:val="0"/>
      <w:snapToGrid/>
      <w:spacing w:before="0" w:after="120" w:line="360" w:lineRule="auto"/>
      <w:ind w:right="0" w:firstLine="480" w:firstLineChars="200"/>
    </w:pPr>
    <w:rPr>
      <w:rFonts w:cs="宋体"/>
      <w:sz w:val="24"/>
    </w:rPr>
  </w:style>
  <w:style w:type="paragraph" w:customStyle="1" w:styleId="1288">
    <w:name w:val="样式 正文缩进正文（首行缩进两字）正文（首行缩进两字） Char Char Char Char Char Char Char..."/>
    <w:basedOn w:val="11"/>
    <w:autoRedefine/>
    <w:qFormat/>
    <w:uiPriority w:val="0"/>
    <w:pPr>
      <w:spacing w:line="312" w:lineRule="auto"/>
      <w:ind w:firstLine="539" w:firstLineChars="0"/>
    </w:pPr>
    <w:rPr>
      <w:kern w:val="0"/>
      <w:sz w:val="28"/>
      <w:szCs w:val="20"/>
    </w:rPr>
  </w:style>
  <w:style w:type="paragraph" w:customStyle="1" w:styleId="1289">
    <w:name w:val="论文正文"/>
    <w:basedOn w:val="11"/>
    <w:autoRedefine/>
    <w:qFormat/>
    <w:uiPriority w:val="0"/>
    <w:pPr>
      <w:ind w:firstLine="480"/>
    </w:pPr>
    <w:rPr>
      <w:rFonts w:ascii="宋体" w:hAnsi="宋体"/>
      <w:kern w:val="0"/>
      <w:sz w:val="28"/>
    </w:rPr>
  </w:style>
  <w:style w:type="paragraph" w:customStyle="1" w:styleId="1290">
    <w:name w:val="样式 样式 标题 2节 + (西文) Times New Roman (中文) 宋体 四号 段前: 0.5 行 段后: 0......"/>
    <w:basedOn w:val="1"/>
    <w:autoRedefine/>
    <w:qFormat/>
    <w:uiPriority w:val="0"/>
    <w:pPr>
      <w:keepNext/>
      <w:keepLines/>
      <w:adjustRightInd w:val="0"/>
      <w:snapToGrid w:val="0"/>
      <w:spacing w:beforeLines="90" w:afterLines="90" w:line="300" w:lineRule="auto"/>
      <w:ind w:left="992" w:hanging="992"/>
      <w:outlineLvl w:val="1"/>
    </w:pPr>
    <w:rPr>
      <w:rFonts w:ascii="宋体" w:hAnsi="宋体"/>
      <w:bCs/>
      <w:sz w:val="30"/>
      <w:szCs w:val="30"/>
    </w:rPr>
  </w:style>
  <w:style w:type="paragraph" w:customStyle="1" w:styleId="1291">
    <w:name w:val="CM28"/>
    <w:basedOn w:val="1"/>
    <w:next w:val="1"/>
    <w:autoRedefine/>
    <w:qFormat/>
    <w:uiPriority w:val="0"/>
    <w:pPr>
      <w:autoSpaceDE w:val="0"/>
      <w:autoSpaceDN w:val="0"/>
      <w:adjustRightInd w:val="0"/>
      <w:spacing w:line="468" w:lineRule="atLeast"/>
      <w:jc w:val="left"/>
    </w:pPr>
    <w:rPr>
      <w:rFonts w:ascii="宋体" w:cs="宋体"/>
      <w:kern w:val="0"/>
      <w:sz w:val="24"/>
    </w:rPr>
  </w:style>
  <w:style w:type="paragraph" w:customStyle="1" w:styleId="1292">
    <w:name w:val="样式 标题 1章标题 11标题 1H1一、 + 行距: 1.5 倍行距2"/>
    <w:basedOn w:val="6"/>
    <w:autoRedefine/>
    <w:semiHidden/>
    <w:qFormat/>
    <w:uiPriority w:val="0"/>
    <w:pPr>
      <w:keepLines/>
      <w:overflowPunct/>
      <w:spacing w:before="340" w:after="330" w:line="360" w:lineRule="auto"/>
      <w:ind w:left="3845" w:hanging="3845"/>
      <w:jc w:val="center"/>
    </w:pPr>
    <w:rPr>
      <w:rFonts w:cs="宋体"/>
      <w:color w:val="auto"/>
      <w:sz w:val="44"/>
      <w:szCs w:val="20"/>
    </w:rPr>
  </w:style>
  <w:style w:type="paragraph" w:customStyle="1" w:styleId="1293">
    <w:name w:val="xl154"/>
    <w:basedOn w:val="1"/>
    <w:autoRedefine/>
    <w:qFormat/>
    <w:uiPriority w:val="0"/>
    <w:pPr>
      <w:widowControl/>
      <w:pBdr>
        <w:left w:val="single" w:color="auto" w:sz="12" w:space="0"/>
        <w:bottom w:val="single" w:color="auto" w:sz="8" w:space="0"/>
      </w:pBdr>
      <w:spacing w:before="100" w:beforeAutospacing="1" w:after="100" w:afterAutospacing="1"/>
      <w:jc w:val="center"/>
    </w:pPr>
    <w:rPr>
      <w:rFonts w:ascii="Arial Unicode MS" w:hAnsi="Arial Unicode MS"/>
      <w:kern w:val="0"/>
      <w:sz w:val="12"/>
      <w:szCs w:val="12"/>
    </w:rPr>
  </w:style>
  <w:style w:type="paragraph" w:customStyle="1" w:styleId="1294">
    <w:name w:val="我的正文"/>
    <w:basedOn w:val="1"/>
    <w:autoRedefine/>
    <w:qFormat/>
    <w:uiPriority w:val="0"/>
    <w:pPr>
      <w:spacing w:line="360" w:lineRule="auto"/>
      <w:ind w:firstLine="480" w:firstLineChars="200"/>
    </w:pPr>
    <w:rPr>
      <w:rFonts w:cs="宋体"/>
      <w:sz w:val="24"/>
    </w:rPr>
  </w:style>
  <w:style w:type="paragraph" w:customStyle="1" w:styleId="1295">
    <w:name w:val="xl90"/>
    <w:basedOn w:val="1"/>
    <w:autoRedefine/>
    <w:qFormat/>
    <w:uiPriority w:val="0"/>
    <w:pPr>
      <w:widowControl/>
      <w:pBdr>
        <w:bottom w:val="single" w:color="auto" w:sz="12" w:space="0"/>
      </w:pBdr>
      <w:spacing w:before="100" w:beforeAutospacing="1" w:after="100" w:afterAutospacing="1"/>
      <w:jc w:val="center"/>
      <w:textAlignment w:val="center"/>
    </w:pPr>
    <w:rPr>
      <w:rFonts w:ascii="Arial Unicode MS" w:hAnsi="Arial Unicode MS"/>
      <w:kern w:val="0"/>
      <w:sz w:val="12"/>
      <w:szCs w:val="12"/>
    </w:rPr>
  </w:style>
  <w:style w:type="paragraph" w:customStyle="1" w:styleId="1296">
    <w:name w:val="正文1.1"/>
    <w:basedOn w:val="1"/>
    <w:autoRedefine/>
    <w:qFormat/>
    <w:uiPriority w:val="0"/>
    <w:pPr>
      <w:tabs>
        <w:tab w:val="left" w:pos="495"/>
      </w:tabs>
      <w:snapToGrid w:val="0"/>
      <w:spacing w:beforeLines="50" w:afterLines="50" w:line="360" w:lineRule="auto"/>
      <w:ind w:left="495" w:hanging="495"/>
      <w:outlineLvl w:val="2"/>
    </w:pPr>
    <w:rPr>
      <w:rFonts w:hAnsi="宋体"/>
      <w:b/>
      <w:sz w:val="30"/>
      <w:szCs w:val="30"/>
    </w:rPr>
  </w:style>
  <w:style w:type="paragraph" w:customStyle="1" w:styleId="1297">
    <w:name w:val="xl102"/>
    <w:basedOn w:val="1"/>
    <w:autoRedefine/>
    <w:qFormat/>
    <w:uiPriority w:val="0"/>
    <w:pPr>
      <w:widowControl/>
      <w:pBdr>
        <w:left w:val="single" w:color="auto" w:sz="4" w:space="0"/>
        <w:bottom w:val="single" w:color="auto" w:sz="12" w:space="0"/>
        <w:right w:val="single" w:color="auto" w:sz="12" w:space="0"/>
      </w:pBdr>
      <w:spacing w:before="100" w:beforeAutospacing="1" w:after="100" w:afterAutospacing="1"/>
      <w:jc w:val="center"/>
      <w:textAlignment w:val="center"/>
    </w:pPr>
    <w:rPr>
      <w:kern w:val="0"/>
      <w:sz w:val="12"/>
      <w:szCs w:val="12"/>
    </w:rPr>
  </w:style>
  <w:style w:type="paragraph" w:customStyle="1" w:styleId="1298">
    <w:name w:val="xl23"/>
    <w:basedOn w:val="1"/>
    <w:autoRedefine/>
    <w:qFormat/>
    <w:uiPriority w:val="0"/>
    <w:pPr>
      <w:widowControl/>
      <w:pBdr>
        <w:bottom w:val="single" w:color="auto" w:sz="4" w:space="0"/>
        <w:right w:val="single" w:color="auto" w:sz="4" w:space="0"/>
      </w:pBdr>
      <w:spacing w:before="100" w:beforeAutospacing="1" w:after="100" w:afterAutospacing="1"/>
      <w:jc w:val="center"/>
    </w:pPr>
    <w:rPr>
      <w:rFonts w:hint="eastAsia" w:ascii="仿宋_GB2312" w:hAnsi="宋体" w:eastAsia="仿宋_GB2312"/>
      <w:kern w:val="0"/>
      <w:sz w:val="24"/>
    </w:rPr>
  </w:style>
  <w:style w:type="paragraph" w:customStyle="1" w:styleId="1299">
    <w:name w:val="font16"/>
    <w:basedOn w:val="1"/>
    <w:autoRedefine/>
    <w:qFormat/>
    <w:uiPriority w:val="0"/>
    <w:pPr>
      <w:widowControl/>
      <w:spacing w:before="100" w:beforeAutospacing="1" w:after="100" w:afterAutospacing="1"/>
      <w:jc w:val="left"/>
    </w:pPr>
    <w:rPr>
      <w:rFonts w:ascii="Tahoma" w:hAnsi="Tahoma" w:cs="Tahoma"/>
      <w:color w:val="000000"/>
      <w:kern w:val="0"/>
      <w:sz w:val="16"/>
      <w:szCs w:val="16"/>
    </w:rPr>
  </w:style>
  <w:style w:type="paragraph" w:customStyle="1" w:styleId="1300">
    <w:name w:val="xl198"/>
    <w:basedOn w:val="1"/>
    <w:autoRedefine/>
    <w:qFormat/>
    <w:uiPriority w:val="0"/>
    <w:pPr>
      <w:widowControl/>
      <w:pBdr>
        <w:bottom w:val="single" w:color="auto" w:sz="8" w:space="0"/>
      </w:pBdr>
      <w:spacing w:before="100" w:beforeAutospacing="1" w:after="100" w:afterAutospacing="1"/>
      <w:jc w:val="center"/>
    </w:pPr>
    <w:rPr>
      <w:rFonts w:ascii="Arial Unicode MS" w:hAnsi="Arial Unicode MS"/>
      <w:kern w:val="0"/>
      <w:sz w:val="16"/>
      <w:szCs w:val="16"/>
    </w:rPr>
  </w:style>
  <w:style w:type="paragraph" w:customStyle="1" w:styleId="1301">
    <w:name w:val="xl124"/>
    <w:basedOn w:val="1"/>
    <w:autoRedefine/>
    <w:qFormat/>
    <w:uiPriority w:val="0"/>
    <w:pPr>
      <w:widowControl/>
      <w:pBdr>
        <w:left w:val="single" w:color="auto" w:sz="4" w:space="0"/>
        <w:bottom w:val="single" w:color="auto" w:sz="8" w:space="0"/>
      </w:pBdr>
      <w:spacing w:before="100" w:beforeAutospacing="1" w:after="100" w:afterAutospacing="1"/>
      <w:jc w:val="left"/>
    </w:pPr>
    <w:rPr>
      <w:rFonts w:ascii="Arial Unicode MS" w:hAnsi="Arial Unicode MS"/>
      <w:kern w:val="0"/>
      <w:sz w:val="16"/>
      <w:szCs w:val="16"/>
    </w:rPr>
  </w:style>
  <w:style w:type="paragraph" w:customStyle="1" w:styleId="1302">
    <w:name w:val="标准公文"/>
    <w:autoRedefine/>
    <w:qFormat/>
    <w:uiPriority w:val="0"/>
    <w:pPr>
      <w:widowControl w:val="0"/>
      <w:spacing w:line="520" w:lineRule="exact"/>
      <w:ind w:firstLine="560" w:firstLineChars="200"/>
      <w:jc w:val="both"/>
    </w:pPr>
    <w:rPr>
      <w:rFonts w:ascii="宋体" w:hAnsi="宋体" w:eastAsia="宋体" w:cs="Times New Roman"/>
      <w:sz w:val="28"/>
      <w:szCs w:val="34"/>
      <w:lang w:val="en-US" w:eastAsia="zh-CN" w:bidi="ar-SA"/>
    </w:rPr>
  </w:style>
  <w:style w:type="paragraph" w:customStyle="1" w:styleId="1303">
    <w:name w:val="xl77"/>
    <w:basedOn w:val="1"/>
    <w:autoRedefine/>
    <w:qFormat/>
    <w:uiPriority w:val="0"/>
    <w:pPr>
      <w:widowControl/>
      <w:spacing w:before="100" w:beforeAutospacing="1" w:after="100" w:afterAutospacing="1"/>
      <w:jc w:val="left"/>
    </w:pPr>
    <w:rPr>
      <w:rFonts w:ascii="Arial Unicode MS" w:hAnsi="Arial Unicode MS"/>
      <w:kern w:val="0"/>
      <w:sz w:val="12"/>
      <w:szCs w:val="12"/>
    </w:rPr>
  </w:style>
  <w:style w:type="paragraph" w:customStyle="1" w:styleId="1304">
    <w:name w:val="样式 标题 3 + 宋体 四号"/>
    <w:basedOn w:val="8"/>
    <w:autoRedefine/>
    <w:qFormat/>
    <w:uiPriority w:val="0"/>
    <w:pPr>
      <w:tabs>
        <w:tab w:val="left" w:pos="1260"/>
      </w:tabs>
      <w:spacing w:line="360" w:lineRule="auto"/>
      <w:ind w:left="1260" w:hanging="420"/>
    </w:pPr>
    <w:rPr>
      <w:rFonts w:ascii="宋体" w:hAnsi="宋体" w:eastAsia="黑体" w:cs="宋体"/>
      <w:kern w:val="0"/>
      <w:sz w:val="28"/>
      <w:szCs w:val="20"/>
    </w:rPr>
  </w:style>
  <w:style w:type="paragraph" w:customStyle="1" w:styleId="1305">
    <w:name w:val="Body Text 21"/>
    <w:basedOn w:val="1"/>
    <w:autoRedefine/>
    <w:qFormat/>
    <w:uiPriority w:val="0"/>
    <w:pPr>
      <w:adjustRightInd w:val="0"/>
      <w:textAlignment w:val="baseline"/>
    </w:pPr>
    <w:rPr>
      <w:color w:val="000000"/>
      <w:sz w:val="24"/>
      <w:szCs w:val="20"/>
    </w:rPr>
  </w:style>
  <w:style w:type="paragraph" w:customStyle="1" w:styleId="1306">
    <w:name w:val="CM74"/>
    <w:basedOn w:val="1"/>
    <w:next w:val="1"/>
    <w:autoRedefine/>
    <w:qFormat/>
    <w:uiPriority w:val="0"/>
    <w:pPr>
      <w:autoSpaceDE w:val="0"/>
      <w:autoSpaceDN w:val="0"/>
      <w:adjustRightInd w:val="0"/>
      <w:spacing w:after="180"/>
      <w:jc w:val="left"/>
    </w:pPr>
    <w:rPr>
      <w:rFonts w:ascii="Sim Sun+ 2" w:eastAsia="Sim Sun+ 2" w:cs="Sim Sun+ 2"/>
      <w:kern w:val="0"/>
      <w:sz w:val="24"/>
    </w:rPr>
  </w:style>
  <w:style w:type="paragraph" w:customStyle="1" w:styleId="1307">
    <w:name w:val="前言"/>
    <w:basedOn w:val="1"/>
    <w:autoRedefine/>
    <w:qFormat/>
    <w:uiPriority w:val="0"/>
    <w:pPr>
      <w:spacing w:line="560" w:lineRule="exact"/>
      <w:jc w:val="center"/>
    </w:pPr>
    <w:rPr>
      <w:rFonts w:cs="宋体"/>
      <w:b/>
      <w:sz w:val="30"/>
      <w:szCs w:val="20"/>
    </w:rPr>
  </w:style>
  <w:style w:type="paragraph" w:customStyle="1" w:styleId="1308">
    <w:name w:val="CM4"/>
    <w:basedOn w:val="1"/>
    <w:next w:val="1"/>
    <w:autoRedefine/>
    <w:qFormat/>
    <w:uiPriority w:val="0"/>
    <w:pPr>
      <w:autoSpaceDE w:val="0"/>
      <w:autoSpaceDN w:val="0"/>
      <w:adjustRightInd w:val="0"/>
      <w:spacing w:line="520" w:lineRule="atLeast"/>
      <w:jc w:val="left"/>
    </w:pPr>
    <w:rPr>
      <w:rFonts w:ascii="宋体"/>
      <w:kern w:val="0"/>
      <w:sz w:val="24"/>
    </w:rPr>
  </w:style>
  <w:style w:type="paragraph" w:customStyle="1" w:styleId="1309">
    <w:name w:val="xl143"/>
    <w:basedOn w:val="1"/>
    <w:autoRedefine/>
    <w:qFormat/>
    <w:uiPriority w:val="0"/>
    <w:pPr>
      <w:widowControl/>
      <w:pBdr>
        <w:top w:val="single" w:color="auto" w:sz="8" w:space="0"/>
        <w:left w:val="single" w:color="auto" w:sz="4" w:space="0"/>
        <w:bottom w:val="single" w:color="auto" w:sz="8" w:space="0"/>
      </w:pBdr>
      <w:spacing w:before="100" w:beforeAutospacing="1" w:after="100" w:afterAutospacing="1"/>
      <w:jc w:val="center"/>
      <w:textAlignment w:val="center"/>
    </w:pPr>
    <w:rPr>
      <w:rFonts w:ascii="Arial Unicode MS" w:hAnsi="Arial Unicode MS"/>
      <w:kern w:val="0"/>
      <w:sz w:val="16"/>
      <w:szCs w:val="16"/>
    </w:rPr>
  </w:style>
  <w:style w:type="paragraph" w:customStyle="1" w:styleId="1310">
    <w:name w:val="Char Char Char Char Char Char Char Char Char Char Char Char Char Char Char Char2"/>
    <w:basedOn w:val="1"/>
    <w:autoRedefine/>
    <w:qFormat/>
    <w:uiPriority w:val="0"/>
    <w:pPr>
      <w:widowControl/>
      <w:contextualSpacing/>
      <w:jc w:val="left"/>
    </w:pPr>
    <w:rPr>
      <w:rFonts w:cs="宋体"/>
      <w:kern w:val="0"/>
    </w:rPr>
  </w:style>
  <w:style w:type="paragraph" w:customStyle="1" w:styleId="1311">
    <w:name w:val="msoplaintextcxspmiddle"/>
    <w:basedOn w:val="1"/>
    <w:autoRedefine/>
    <w:qFormat/>
    <w:uiPriority w:val="0"/>
    <w:pPr>
      <w:widowControl/>
      <w:spacing w:before="100" w:beforeAutospacing="1" w:after="100" w:afterAutospacing="1"/>
      <w:contextualSpacing/>
      <w:jc w:val="left"/>
    </w:pPr>
    <w:rPr>
      <w:rFonts w:cs="宋体"/>
      <w:kern w:val="0"/>
    </w:rPr>
  </w:style>
  <w:style w:type="paragraph" w:customStyle="1" w:styleId="1312">
    <w:name w:val="聪表标题"/>
    <w:basedOn w:val="1"/>
    <w:autoRedefine/>
    <w:qFormat/>
    <w:uiPriority w:val="0"/>
    <w:pPr>
      <w:spacing w:line="360" w:lineRule="auto"/>
      <w:jc w:val="center"/>
    </w:pPr>
    <w:rPr>
      <w:rFonts w:ascii="黑体" w:hAnsi="黑体" w:eastAsia="黑体"/>
      <w:sz w:val="24"/>
    </w:rPr>
  </w:style>
  <w:style w:type="paragraph" w:customStyle="1" w:styleId="1313">
    <w:name w:val="Style"/>
    <w:autoRedefine/>
    <w:qFormat/>
    <w:uiPriority w:val="99"/>
    <w:pPr>
      <w:widowControl w:val="0"/>
      <w:autoSpaceDE w:val="0"/>
      <w:autoSpaceDN w:val="0"/>
      <w:adjustRightInd w:val="0"/>
    </w:pPr>
    <w:rPr>
      <w:rFonts w:ascii="TimesNewRomanPSMT" w:hAnsi="TimesNewRomanPSMT" w:eastAsia="宋体" w:cs="TimesNewRomanPSMT"/>
      <w:sz w:val="24"/>
      <w:szCs w:val="24"/>
      <w:lang w:val="zh" w:eastAsia="zh-CN" w:bidi="ar-SA"/>
    </w:rPr>
  </w:style>
  <w:style w:type="table" w:customStyle="1" w:styleId="1314">
    <w:name w:val="表格aaa1"/>
    <w:basedOn w:val="81"/>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15">
    <w:name w:val="环评用表4"/>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6">
    <w:name w:val="环评用表6"/>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17">
    <w:name w:val="网格型12"/>
    <w:basedOn w:val="81"/>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8">
    <w:name w:val="网格型11"/>
    <w:basedOn w:val="81"/>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19">
    <w:name w:val="表格样式pp1"/>
    <w:basedOn w:val="81"/>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20">
    <w:name w:val="网格型8"/>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1">
    <w:name w:val="网格型 52"/>
    <w:basedOn w:val="81"/>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2">
    <w:name w:val="网格型4"/>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3">
    <w:name w:val="无格式表格 41"/>
    <w:basedOn w:val="81"/>
    <w:autoRedefine/>
    <w:qFormat/>
    <w:uiPriority w:val="44"/>
    <w:tblStylePr w:type="firstRow">
      <w:rPr>
        <w:b/>
        <w:bCs/>
      </w:rPr>
    </w:tblStylePr>
    <w:tblStylePr w:type="lastRow">
      <w:rPr>
        <w:b/>
        <w:bCs/>
      </w:rPr>
    </w:tblStylePr>
    <w:tblStylePr w:type="firstCol">
      <w:rPr>
        <w:b/>
        <w:bCs/>
      </w:rPr>
    </w:tblStylePr>
    <w:tblStylePr w:type="lastCol">
      <w:rPr>
        <w:b/>
        <w:bCs/>
      </w:rPr>
    </w:tblStylePr>
    <w:tblStylePr w:type="band1Vert">
      <w:tcPr>
        <w:shd w:val="clear" w:color="auto" w:fill="F2F2F2"/>
      </w:tcPr>
    </w:tblStylePr>
    <w:tblStylePr w:type="band1Horz">
      <w:tcPr>
        <w:shd w:val="clear" w:color="auto" w:fill="F2F2F2"/>
      </w:tcPr>
    </w:tblStylePr>
  </w:style>
  <w:style w:type="table" w:customStyle="1" w:styleId="1324">
    <w:name w:val="网格型 51"/>
    <w:basedOn w:val="81"/>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25">
    <w:name w:val="网格型浅色1"/>
    <w:basedOn w:val="81"/>
    <w:autoRedefine/>
    <w:qFormat/>
    <w:uiPriority w:val="40"/>
    <w:tblPr>
      <w:tblBorders>
        <w:top w:val="single" w:color="BFBFBF" w:sz="4" w:space="0"/>
        <w:left w:val="single" w:color="BFBFBF" w:sz="4" w:space="0"/>
        <w:bottom w:val="single" w:color="BFBFBF" w:sz="4" w:space="0"/>
        <w:right w:val="single" w:color="BFBFBF" w:sz="4" w:space="0"/>
        <w:insideH w:val="single" w:color="BFBFBF" w:sz="4" w:space="0"/>
        <w:insideV w:val="single" w:color="BFBFBF" w:sz="4" w:space="0"/>
      </w:tblBorders>
    </w:tblPr>
  </w:style>
  <w:style w:type="table" w:customStyle="1" w:styleId="1326">
    <w:name w:val="无格式表格 31"/>
    <w:basedOn w:val="81"/>
    <w:autoRedefine/>
    <w:qFormat/>
    <w:uiPriority w:val="43"/>
    <w:tblStylePr w:type="firstRow">
      <w:rPr>
        <w:b/>
        <w:bCs/>
        <w:caps/>
      </w:rPr>
      <w:tcPr>
        <w:tcBorders>
          <w:top w:val="nil"/>
          <w:left w:val="single" w:color="7F7F7F" w:sz="4" w:space="0"/>
          <w:bottom w:val="nil"/>
          <w:right w:val="nil"/>
          <w:insideH w:val="nil"/>
          <w:insideV w:val="nil"/>
          <w:tl2br w:val="nil"/>
          <w:tr2bl w:val="nil"/>
        </w:tcBorders>
      </w:tcPr>
    </w:tblStylePr>
    <w:tblStylePr w:type="lastRow">
      <w:rPr>
        <w:b/>
        <w:bCs/>
        <w:caps/>
      </w:rPr>
      <w:tcPr>
        <w:tcBorders>
          <w:top w:val="nil"/>
          <w:left w:val="nil"/>
          <w:bottom w:val="nil"/>
          <w:right w:val="nil"/>
          <w:insideH w:val="nil"/>
          <w:insideV w:val="nil"/>
          <w:tl2br w:val="nil"/>
          <w:tr2bl w:val="nil"/>
        </w:tcBorders>
      </w:tcPr>
    </w:tblStylePr>
    <w:tblStylePr w:type="firstCol">
      <w:rPr>
        <w:b/>
        <w:bCs/>
        <w:caps/>
      </w:rPr>
      <w:tcPr>
        <w:tcBorders>
          <w:top w:val="nil"/>
          <w:left w:val="nil"/>
          <w:bottom w:val="nil"/>
          <w:right w:val="single" w:color="7F7F7F" w:sz="4" w:space="0"/>
          <w:insideH w:val="nil"/>
          <w:insideV w:val="nil"/>
          <w:tl2br w:val="nil"/>
          <w:tr2bl w:val="nil"/>
        </w:tcBorders>
      </w:tcPr>
    </w:tblStylePr>
    <w:tblStylePr w:type="lastCol">
      <w:rPr>
        <w:b/>
        <w:bCs/>
        <w:caps/>
      </w:rPr>
      <w:tcPr>
        <w:tcBorders>
          <w:top w:val="nil"/>
          <w:left w:val="nil"/>
          <w:bottom w:val="nil"/>
          <w:right w:val="nil"/>
          <w:insideH w:val="nil"/>
          <w:insideV w:val="nil"/>
          <w:tl2br w:val="nil"/>
          <w:tr2bl w:val="nil"/>
        </w:tcBorders>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style>
  <w:style w:type="table" w:customStyle="1" w:styleId="1327">
    <w:name w:val="网格型14"/>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28">
    <w:name w:val="环评用表10"/>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29">
    <w:name w:val="网格型6"/>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0">
    <w:name w:val="无格式表格 21"/>
    <w:basedOn w:val="81"/>
    <w:autoRedefine/>
    <w:qFormat/>
    <w:uiPriority w:val="42"/>
    <w:tblPr>
      <w:tblBorders>
        <w:top w:val="single" w:color="7F7F7F" w:sz="4" w:space="0"/>
        <w:bottom w:val="single" w:color="7F7F7F" w:sz="4" w:space="0"/>
      </w:tblBorders>
    </w:tblPr>
    <w:tblStylePr w:type="firstRow">
      <w:rPr>
        <w:b/>
        <w:bCs/>
      </w:rPr>
      <w:tcPr>
        <w:tcBorders>
          <w:top w:val="nil"/>
          <w:left w:val="single" w:color="7F7F7F" w:sz="4" w:space="0"/>
          <w:bottom w:val="nil"/>
          <w:right w:val="nil"/>
          <w:insideH w:val="nil"/>
          <w:insideV w:val="nil"/>
          <w:tl2br w:val="nil"/>
          <w:tr2bl w:val="nil"/>
        </w:tcBorders>
      </w:tcPr>
    </w:tblStylePr>
    <w:tblStylePr w:type="lastRow">
      <w:rPr>
        <w:b/>
        <w:bCs/>
      </w:rPr>
      <w:tcPr>
        <w:tcBorders>
          <w:top w:val="single" w:color="7F7F7F" w:sz="4" w:space="0"/>
          <w:left w:val="nil"/>
          <w:bottom w:val="nil"/>
          <w:right w:val="nil"/>
          <w:insideH w:val="nil"/>
          <w:insideV w:val="nil"/>
          <w:tl2br w:val="nil"/>
          <w:tr2bl w:val="nil"/>
        </w:tcBorders>
      </w:tcPr>
    </w:tblStylePr>
    <w:tblStylePr w:type="firstCol">
      <w:rPr>
        <w:b/>
        <w:bCs/>
      </w:rPr>
    </w:tblStylePr>
    <w:tblStylePr w:type="lastCol">
      <w:rPr>
        <w:b/>
        <w:bCs/>
      </w:rPr>
    </w:tblStylePr>
    <w:tblStylePr w:type="band1Vert">
      <w:tcPr>
        <w:tcBorders>
          <w:top w:val="nil"/>
          <w:left w:val="nil"/>
          <w:bottom w:val="single" w:color="7F7F7F" w:sz="4" w:space="0"/>
          <w:right w:val="single" w:color="7F7F7F" w:sz="4" w:space="0"/>
          <w:insideH w:val="nil"/>
          <w:insideV w:val="nil"/>
          <w:tl2br w:val="nil"/>
          <w:tr2bl w:val="nil"/>
        </w:tcBorders>
      </w:tcPr>
    </w:tblStylePr>
    <w:tblStylePr w:type="band2Vert">
      <w:tcPr>
        <w:tcBorders>
          <w:top w:val="nil"/>
          <w:left w:val="nil"/>
          <w:bottom w:val="single" w:color="7F7F7F" w:sz="4" w:space="0"/>
          <w:right w:val="single" w:color="7F7F7F" w:sz="4" w:space="0"/>
          <w:insideH w:val="nil"/>
          <w:insideV w:val="nil"/>
          <w:tl2br w:val="nil"/>
          <w:tr2bl w:val="nil"/>
        </w:tcBorders>
      </w:tcPr>
    </w:tblStylePr>
    <w:tblStylePr w:type="band1Horz">
      <w:tcPr>
        <w:tcBorders>
          <w:top w:val="single" w:color="7F7F7F" w:sz="4" w:space="0"/>
          <w:left w:val="single" w:color="7F7F7F" w:sz="4" w:space="0"/>
          <w:bottom w:val="nil"/>
          <w:right w:val="nil"/>
          <w:insideH w:val="nil"/>
          <w:insideV w:val="nil"/>
          <w:tl2br w:val="nil"/>
          <w:tr2bl w:val="nil"/>
        </w:tcBorders>
      </w:tcPr>
    </w:tblStylePr>
  </w:style>
  <w:style w:type="table" w:customStyle="1" w:styleId="1331">
    <w:name w:val="环评用表41"/>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2">
    <w:name w:val="正文+宋体13"/>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3">
    <w:name w:val="环评用表42"/>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4">
    <w:name w:val="环评用表8"/>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35">
    <w:name w:val="表格主题（安）1"/>
    <w:basedOn w:val="81"/>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6">
    <w:name w:val="网格型 11"/>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37">
    <w:name w:val="网格型2"/>
    <w:basedOn w:val="81"/>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38">
    <w:name w:val="网格型 13"/>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39">
    <w:name w:val="环评用表5"/>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0">
    <w:name w:val="表格样式12"/>
    <w:basedOn w:val="81"/>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41">
    <w:name w:val="环评用表1"/>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2">
    <w:name w:val="网格型（pxg）2"/>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3">
    <w:name w:val="专业型2"/>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44">
    <w:name w:val="环评用表3"/>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45">
    <w:name w:val="网格型 12"/>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46">
    <w:name w:val="网格型1"/>
    <w:basedOn w:val="81"/>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7">
    <w:name w:val="正文+宋体1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48">
    <w:name w:val="表格样式-tjgsqiu"/>
    <w:basedOn w:val="83"/>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49">
    <w:name w:val="网格型 111"/>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50">
    <w:name w:val="表格样式-tjgsqiu2"/>
    <w:basedOn w:val="83"/>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1">
    <w:name w:val="表格样式-tjgsqiu1"/>
    <w:basedOn w:val="83"/>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52">
    <w:name w:val="环评用表7"/>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53">
    <w:name w:val="正文+宋体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4">
    <w:name w:val="表格aaa"/>
    <w:basedOn w:val="81"/>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55">
    <w:name w:val="网格型（pxg）22"/>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6">
    <w:name w:val="网格型5"/>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7">
    <w:name w:val="网格型（pxg）1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58">
    <w:name w:val="表格样式pp"/>
    <w:basedOn w:val="81"/>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59">
    <w:name w:val="环评用表9"/>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0">
    <w:name w:val="环评用表2"/>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1">
    <w:name w:val="表格样式11"/>
    <w:basedOn w:val="81"/>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62">
    <w:name w:val="网格型7"/>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3">
    <w:name w:val="网格型 14"/>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4">
    <w:name w:val="环评用表11"/>
    <w:basedOn w:val="81"/>
    <w:autoRedefine/>
    <w:qFormat/>
    <w:uiPriority w:val="0"/>
    <w:pPr>
      <w:widowControl w:val="0"/>
      <w:jc w:val="both"/>
    </w:pPr>
    <w:tblPr>
      <w:tblBorders>
        <w:top w:val="single" w:color="auto" w:sz="12" w:space="0"/>
        <w:bottom w:val="single" w:color="auto" w:sz="12" w:space="0"/>
        <w:insideH w:val="single" w:color="auto" w:sz="4" w:space="0"/>
        <w:insideV w:val="single" w:color="auto" w:sz="4" w:space="0"/>
      </w:tblBorders>
    </w:tblPr>
    <w:tcPr>
      <w:vAlign w:val="center"/>
    </w:tcPr>
  </w:style>
  <w:style w:type="table" w:customStyle="1" w:styleId="1365">
    <w:name w:val="网格型13"/>
    <w:basedOn w:val="81"/>
    <w:autoRedefine/>
    <w:qFormat/>
    <w:uiPriority w:val="0"/>
    <w:pPr>
      <w:widowControl w:val="0"/>
      <w:spacing w:line="440" w:lineRule="exact"/>
      <w:ind w:firstLine="504" w:firstLineChars="200"/>
      <w:jc w:val="both"/>
      <w:textAlignment w:val="baseline"/>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66">
    <w:name w:val="网格型 113"/>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67">
    <w:name w:val="专业型3"/>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68">
    <w:name w:val="表格aaa2"/>
    <w:basedOn w:val="81"/>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69">
    <w:name w:val="网格型 112"/>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cPr>
        <w:tcBorders>
          <w:top w:val="nil"/>
          <w:left w:val="nil"/>
          <w:bottom w:val="nil"/>
          <w:right w:val="nil"/>
          <w:insideH w:val="nil"/>
          <w:insideV w:val="nil"/>
          <w:tl2br w:val="nil"/>
          <w:tr2bl w:val="nil"/>
        </w:tcBorders>
      </w:tcPr>
    </w:tblStylePr>
    <w:tblStylePr w:type="lastCol">
      <w:rPr>
        <w:i/>
        <w:i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70">
    <w:name w:val="正文+宋体12"/>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1">
    <w:name w:val="表格主题（安）2"/>
    <w:basedOn w:val="81"/>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2">
    <w:name w:val="表格样式13"/>
    <w:basedOn w:val="81"/>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3">
    <w:name w:val="网格型（pxg）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4">
    <w:name w:val="网格型（pxg）21"/>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75">
    <w:name w:val="专业型1"/>
    <w:basedOn w:val="81"/>
    <w:autoRedefine/>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firstRow">
      <w:rPr>
        <w:b/>
        <w:bCs/>
        <w:color w:val="auto"/>
      </w:rPr>
      <w:tcPr>
        <w:tcBorders>
          <w:top w:val="nil"/>
          <w:left w:val="nil"/>
          <w:bottom w:val="nil"/>
          <w:right w:val="nil"/>
          <w:insideH w:val="nil"/>
          <w:insideV w:val="nil"/>
          <w:tl2br w:val="nil"/>
          <w:tr2bl w:val="nil"/>
        </w:tcBorders>
        <w:shd w:val="solid" w:color="000000" w:fill="FFFFFF"/>
      </w:tcPr>
    </w:tblStylePr>
  </w:style>
  <w:style w:type="table" w:customStyle="1" w:styleId="1376">
    <w:name w:val="表格样式1"/>
    <w:basedOn w:val="81"/>
    <w:autoRedefine/>
    <w:semiHidden/>
    <w:qFormat/>
    <w:uiPriority w:val="0"/>
    <w:tblPr>
      <w:jc w:val="center"/>
      <w:tblBorders>
        <w:top w:val="single" w:color="auto" w:sz="12" w:space="0"/>
        <w:bottom w:val="single" w:color="auto" w:sz="12" w:space="0"/>
        <w:insideH w:val="single" w:color="auto" w:sz="2" w:space="0"/>
        <w:insideV w:val="single" w:color="auto" w:sz="2" w:space="0"/>
      </w:tblBorders>
    </w:tblPr>
    <w:trPr>
      <w:jc w:val="center"/>
    </w:trPr>
    <w:tcPr>
      <w:vAlign w:val="center"/>
    </w:tcPr>
  </w:style>
  <w:style w:type="table" w:customStyle="1" w:styleId="1377">
    <w:name w:val="表格样式pp3"/>
    <w:basedOn w:val="81"/>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78">
    <w:name w:val="无格式表格 51"/>
    <w:basedOn w:val="81"/>
    <w:autoRedefine/>
    <w:qFormat/>
    <w:uiPriority w:val="45"/>
    <w:tblStylePr w:type="firstRow">
      <w:rPr>
        <w:rFonts w:ascii="MS Mincho" w:hAnsi="MS Mincho" w:eastAsia="Verdana" w:cs="Times New Roman"/>
        <w:i/>
        <w:iCs/>
        <w:sz w:val="26"/>
      </w:rPr>
      <w:tcPr>
        <w:tcBorders>
          <w:top w:val="nil"/>
          <w:left w:val="single" w:color="7F7F7F" w:sz="4" w:space="0"/>
          <w:bottom w:val="nil"/>
          <w:right w:val="nil"/>
          <w:insideH w:val="nil"/>
          <w:insideV w:val="nil"/>
          <w:tl2br w:val="nil"/>
          <w:tr2bl w:val="nil"/>
        </w:tcBorders>
        <w:shd w:val="clear" w:color="auto" w:fill="FFFFFF"/>
      </w:tcPr>
    </w:tblStylePr>
    <w:tblStylePr w:type="lastRow">
      <w:rPr>
        <w:rFonts w:ascii="MS Mincho" w:hAnsi="MS Mincho" w:eastAsia="Verdana" w:cs="Times New Roman"/>
        <w:i/>
        <w:iCs/>
        <w:sz w:val="26"/>
      </w:rPr>
      <w:tcPr>
        <w:tcBorders>
          <w:top w:val="single" w:color="7F7F7F" w:sz="4" w:space="0"/>
          <w:left w:val="nil"/>
          <w:bottom w:val="nil"/>
          <w:right w:val="nil"/>
          <w:insideH w:val="nil"/>
          <w:insideV w:val="nil"/>
          <w:tl2br w:val="nil"/>
          <w:tr2bl w:val="nil"/>
        </w:tcBorders>
        <w:shd w:val="clear" w:color="auto" w:fill="FFFFFF"/>
      </w:tcPr>
    </w:tblStylePr>
    <w:tblStylePr w:type="firstCol">
      <w:pPr>
        <w:jc w:val="right"/>
      </w:pPr>
      <w:rPr>
        <w:rFonts w:ascii="MS Mincho" w:hAnsi="MS Mincho" w:eastAsia="Verdana" w:cs="Times New Roman"/>
        <w:i/>
        <w:iCs/>
        <w:sz w:val="26"/>
      </w:rPr>
      <w:tcPr>
        <w:tcBorders>
          <w:top w:val="nil"/>
          <w:left w:val="nil"/>
          <w:bottom w:val="nil"/>
          <w:right w:val="single" w:color="7F7F7F" w:sz="4" w:space="0"/>
          <w:insideH w:val="nil"/>
          <w:insideV w:val="nil"/>
          <w:tl2br w:val="nil"/>
          <w:tr2bl w:val="nil"/>
        </w:tcBorders>
        <w:shd w:val="clear" w:color="auto" w:fill="FFFFFF"/>
      </w:tcPr>
    </w:tblStylePr>
    <w:tblStylePr w:type="lastCol">
      <w:rPr>
        <w:rFonts w:ascii="MS Mincho" w:hAnsi="MS Mincho" w:eastAsia="Verdana" w:cs="Times New Roman"/>
        <w:i/>
        <w:iCs/>
        <w:sz w:val="26"/>
      </w:rPr>
      <w:tcPr>
        <w:tcBorders>
          <w:top w:val="nil"/>
          <w:left w:val="nil"/>
          <w:bottom w:val="single" w:color="7F7F7F" w:sz="4" w:space="0"/>
          <w:right w:val="nil"/>
          <w:insideH w:val="nil"/>
          <w:insideV w:val="nil"/>
          <w:tl2br w:val="nil"/>
          <w:tr2bl w:val="nil"/>
        </w:tcBorders>
        <w:shd w:val="clear" w:color="auto" w:fill="FFFFFF"/>
      </w:tcPr>
    </w:tblStylePr>
    <w:tblStylePr w:type="band1Vert">
      <w:tcPr>
        <w:shd w:val="clear" w:color="auto" w:fill="F2F2F2"/>
      </w:tcPr>
    </w:tblStylePr>
    <w:tblStylePr w:type="band1Horz">
      <w:tcPr>
        <w:shd w:val="clear" w:color="auto" w:fill="F2F2F2"/>
      </w:tcPr>
    </w:tblStylePr>
    <w:tblStylePr w:type="neCell">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nil"/>
          <w:tr2bl w:val="nil"/>
        </w:tcBorders>
      </w:tcPr>
    </w:tblStylePr>
    <w:tblStylePr w:type="seCell">
      <w:tcPr>
        <w:tcBorders>
          <w:top w:val="nil"/>
          <w:left w:val="nil"/>
          <w:bottom w:val="nil"/>
          <w:right w:val="nil"/>
          <w:insideH w:val="nil"/>
          <w:insideV w:val="nil"/>
          <w:tl2br w:val="nil"/>
          <w:tr2bl w:val="nil"/>
        </w:tcBorders>
      </w:tcPr>
    </w:tblStylePr>
    <w:tblStylePr w:type="swCell">
      <w:tcPr>
        <w:tcBorders>
          <w:top w:val="nil"/>
          <w:left w:val="nil"/>
          <w:bottom w:val="nil"/>
          <w:right w:val="nil"/>
          <w:insideH w:val="nil"/>
          <w:insideV w:val="nil"/>
          <w:tl2br w:val="nil"/>
          <w:tr2bl w:val="nil"/>
        </w:tcBorders>
      </w:tcPr>
    </w:tblStylePr>
  </w:style>
  <w:style w:type="table" w:customStyle="1" w:styleId="1379">
    <w:name w:val="表格样式pp2"/>
    <w:basedOn w:val="81"/>
    <w:autoRedefine/>
    <w:qFormat/>
    <w:uiPriority w:val="0"/>
    <w:tblPr>
      <w:tblBorders>
        <w:top w:val="single" w:color="auto" w:sz="12" w:space="0"/>
        <w:bottom w:val="single" w:color="auto" w:sz="12" w:space="0"/>
        <w:insideH w:val="single" w:color="auto" w:sz="2" w:space="0"/>
        <w:insideV w:val="single" w:color="auto" w:sz="2" w:space="0"/>
      </w:tblBorders>
    </w:tblPr>
  </w:style>
  <w:style w:type="table" w:customStyle="1" w:styleId="1380">
    <w:name w:val="网格型（pxg）12"/>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1">
    <w:name w:val="网格型3"/>
    <w:basedOn w:val="81"/>
    <w:autoRedefine/>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2">
    <w:name w:val="表格主题（安）3"/>
    <w:basedOn w:val="81"/>
    <w:autoRedefine/>
    <w:semiHidden/>
    <w:qFormat/>
    <w:uiPriority w:val="0"/>
    <w:pPr>
      <w:widowControl w:val="0"/>
      <w:spacing w:line="360" w:lineRule="auto"/>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3">
    <w:name w:val="网格型（pxg）23"/>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384">
    <w:name w:val="表格aaa3"/>
    <w:basedOn w:val="81"/>
    <w:autoRedefine/>
    <w:qFormat/>
    <w:uiPriority w:val="0"/>
    <w:pPr>
      <w:jc w:val="both"/>
    </w:pPr>
    <w:tblPr>
      <w:tblBorders>
        <w:top w:val="single" w:color="auto" w:sz="12" w:space="0"/>
        <w:bottom w:val="single" w:color="auto" w:sz="12" w:space="0"/>
        <w:insideH w:val="single" w:color="auto" w:sz="8" w:space="0"/>
        <w:insideV w:val="single" w:color="auto" w:sz="8" w:space="0"/>
      </w:tblBorders>
    </w:tblPr>
    <w:tcPr>
      <w:shd w:val="clear" w:color="auto" w:fill="auto"/>
    </w:tcPr>
  </w:style>
  <w:style w:type="table" w:customStyle="1" w:styleId="1385">
    <w:name w:val="表格样式-tjgsqiu3"/>
    <w:basedOn w:val="83"/>
    <w:autoRedefine/>
    <w:qFormat/>
    <w:uiPriority w:val="0"/>
    <w:pPr>
      <w:snapToGrid w:val="0"/>
      <w:spacing w:line="240" w:lineRule="auto"/>
      <w:ind w:firstLine="0" w:firstLineChars="0"/>
      <w:jc w:val="center"/>
    </w:pPr>
    <w:rPr>
      <w:sz w:val="21"/>
    </w:rPr>
    <w:tblPr>
      <w:tblCellMar>
        <w:left w:w="0" w:type="dxa"/>
        <w:right w:w="0" w:type="dxa"/>
      </w:tblCellMar>
    </w:tblPr>
    <w:tcPr>
      <w:shd w:val="clear" w:color="auto" w:fill="auto"/>
      <w:vAlign w:val="center"/>
    </w:tcPr>
  </w:style>
  <w:style w:type="table" w:customStyle="1" w:styleId="1386">
    <w:name w:val="网格型 53"/>
    <w:basedOn w:val="81"/>
    <w:autoRedefine/>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cPr>
      <w:shd w:val="clear" w:color="auto" w:fill="auto"/>
    </w:tcPr>
    <w:tblStylePr w:type="firstRow">
      <w:tcPr>
        <w:tcBorders>
          <w:top w:val="nil"/>
          <w:left w:val="single" w:color="000000" w:sz="12" w:space="0"/>
          <w:bottom w:val="nil"/>
          <w:right w:val="nil"/>
          <w:insideH w:val="nil"/>
          <w:insideV w:val="nil"/>
          <w:tl2br w:val="nil"/>
          <w:tr2bl w:val="nil"/>
        </w:tcBorders>
      </w:tcPr>
    </w:tblStylePr>
    <w:tblStylePr w:type="lastRow">
      <w:rPr>
        <w:b/>
        <w:bCs/>
      </w:rPr>
      <w:tcPr>
        <w:tcBorders>
          <w:top w:val="nil"/>
          <w:left w:val="nil"/>
          <w:bottom w:val="nil"/>
          <w:right w:val="nil"/>
          <w:insideH w:val="nil"/>
          <w:insideV w:val="nil"/>
          <w:tl2br w:val="nil"/>
          <w:tr2bl w:val="nil"/>
        </w:tcBorders>
      </w:tcPr>
    </w:tblStylePr>
    <w:tblStylePr w:type="lastCol">
      <w:rPr>
        <w:b/>
        <w:bCs/>
      </w:rPr>
      <w:tcPr>
        <w:tcBorders>
          <w:top w:val="nil"/>
          <w:left w:val="nil"/>
          <w:bottom w:val="nil"/>
          <w:right w:val="nil"/>
          <w:insideH w:val="nil"/>
          <w:insideV w:val="nil"/>
          <w:tl2br w:val="nil"/>
          <w:tr2bl w:val="nil"/>
        </w:tcBorders>
      </w:tcPr>
    </w:tblStylePr>
    <w:tblStylePr w:type="nwCell">
      <w:tcPr>
        <w:tcBorders>
          <w:top w:val="nil"/>
          <w:left w:val="nil"/>
          <w:bottom w:val="nil"/>
          <w:right w:val="nil"/>
          <w:insideH w:val="nil"/>
          <w:insideV w:val="nil"/>
          <w:tl2br w:val="single" w:color="000000" w:sz="6" w:space="0"/>
          <w:tr2bl w:val="nil"/>
        </w:tcBorders>
      </w:tcPr>
    </w:tblStylePr>
  </w:style>
  <w:style w:type="table" w:customStyle="1" w:styleId="1387">
    <w:name w:val="网格型（pxg）13"/>
    <w:basedOn w:val="8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388">
    <w:name w:val="环保表内字（五号）"/>
    <w:basedOn w:val="1"/>
    <w:autoRedefine/>
    <w:qFormat/>
    <w:uiPriority w:val="0"/>
    <w:pPr>
      <w:adjustRightInd w:val="0"/>
      <w:snapToGrid w:val="0"/>
      <w:spacing w:line="360" w:lineRule="auto"/>
      <w:ind w:firstLine="720" w:firstLineChars="200"/>
    </w:pPr>
    <w:rPr>
      <w:snapToGrid w:val="0"/>
      <w:kern w:val="0"/>
    </w:rPr>
  </w:style>
  <w:style w:type="table" w:customStyle="1" w:styleId="1389">
    <w:name w:val="Table Normal"/>
    <w:autoRedefine/>
    <w:semiHidden/>
    <w:unhideWhenUsed/>
    <w:qFormat/>
    <w:uiPriority w:val="0"/>
    <w:tblPr>
      <w:tblCellMar>
        <w:top w:w="0" w:type="dxa"/>
        <w:left w:w="0" w:type="dxa"/>
        <w:bottom w:w="0" w:type="dxa"/>
        <w:right w:w="0" w:type="dxa"/>
      </w:tblCellMar>
    </w:tblPr>
  </w:style>
  <w:style w:type="paragraph" w:customStyle="1" w:styleId="1390">
    <w:name w:val="正文11"/>
    <w:basedOn w:val="1"/>
    <w:autoRedefine/>
    <w:qFormat/>
    <w:uiPriority w:val="0"/>
    <w:pPr>
      <w:adjustRightInd w:val="0"/>
      <w:snapToGrid w:val="0"/>
      <w:spacing w:line="360" w:lineRule="auto"/>
      <w:ind w:firstLine="539"/>
    </w:pPr>
    <w:rPr>
      <w:rFonts w:ascii="宋体" w:hAnsi="宋体"/>
      <w:bCs/>
      <w:color w:val="FF0000"/>
      <w:spacing w:val="6"/>
      <w:kern w:val="0"/>
      <w:sz w:val="24"/>
    </w:rPr>
  </w:style>
  <w:style w:type="character" w:customStyle="1" w:styleId="1391">
    <w:name w:val="font41"/>
    <w:basedOn w:val="87"/>
    <w:autoRedefine/>
    <w:qFormat/>
    <w:uiPriority w:val="0"/>
    <w:rPr>
      <w:rFonts w:hint="default" w:ascii="Times New Roman" w:hAnsi="Times New Roman" w:cs="Times New Roman"/>
      <w:color w:val="000000"/>
      <w:sz w:val="18"/>
      <w:szCs w:val="18"/>
      <w:u w:val="none"/>
      <w:vertAlign w:val="superscript"/>
    </w:rPr>
  </w:style>
  <w:style w:type="paragraph" w:customStyle="1" w:styleId="1392">
    <w:name w:val="Body Text Indent"/>
    <w:basedOn w:val="1"/>
    <w:next w:val="97"/>
    <w:autoRedefine/>
    <w:qFormat/>
    <w:uiPriority w:val="0"/>
    <w:pPr>
      <w:spacing w:after="120" w:afterLines="0"/>
      <w:ind w:left="420" w:leftChars="200"/>
    </w:pPr>
    <w:rPr>
      <w:rFonts w:ascii="Times New Roman" w:hAnsi="Times New Roman" w:eastAsia="宋体"/>
      <w:sz w:val="24"/>
    </w:rPr>
  </w:style>
  <w:style w:type="paragraph" w:customStyle="1" w:styleId="1393">
    <w:name w:val="表格中的文字"/>
    <w:basedOn w:val="1"/>
    <w:autoRedefine/>
    <w:qFormat/>
    <w:uiPriority w:val="0"/>
    <w:pPr>
      <w:widowControl w:val="0"/>
      <w:jc w:val="center"/>
    </w:pPr>
    <w:rPr>
      <w:kern w:val="2"/>
      <w:sz w:val="21"/>
      <w:szCs w:val="21"/>
    </w:rPr>
  </w:style>
  <w:style w:type="paragraph" w:customStyle="1" w:styleId="1394">
    <w:name w:val="p19"/>
    <w:basedOn w:val="1"/>
    <w:autoRedefine/>
    <w:qFormat/>
    <w:uiPriority w:val="0"/>
    <w:pPr>
      <w:snapToGrid w:val="0"/>
      <w:spacing w:line="500" w:lineRule="atLeast"/>
      <w:ind w:firstLine="420"/>
    </w:pPr>
    <w:rPr>
      <w:rFonts w:ascii="Calibri" w:hAnsi="Calibri" w:cs="Times New Roman"/>
    </w:rPr>
  </w:style>
  <w:style w:type="paragraph" w:customStyle="1" w:styleId="1395">
    <w:name w:val="CJ 文本111"/>
    <w:basedOn w:val="3"/>
    <w:autoRedefine/>
    <w:qFormat/>
    <w:uiPriority w:val="0"/>
    <w:pPr>
      <w:widowControl w:val="0"/>
      <w:autoSpaceDE w:val="0"/>
      <w:spacing w:before="100" w:beforeAutospacing="1" w:line="360" w:lineRule="auto"/>
      <w:ind w:left="420" w:leftChars="200" w:firstLine="200" w:firstLineChars="0"/>
      <w:jc w:val="both"/>
    </w:pPr>
    <w:rPr>
      <w:rFonts w:ascii="Times New Roman" w:hAnsi="Calibri" w:cs="Arial"/>
      <w:kern w:val="2"/>
      <w:sz w:val="24"/>
    </w:rPr>
  </w:style>
  <w:style w:type="table" w:customStyle="1" w:styleId="1396">
    <w:name w:val="普通表格1"/>
    <w:autoRedefine/>
    <w:semiHidden/>
    <w:qFormat/>
    <w:uiPriority w:val="0"/>
  </w:style>
  <w:style w:type="character" w:customStyle="1" w:styleId="1397">
    <w:name w:val="font01"/>
    <w:basedOn w:val="87"/>
    <w:autoRedefine/>
    <w:qFormat/>
    <w:uiPriority w:val="0"/>
    <w:rPr>
      <w:rFonts w:hint="eastAsia" w:ascii="宋体" w:hAnsi="宋体" w:eastAsia="宋体" w:cs="宋体"/>
      <w:color w:val="000000"/>
      <w:sz w:val="18"/>
      <w:szCs w:val="18"/>
      <w:u w:val="none"/>
    </w:rPr>
  </w:style>
  <w:style w:type="character" w:customStyle="1" w:styleId="1398">
    <w:name w:val="font31"/>
    <w:basedOn w:val="87"/>
    <w:autoRedefine/>
    <w:qFormat/>
    <w:uiPriority w:val="0"/>
    <w:rPr>
      <w:rFonts w:hint="default" w:ascii="Times New Roman" w:hAnsi="Times New Roman" w:cs="Times New Roman"/>
      <w:color w:val="000000"/>
      <w:sz w:val="18"/>
      <w:szCs w:val="18"/>
      <w:u w:val="none"/>
      <w:vertAlign w:val="subscript"/>
    </w:rPr>
  </w:style>
  <w:style w:type="character" w:customStyle="1" w:styleId="1399">
    <w:name w:val="font51"/>
    <w:basedOn w:val="87"/>
    <w:qFormat/>
    <w:uiPriority w:val="0"/>
    <w:rPr>
      <w:rFonts w:hint="default" w:ascii="Times New Roman" w:hAnsi="Times New Roman" w:cs="Times New Roman"/>
      <w:color w:val="FF0000"/>
      <w:sz w:val="21"/>
      <w:szCs w:val="21"/>
      <w:u w:val="none"/>
    </w:rPr>
  </w:style>
  <w:style w:type="character" w:customStyle="1" w:styleId="1400">
    <w:name w:val="font91"/>
    <w:basedOn w:val="87"/>
    <w:qFormat/>
    <w:uiPriority w:val="0"/>
    <w:rPr>
      <w:rFonts w:hint="eastAsia" w:ascii="宋体" w:hAnsi="宋体" w:eastAsia="宋体" w:cs="宋体"/>
      <w:color w:val="FF0000"/>
      <w:sz w:val="21"/>
      <w:szCs w:val="21"/>
      <w:u w:val="none"/>
    </w:rPr>
  </w:style>
</w:styles>
</file>

<file path=word/_rels/document.xml.rels><?xml version="1.0" encoding="UTF-8" standalone="yes"?>
<Relationships xmlns="http://schemas.openxmlformats.org/package/2006/relationships"><Relationship Id="rId99" Type="http://schemas.openxmlformats.org/officeDocument/2006/relationships/image" Target="media/image73.png"/><Relationship Id="rId98" Type="http://schemas.openxmlformats.org/officeDocument/2006/relationships/image" Target="media/image72.png"/><Relationship Id="rId97" Type="http://schemas.openxmlformats.org/officeDocument/2006/relationships/image" Target="media/image71.png"/><Relationship Id="rId96" Type="http://schemas.openxmlformats.org/officeDocument/2006/relationships/image" Target="media/image70.png"/><Relationship Id="rId95" Type="http://schemas.openxmlformats.org/officeDocument/2006/relationships/image" Target="media/image69.png"/><Relationship Id="rId94" Type="http://schemas.openxmlformats.org/officeDocument/2006/relationships/image" Target="media/image68.png"/><Relationship Id="rId93" Type="http://schemas.openxmlformats.org/officeDocument/2006/relationships/image" Target="media/image67.jpeg"/><Relationship Id="rId92" Type="http://schemas.openxmlformats.org/officeDocument/2006/relationships/image" Target="media/image66.jpeg"/><Relationship Id="rId91" Type="http://schemas.openxmlformats.org/officeDocument/2006/relationships/image" Target="media/image65.jpeg"/><Relationship Id="rId90" Type="http://schemas.openxmlformats.org/officeDocument/2006/relationships/image" Target="media/image64.jpeg"/><Relationship Id="rId9" Type="http://schemas.openxmlformats.org/officeDocument/2006/relationships/image" Target="media/image1.jpeg"/><Relationship Id="rId89" Type="http://schemas.openxmlformats.org/officeDocument/2006/relationships/image" Target="media/image63.jpeg"/><Relationship Id="rId88" Type="http://schemas.openxmlformats.org/officeDocument/2006/relationships/image" Target="media/image62.jpeg"/><Relationship Id="rId87" Type="http://schemas.openxmlformats.org/officeDocument/2006/relationships/image" Target="media/image61.jpeg"/><Relationship Id="rId86" Type="http://schemas.openxmlformats.org/officeDocument/2006/relationships/image" Target="media/image60.jpeg"/><Relationship Id="rId85" Type="http://schemas.openxmlformats.org/officeDocument/2006/relationships/image" Target="media/image59.jpeg"/><Relationship Id="rId84" Type="http://schemas.openxmlformats.org/officeDocument/2006/relationships/image" Target="media/image58.jpeg"/><Relationship Id="rId83" Type="http://schemas.openxmlformats.org/officeDocument/2006/relationships/image" Target="media/image57.png"/><Relationship Id="rId82" Type="http://schemas.openxmlformats.org/officeDocument/2006/relationships/image" Target="media/image56.png"/><Relationship Id="rId81" Type="http://schemas.openxmlformats.org/officeDocument/2006/relationships/image" Target="media/image55.png"/><Relationship Id="rId80" Type="http://schemas.openxmlformats.org/officeDocument/2006/relationships/image" Target="media/image54.emf"/><Relationship Id="rId8" Type="http://schemas.openxmlformats.org/officeDocument/2006/relationships/theme" Target="theme/theme1.xml"/><Relationship Id="rId79" Type="http://schemas.openxmlformats.org/officeDocument/2006/relationships/image" Target="media/image53.png"/><Relationship Id="rId78" Type="http://schemas.openxmlformats.org/officeDocument/2006/relationships/image" Target="media/image52.png"/><Relationship Id="rId77" Type="http://schemas.openxmlformats.org/officeDocument/2006/relationships/image" Target="media/image51.png"/><Relationship Id="rId76" Type="http://schemas.openxmlformats.org/officeDocument/2006/relationships/image" Target="media/image50.emf"/><Relationship Id="rId75" Type="http://schemas.openxmlformats.org/officeDocument/2006/relationships/image" Target="media/image49.png"/><Relationship Id="rId74" Type="http://schemas.openxmlformats.org/officeDocument/2006/relationships/image" Target="media/image48.png"/><Relationship Id="rId73" Type="http://schemas.openxmlformats.org/officeDocument/2006/relationships/image" Target="media/image47.png"/><Relationship Id="rId72" Type="http://schemas.openxmlformats.org/officeDocument/2006/relationships/image" Target="media/image46.png"/><Relationship Id="rId71" Type="http://schemas.openxmlformats.org/officeDocument/2006/relationships/image" Target="media/image45.png"/><Relationship Id="rId70" Type="http://schemas.openxmlformats.org/officeDocument/2006/relationships/image" Target="media/image44.png"/><Relationship Id="rId7" Type="http://schemas.openxmlformats.org/officeDocument/2006/relationships/footer" Target="footer5.xml"/><Relationship Id="rId69" Type="http://schemas.openxmlformats.org/officeDocument/2006/relationships/image" Target="media/image43.png"/><Relationship Id="rId68" Type="http://schemas.openxmlformats.org/officeDocument/2006/relationships/image" Target="media/image42.png"/><Relationship Id="rId67" Type="http://schemas.openxmlformats.org/officeDocument/2006/relationships/image" Target="media/image41.jpeg"/><Relationship Id="rId66" Type="http://schemas.openxmlformats.org/officeDocument/2006/relationships/image" Target="media/image40.png"/><Relationship Id="rId65" Type="http://schemas.openxmlformats.org/officeDocument/2006/relationships/image" Target="media/image39.jpeg"/><Relationship Id="rId64" Type="http://schemas.openxmlformats.org/officeDocument/2006/relationships/image" Target="media/image38.png"/><Relationship Id="rId63" Type="http://schemas.openxmlformats.org/officeDocument/2006/relationships/image" Target="media/image37.png"/><Relationship Id="rId62" Type="http://schemas.openxmlformats.org/officeDocument/2006/relationships/image" Target="media/image36.png"/><Relationship Id="rId61" Type="http://schemas.openxmlformats.org/officeDocument/2006/relationships/image" Target="media/image35.png"/><Relationship Id="rId60" Type="http://schemas.openxmlformats.org/officeDocument/2006/relationships/image" Target="media/image34.png"/><Relationship Id="rId6" Type="http://schemas.openxmlformats.org/officeDocument/2006/relationships/footer" Target="footer4.xml"/><Relationship Id="rId59" Type="http://schemas.openxmlformats.org/officeDocument/2006/relationships/image" Target="media/image33.pn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image" Target="media/image30.png"/><Relationship Id="rId55" Type="http://schemas.openxmlformats.org/officeDocument/2006/relationships/image" Target="media/image29.png"/><Relationship Id="rId54" Type="http://schemas.openxmlformats.org/officeDocument/2006/relationships/image" Target="media/image28.jpeg"/><Relationship Id="rId53" Type="http://schemas.openxmlformats.org/officeDocument/2006/relationships/image" Target="media/image27.jpeg"/><Relationship Id="rId52" Type="http://schemas.openxmlformats.org/officeDocument/2006/relationships/image" Target="media/image26.jpeg"/><Relationship Id="rId51" Type="http://schemas.openxmlformats.org/officeDocument/2006/relationships/image" Target="media/image25.jpeg"/><Relationship Id="rId50" Type="http://schemas.openxmlformats.org/officeDocument/2006/relationships/image" Target="media/image24.wmf"/><Relationship Id="rId5" Type="http://schemas.openxmlformats.org/officeDocument/2006/relationships/footer" Target="footer3.xml"/><Relationship Id="rId49" Type="http://schemas.openxmlformats.org/officeDocument/2006/relationships/oleObject" Target="embeddings/oleObject18.bin"/><Relationship Id="rId48" Type="http://schemas.openxmlformats.org/officeDocument/2006/relationships/image" Target="media/image23.png"/><Relationship Id="rId47" Type="http://schemas.openxmlformats.org/officeDocument/2006/relationships/image" Target="media/image22.png"/><Relationship Id="rId46" Type="http://schemas.openxmlformats.org/officeDocument/2006/relationships/image" Target="media/image21.png"/><Relationship Id="rId45" Type="http://schemas.openxmlformats.org/officeDocument/2006/relationships/image" Target="media/image20.emf"/><Relationship Id="rId44" Type="http://schemas.openxmlformats.org/officeDocument/2006/relationships/oleObject" Target="embeddings/oleObject17.bin"/><Relationship Id="rId43" Type="http://schemas.openxmlformats.org/officeDocument/2006/relationships/image" Target="media/image19.emf"/><Relationship Id="rId42" Type="http://schemas.openxmlformats.org/officeDocument/2006/relationships/oleObject" Target="embeddings/oleObject16.bin"/><Relationship Id="rId41" Type="http://schemas.openxmlformats.org/officeDocument/2006/relationships/image" Target="media/image18.emf"/><Relationship Id="rId40" Type="http://schemas.openxmlformats.org/officeDocument/2006/relationships/oleObject" Target="embeddings/oleObject15.bin"/><Relationship Id="rId4" Type="http://schemas.openxmlformats.org/officeDocument/2006/relationships/footer" Target="footer2.xml"/><Relationship Id="rId39" Type="http://schemas.openxmlformats.org/officeDocument/2006/relationships/image" Target="media/image17.emf"/><Relationship Id="rId38" Type="http://schemas.openxmlformats.org/officeDocument/2006/relationships/oleObject" Target="embeddings/oleObject14.bin"/><Relationship Id="rId37" Type="http://schemas.openxmlformats.org/officeDocument/2006/relationships/image" Target="media/image16.png"/><Relationship Id="rId36" Type="http://schemas.openxmlformats.org/officeDocument/2006/relationships/image" Target="media/image15.emf"/><Relationship Id="rId35" Type="http://schemas.openxmlformats.org/officeDocument/2006/relationships/oleObject" Target="embeddings/oleObject13.bin"/><Relationship Id="rId34" Type="http://schemas.openxmlformats.org/officeDocument/2006/relationships/image" Target="media/image14.emf"/><Relationship Id="rId33" Type="http://schemas.openxmlformats.org/officeDocument/2006/relationships/oleObject" Target="embeddings/oleObject12.bin"/><Relationship Id="rId32" Type="http://schemas.openxmlformats.org/officeDocument/2006/relationships/image" Target="media/image13.emf"/><Relationship Id="rId31" Type="http://schemas.openxmlformats.org/officeDocument/2006/relationships/oleObject" Target="embeddings/oleObject11.bin"/><Relationship Id="rId30" Type="http://schemas.openxmlformats.org/officeDocument/2006/relationships/image" Target="media/image12.emf"/><Relationship Id="rId3" Type="http://schemas.openxmlformats.org/officeDocument/2006/relationships/footer" Target="footer1.xml"/><Relationship Id="rId29" Type="http://schemas.openxmlformats.org/officeDocument/2006/relationships/oleObject" Target="embeddings/oleObject10.bin"/><Relationship Id="rId28" Type="http://schemas.openxmlformats.org/officeDocument/2006/relationships/image" Target="media/image11.emf"/><Relationship Id="rId27" Type="http://schemas.openxmlformats.org/officeDocument/2006/relationships/oleObject" Target="embeddings/oleObject9.bin"/><Relationship Id="rId26" Type="http://schemas.openxmlformats.org/officeDocument/2006/relationships/image" Target="media/image10.emf"/><Relationship Id="rId25" Type="http://schemas.openxmlformats.org/officeDocument/2006/relationships/oleObject" Target="embeddings/oleObject8.bin"/><Relationship Id="rId24" Type="http://schemas.openxmlformats.org/officeDocument/2006/relationships/image" Target="media/image9.emf"/><Relationship Id="rId23" Type="http://schemas.openxmlformats.org/officeDocument/2006/relationships/oleObject" Target="embeddings/oleObject7.bin"/><Relationship Id="rId22" Type="http://schemas.openxmlformats.org/officeDocument/2006/relationships/image" Target="media/image8.emf"/><Relationship Id="rId21" Type="http://schemas.openxmlformats.org/officeDocument/2006/relationships/oleObject" Target="embeddings/oleObject6.bin"/><Relationship Id="rId20" Type="http://schemas.openxmlformats.org/officeDocument/2006/relationships/image" Target="media/image7.emf"/><Relationship Id="rId2" Type="http://schemas.openxmlformats.org/officeDocument/2006/relationships/settings" Target="settings.xml"/><Relationship Id="rId19" Type="http://schemas.openxmlformats.org/officeDocument/2006/relationships/oleObject" Target="embeddings/oleObject5.bin"/><Relationship Id="rId18" Type="http://schemas.openxmlformats.org/officeDocument/2006/relationships/image" Target="media/image6.emf"/><Relationship Id="rId17" Type="http://schemas.openxmlformats.org/officeDocument/2006/relationships/oleObject" Target="embeddings/oleObject4.bin"/><Relationship Id="rId16" Type="http://schemas.openxmlformats.org/officeDocument/2006/relationships/image" Target="media/image5.emf"/><Relationship Id="rId15" Type="http://schemas.openxmlformats.org/officeDocument/2006/relationships/oleObject" Target="embeddings/oleObject3.bin"/><Relationship Id="rId14" Type="http://schemas.openxmlformats.org/officeDocument/2006/relationships/image" Target="media/image4.emf"/><Relationship Id="rId13" Type="http://schemas.openxmlformats.org/officeDocument/2006/relationships/oleObject" Target="embeddings/oleObject2.bin"/><Relationship Id="rId12" Type="http://schemas.openxmlformats.org/officeDocument/2006/relationships/image" Target="media/image3.emf"/><Relationship Id="rId11" Type="http://schemas.openxmlformats.org/officeDocument/2006/relationships/oleObject" Target="embeddings/oleObject1.bin"/><Relationship Id="rId104" Type="http://schemas.openxmlformats.org/officeDocument/2006/relationships/fontTable" Target="fontTable.xml"/><Relationship Id="rId103" Type="http://schemas.openxmlformats.org/officeDocument/2006/relationships/customXml" Target="../customXml/item2.xml"/><Relationship Id="rId102" Type="http://schemas.openxmlformats.org/officeDocument/2006/relationships/numbering" Target="numbering.xml"/><Relationship Id="rId101" Type="http://schemas.openxmlformats.org/officeDocument/2006/relationships/customXml" Target="../customXml/item1.xml"/><Relationship Id="rId100" Type="http://schemas.openxmlformats.org/officeDocument/2006/relationships/image" Target="media/image74.pn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6F041C3-323D-48F2-8920-85CD077E5D6D}">
  <ds:schemaRefs/>
</ds:datastoreItem>
</file>

<file path=docProps/app.xml><?xml version="1.0" encoding="utf-8"?>
<Properties xmlns="http://schemas.openxmlformats.org/officeDocument/2006/extended-properties" xmlns:vt="http://schemas.openxmlformats.org/officeDocument/2006/docPropsVTypes">
  <Template>Normal.dotm</Template>
  <Company>微软中国</Company>
  <Pages>158</Pages>
  <Words>21633</Words>
  <Characters>22767</Characters>
  <Lines>432</Lines>
  <Paragraphs>121</Paragraphs>
  <TotalTime>1</TotalTime>
  <ScaleCrop>false</ScaleCrop>
  <LinksUpToDate>false</LinksUpToDate>
  <CharactersWithSpaces>22847</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2021-03-28T06:51:00Z</dcterms:created>
  <dc:creator>lhj</dc:creator>
  <cp:lastModifiedBy>小路</cp:lastModifiedBy>
  <cp:lastPrinted>2026-03-18T03:31:00Z</cp:lastPrinted>
  <dcterms:modified xsi:type="dcterms:W3CDTF">2026-04-17T07:09:32Z</dcterms:modified>
  <dc:title>附件2</dc:title>
  <cp:revision>15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484C2FD05B4847B19A62EAD1433A655D_13</vt:lpwstr>
  </property>
  <property fmtid="{D5CDD505-2E9C-101B-9397-08002B2CF9AE}" pid="4" name="KSOTemplateDocerSaveRecord">
    <vt:lpwstr>eyJoZGlkIjoiZWU1YzRiNDQ1M2Y1YWYxNWI0YWUzN2JkYjlhZGQ3OGYiLCJ1c2VySWQiOiI0NjA0MjIyMTgifQ==</vt:lpwstr>
  </property>
</Properties>
</file>